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9565A">
      <w:pPr>
        <w:spacing w:before="156" w:beforeLines="50" w:after="156" w:afterLines="50" w:line="400" w:lineRule="exact"/>
        <w:rPr>
          <w:rFonts w:ascii="Times New Roman" w:hAnsi="Times New Roman" w:eastAsia="宋体" w:cs="Times New Roman"/>
          <w:bCs/>
          <w:iCs/>
          <w:color w:val="000000"/>
          <w:sz w:val="28"/>
        </w:rPr>
      </w:pPr>
      <w:r>
        <w:rPr>
          <w:rFonts w:ascii="Times New Roman" w:hAnsi="Times New Roman" w:eastAsia="宋体" w:cs="Times New Roman"/>
          <w:bCs/>
          <w:iCs/>
          <w:color w:val="000000"/>
          <w:sz w:val="28"/>
        </w:rPr>
        <w:t>证券代码：688</w:t>
      </w:r>
      <w:r>
        <w:rPr>
          <w:rFonts w:hint="eastAsia" w:ascii="Times New Roman" w:hAnsi="Times New Roman" w:eastAsia="宋体" w:cs="Times New Roman"/>
          <w:bCs/>
          <w:iCs/>
          <w:color w:val="000000"/>
          <w:sz w:val="28"/>
        </w:rPr>
        <w:t>252</w:t>
      </w:r>
      <w:r>
        <w:rPr>
          <w:rFonts w:ascii="Times New Roman" w:hAnsi="Times New Roman" w:eastAsia="宋体" w:cs="Times New Roman"/>
          <w:bCs/>
          <w:iCs/>
          <w:color w:val="000000"/>
          <w:sz w:val="28"/>
        </w:rPr>
        <w:t xml:space="preserve">                          证券简称：</w:t>
      </w:r>
      <w:r>
        <w:rPr>
          <w:rFonts w:hint="eastAsia" w:ascii="Times New Roman" w:hAnsi="Times New Roman" w:eastAsia="宋体" w:cs="Times New Roman"/>
          <w:bCs/>
          <w:iCs/>
          <w:color w:val="000000"/>
          <w:sz w:val="28"/>
        </w:rPr>
        <w:t>天德钰</w:t>
      </w:r>
    </w:p>
    <w:p w14:paraId="2E41E58C">
      <w:pPr>
        <w:spacing w:before="156" w:beforeLines="50" w:after="156" w:afterLines="50" w:line="400" w:lineRule="exact"/>
        <w:jc w:val="center"/>
        <w:rPr>
          <w:rFonts w:ascii="Times New Roman" w:hAnsi="Times New Roman" w:eastAsia="宋体" w:cs="Times New Roman"/>
          <w:b/>
          <w:bCs/>
          <w:iCs/>
          <w:color w:val="000000"/>
          <w:sz w:val="32"/>
          <w:szCs w:val="32"/>
        </w:rPr>
      </w:pPr>
    </w:p>
    <w:p w14:paraId="296B273C">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rPr>
          <w:rFonts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深圳天德钰科技</w:t>
      </w:r>
      <w:r>
        <w:rPr>
          <w:rFonts w:ascii="Times New Roman" w:hAnsi="Times New Roman" w:eastAsia="宋体" w:cs="Times New Roman"/>
          <w:b/>
          <w:bCs/>
          <w:iCs/>
          <w:color w:val="000000"/>
          <w:sz w:val="32"/>
          <w:szCs w:val="32"/>
        </w:rPr>
        <w:t>股份有限公司投资者关系活动记录表</w:t>
      </w:r>
    </w:p>
    <w:p w14:paraId="37B6AD92">
      <w:pPr>
        <w:spacing w:line="400" w:lineRule="exact"/>
        <w:rPr>
          <w:rFonts w:ascii="Times New Roman" w:hAnsi="Times New Roman" w:eastAsia="宋体" w:cs="Times New Roman"/>
          <w:bCs/>
          <w:iCs/>
          <w:sz w:val="24"/>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3648"/>
        <w:gridCol w:w="3686"/>
      </w:tblGrid>
      <w:tr w14:paraId="7ACA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74E448E6">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7CAB181E">
            <w:pPr>
              <w:jc w:val="center"/>
              <w:rPr>
                <w:rFonts w:ascii="Times New Roman" w:hAnsi="Times New Roman" w:eastAsia="宋体" w:cs="Times New Roman"/>
                <w:bCs/>
                <w:iCs/>
                <w:color w:val="000000"/>
                <w:sz w:val="24"/>
                <w:szCs w:val="24"/>
              </w:rPr>
            </w:pPr>
          </w:p>
        </w:tc>
        <w:tc>
          <w:tcPr>
            <w:tcW w:w="4302" w:type="pct"/>
            <w:gridSpan w:val="2"/>
            <w:tcBorders>
              <w:top w:val="single" w:color="auto" w:sz="4" w:space="0"/>
              <w:left w:val="single" w:color="auto" w:sz="4" w:space="0"/>
              <w:bottom w:val="single" w:color="auto" w:sz="4" w:space="0"/>
              <w:right w:val="single" w:color="auto" w:sz="4" w:space="0"/>
            </w:tcBorders>
            <w:shd w:val="clear" w:color="auto" w:fill="auto"/>
          </w:tcPr>
          <w:p w14:paraId="18183491">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sym w:font="Wingdings 2" w:char="00A3"/>
            </w:r>
            <w:r>
              <w:rPr>
                <w:rFonts w:ascii="Times New Roman" w:hAnsi="Times New Roman" w:eastAsia="宋体" w:cs="Times New Roman"/>
                <w:sz w:val="24"/>
                <w:szCs w:val="24"/>
              </w:rPr>
              <w:t xml:space="preserve">特定对象调研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分析师会议</w:t>
            </w:r>
          </w:p>
          <w:p w14:paraId="6371CB54">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业绩说明会</w:t>
            </w:r>
          </w:p>
          <w:p w14:paraId="4A7206E5">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 xml:space="preserve">新闻发布会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路演活动</w:t>
            </w:r>
          </w:p>
          <w:p w14:paraId="0C15B395">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现场参观</w:t>
            </w:r>
            <w:r>
              <w:rPr>
                <w:rFonts w:ascii="Times New Roman" w:hAnsi="Times New Roman" w:eastAsia="宋体" w:cs="Times New Roman"/>
                <w:bCs/>
                <w:iCs/>
                <w:color w:val="000000"/>
                <w:sz w:val="24"/>
                <w:szCs w:val="24"/>
              </w:rPr>
              <w:tab/>
            </w:r>
          </w:p>
          <w:p w14:paraId="717BFF38">
            <w:pPr>
              <w:tabs>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其他 （</w:t>
            </w:r>
            <w:r>
              <w:rPr>
                <w:rFonts w:ascii="Times New Roman" w:hAnsi="Times New Roman" w:eastAsia="宋体" w:cs="Times New Roman"/>
                <w:sz w:val="24"/>
                <w:szCs w:val="24"/>
                <w:u w:val="single"/>
              </w:rPr>
              <w:t>请文字说明其他活动内容）</w:t>
            </w:r>
          </w:p>
        </w:tc>
      </w:tr>
      <w:tr w14:paraId="5126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697" w:type="pct"/>
            <w:vMerge w:val="restart"/>
            <w:tcBorders>
              <w:left w:val="single" w:color="auto" w:sz="4" w:space="0"/>
              <w:right w:val="single" w:color="auto" w:sz="4" w:space="0"/>
            </w:tcBorders>
            <w:shd w:val="clear" w:color="auto" w:fill="auto"/>
            <w:vAlign w:val="center"/>
          </w:tcPr>
          <w:p w14:paraId="1A4D13BF">
            <w:pPr>
              <w:jc w:val="center"/>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参与单位名称</w:t>
            </w:r>
          </w:p>
        </w:tc>
        <w:tc>
          <w:tcPr>
            <w:tcW w:w="2140" w:type="pct"/>
            <w:tcBorders>
              <w:left w:val="single" w:color="auto" w:sz="4" w:space="0"/>
              <w:right w:val="single" w:color="auto" w:sz="4" w:space="0"/>
            </w:tcBorders>
            <w:shd w:val="clear" w:color="auto" w:fill="auto"/>
            <w:vAlign w:val="center"/>
          </w:tcPr>
          <w:p w14:paraId="302B54E6">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上海卓银私募基金管理合伙企业(有限合伙)</w:t>
            </w:r>
          </w:p>
        </w:tc>
        <w:tc>
          <w:tcPr>
            <w:tcW w:w="2162" w:type="pct"/>
            <w:tcBorders>
              <w:left w:val="single" w:color="auto" w:sz="4" w:space="0"/>
              <w:right w:val="single" w:color="auto" w:sz="4" w:space="0"/>
            </w:tcBorders>
            <w:shd w:val="clear" w:color="auto" w:fill="auto"/>
            <w:vAlign w:val="center"/>
          </w:tcPr>
          <w:p w14:paraId="67CDFCDC">
            <w:pPr>
              <w:keepNext w:val="0"/>
              <w:keepLines w:val="0"/>
              <w:widowControl/>
              <w:suppressLineNumbers w:val="0"/>
              <w:jc w:val="left"/>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西安江岳私募基金管理有限公司</w:t>
            </w:r>
          </w:p>
        </w:tc>
      </w:tr>
      <w:tr w14:paraId="07C9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697" w:type="pct"/>
            <w:vMerge w:val="continue"/>
            <w:tcBorders>
              <w:left w:val="single" w:color="auto" w:sz="4" w:space="0"/>
              <w:right w:val="single" w:color="auto" w:sz="4" w:space="0"/>
            </w:tcBorders>
            <w:shd w:val="clear" w:color="auto" w:fill="auto"/>
            <w:vAlign w:val="center"/>
          </w:tcPr>
          <w:p w14:paraId="3EA4434E">
            <w:pPr>
              <w:jc w:val="center"/>
              <w:rPr>
                <w:rFonts w:ascii="Times New Roman" w:hAnsi="Times New Roman" w:eastAsia="宋体" w:cs="Times New Roman"/>
                <w:bCs/>
                <w:iCs/>
                <w:color w:val="000000"/>
                <w:sz w:val="24"/>
                <w:szCs w:val="24"/>
              </w:rPr>
            </w:pPr>
          </w:p>
        </w:tc>
        <w:tc>
          <w:tcPr>
            <w:tcW w:w="2140" w:type="pct"/>
            <w:tcBorders>
              <w:left w:val="single" w:color="auto" w:sz="4" w:space="0"/>
              <w:right w:val="single" w:color="auto" w:sz="4" w:space="0"/>
            </w:tcBorders>
            <w:shd w:val="clear" w:color="auto" w:fill="auto"/>
            <w:vAlign w:val="center"/>
          </w:tcPr>
          <w:p w14:paraId="333FAD43">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西南证券股份有限公司</w:t>
            </w:r>
          </w:p>
        </w:tc>
        <w:tc>
          <w:tcPr>
            <w:tcW w:w="2162" w:type="pct"/>
            <w:tcBorders>
              <w:left w:val="single" w:color="auto" w:sz="4" w:space="0"/>
              <w:right w:val="single" w:color="auto" w:sz="4" w:space="0"/>
            </w:tcBorders>
            <w:shd w:val="clear" w:color="auto" w:fill="auto"/>
            <w:vAlign w:val="center"/>
          </w:tcPr>
          <w:p w14:paraId="7673DB7F">
            <w:pPr>
              <w:keepNext w:val="0"/>
              <w:keepLines w:val="0"/>
              <w:widowControl/>
              <w:suppressLineNumbers w:val="0"/>
              <w:jc w:val="left"/>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华西银峰投资有限责任公司</w:t>
            </w:r>
          </w:p>
        </w:tc>
      </w:tr>
      <w:tr w14:paraId="2402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97" w:type="pct"/>
            <w:vMerge w:val="continue"/>
            <w:tcBorders>
              <w:left w:val="single" w:color="auto" w:sz="4" w:space="0"/>
              <w:right w:val="single" w:color="auto" w:sz="4" w:space="0"/>
            </w:tcBorders>
            <w:shd w:val="clear" w:color="auto" w:fill="auto"/>
            <w:vAlign w:val="center"/>
          </w:tcPr>
          <w:p w14:paraId="52D9D5AA">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1718D9C0">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财通基金管理有限公司</w:t>
            </w:r>
          </w:p>
        </w:tc>
        <w:tc>
          <w:tcPr>
            <w:tcW w:w="2162" w:type="pct"/>
            <w:tcBorders>
              <w:left w:val="single" w:color="auto" w:sz="4" w:space="0"/>
              <w:bottom w:val="single" w:color="auto" w:sz="4" w:space="0"/>
              <w:right w:val="single" w:color="auto" w:sz="4" w:space="0"/>
            </w:tcBorders>
            <w:shd w:val="clear" w:color="auto" w:fill="auto"/>
            <w:vAlign w:val="center"/>
          </w:tcPr>
          <w:p w14:paraId="249E8F1E">
            <w:pPr>
              <w:keepNext w:val="0"/>
              <w:keepLines w:val="0"/>
              <w:widowControl/>
              <w:suppressLineNumbers w:val="0"/>
              <w:jc w:val="left"/>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上海呈瑞投资管理有限公司</w:t>
            </w:r>
          </w:p>
        </w:tc>
      </w:tr>
      <w:tr w14:paraId="77CC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97" w:type="pct"/>
            <w:vMerge w:val="continue"/>
            <w:tcBorders>
              <w:left w:val="single" w:color="auto" w:sz="4" w:space="0"/>
              <w:right w:val="single" w:color="auto" w:sz="4" w:space="0"/>
            </w:tcBorders>
            <w:shd w:val="clear" w:color="auto" w:fill="auto"/>
            <w:vAlign w:val="center"/>
          </w:tcPr>
          <w:p w14:paraId="4E2AC9CE">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0884EC5E">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华西证券股份有限公司</w:t>
            </w:r>
          </w:p>
        </w:tc>
        <w:tc>
          <w:tcPr>
            <w:tcW w:w="2162" w:type="pct"/>
            <w:tcBorders>
              <w:left w:val="single" w:color="auto" w:sz="4" w:space="0"/>
              <w:bottom w:val="single" w:color="auto" w:sz="4" w:space="0"/>
              <w:right w:val="single" w:color="auto" w:sz="4" w:space="0"/>
            </w:tcBorders>
            <w:shd w:val="clear" w:color="auto" w:fill="auto"/>
            <w:vAlign w:val="center"/>
          </w:tcPr>
          <w:p w14:paraId="66F8F497">
            <w:pPr>
              <w:keepNext w:val="0"/>
              <w:keepLines w:val="0"/>
              <w:widowControl/>
              <w:suppressLineNumbers w:val="0"/>
              <w:jc w:val="left"/>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海南羊角私募基金管理合伙企业(有限合伙)</w:t>
            </w:r>
          </w:p>
        </w:tc>
      </w:tr>
      <w:tr w14:paraId="3EF5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97" w:type="pct"/>
            <w:vMerge w:val="continue"/>
            <w:tcBorders>
              <w:left w:val="single" w:color="auto" w:sz="4" w:space="0"/>
              <w:right w:val="single" w:color="auto" w:sz="4" w:space="0"/>
            </w:tcBorders>
            <w:shd w:val="clear" w:color="auto" w:fill="auto"/>
            <w:vAlign w:val="center"/>
          </w:tcPr>
          <w:p w14:paraId="37A5A7AB">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27C7209F">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上海申银万国证券研究所有限公司</w:t>
            </w:r>
          </w:p>
        </w:tc>
        <w:tc>
          <w:tcPr>
            <w:tcW w:w="2162" w:type="pct"/>
            <w:tcBorders>
              <w:left w:val="single" w:color="auto" w:sz="4" w:space="0"/>
              <w:bottom w:val="single" w:color="auto" w:sz="4" w:space="0"/>
              <w:right w:val="single" w:color="auto" w:sz="4" w:space="0"/>
            </w:tcBorders>
            <w:shd w:val="clear" w:color="auto" w:fill="auto"/>
            <w:vAlign w:val="center"/>
          </w:tcPr>
          <w:p w14:paraId="40F62BA6">
            <w:pPr>
              <w:keepNext w:val="0"/>
              <w:keepLines w:val="0"/>
              <w:widowControl/>
              <w:suppressLineNumbers w:val="0"/>
              <w:jc w:val="left"/>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中国人保资产管理有限公司</w:t>
            </w:r>
          </w:p>
        </w:tc>
      </w:tr>
      <w:tr w14:paraId="6899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97" w:type="pct"/>
            <w:vMerge w:val="continue"/>
            <w:tcBorders>
              <w:left w:val="single" w:color="auto" w:sz="4" w:space="0"/>
              <w:right w:val="single" w:color="auto" w:sz="4" w:space="0"/>
            </w:tcBorders>
            <w:shd w:val="clear" w:color="auto" w:fill="auto"/>
            <w:vAlign w:val="center"/>
          </w:tcPr>
          <w:p w14:paraId="5E1D43CE">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00C44F4F">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华泰证券股份有限公司</w:t>
            </w:r>
          </w:p>
        </w:tc>
        <w:tc>
          <w:tcPr>
            <w:tcW w:w="2162" w:type="pct"/>
            <w:tcBorders>
              <w:left w:val="single" w:color="auto" w:sz="4" w:space="0"/>
              <w:bottom w:val="single" w:color="auto" w:sz="4" w:space="0"/>
              <w:right w:val="single" w:color="auto" w:sz="4" w:space="0"/>
            </w:tcBorders>
            <w:shd w:val="clear" w:color="auto" w:fill="auto"/>
            <w:vAlign w:val="center"/>
          </w:tcPr>
          <w:p w14:paraId="76139722">
            <w:pPr>
              <w:keepNext w:val="0"/>
              <w:keepLines w:val="0"/>
              <w:widowControl/>
              <w:suppressLineNumbers w:val="0"/>
              <w:jc w:val="left"/>
              <w:textAlignment w:val="center"/>
              <w:rPr>
                <w:rFonts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北京赛伯乐绿科投资管理有限公司</w:t>
            </w:r>
          </w:p>
        </w:tc>
      </w:tr>
      <w:tr w14:paraId="729E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97" w:type="pct"/>
            <w:vMerge w:val="continue"/>
            <w:tcBorders>
              <w:left w:val="single" w:color="auto" w:sz="4" w:space="0"/>
              <w:right w:val="single" w:color="auto" w:sz="4" w:space="0"/>
            </w:tcBorders>
            <w:shd w:val="clear" w:color="auto" w:fill="auto"/>
            <w:vAlign w:val="center"/>
          </w:tcPr>
          <w:p w14:paraId="5B8C9B22">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23616F49">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深圳市麻王投资集团有限公司</w:t>
            </w:r>
          </w:p>
        </w:tc>
        <w:tc>
          <w:tcPr>
            <w:tcW w:w="2162" w:type="pct"/>
            <w:tcBorders>
              <w:left w:val="single" w:color="auto" w:sz="4" w:space="0"/>
              <w:bottom w:val="single" w:color="auto" w:sz="4" w:space="0"/>
              <w:right w:val="single" w:color="auto" w:sz="4" w:space="0"/>
            </w:tcBorders>
            <w:shd w:val="clear" w:color="auto" w:fill="auto"/>
            <w:vAlign w:val="center"/>
          </w:tcPr>
          <w:p w14:paraId="4B63C26D">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上海嘉世私募基金管理有限公司</w:t>
            </w:r>
          </w:p>
        </w:tc>
      </w:tr>
      <w:tr w14:paraId="40AD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97" w:type="pct"/>
            <w:vMerge w:val="continue"/>
            <w:tcBorders>
              <w:left w:val="single" w:color="auto" w:sz="4" w:space="0"/>
              <w:right w:val="single" w:color="auto" w:sz="4" w:space="0"/>
            </w:tcBorders>
            <w:shd w:val="clear" w:color="auto" w:fill="auto"/>
            <w:vAlign w:val="center"/>
          </w:tcPr>
          <w:p w14:paraId="1BA75141">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7354D426">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广东正圆私募基金管理有限公司</w:t>
            </w:r>
          </w:p>
        </w:tc>
        <w:tc>
          <w:tcPr>
            <w:tcW w:w="2162" w:type="pct"/>
            <w:tcBorders>
              <w:left w:val="single" w:color="auto" w:sz="4" w:space="0"/>
              <w:bottom w:val="single" w:color="auto" w:sz="4" w:space="0"/>
              <w:right w:val="single" w:color="auto" w:sz="4" w:space="0"/>
            </w:tcBorders>
            <w:shd w:val="clear" w:color="auto" w:fill="auto"/>
            <w:vAlign w:val="center"/>
          </w:tcPr>
          <w:p w14:paraId="7348889A">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横琴淳臻投资管理中心(有限合伙)</w:t>
            </w:r>
          </w:p>
        </w:tc>
      </w:tr>
      <w:tr w14:paraId="3DF4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97" w:type="pct"/>
            <w:vMerge w:val="continue"/>
            <w:tcBorders>
              <w:left w:val="single" w:color="auto" w:sz="4" w:space="0"/>
              <w:right w:val="single" w:color="auto" w:sz="4" w:space="0"/>
            </w:tcBorders>
            <w:shd w:val="clear" w:color="auto" w:fill="auto"/>
            <w:vAlign w:val="center"/>
          </w:tcPr>
          <w:p w14:paraId="69EF5971">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46101F63">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国海证券股份有限公司</w:t>
            </w:r>
          </w:p>
        </w:tc>
        <w:tc>
          <w:tcPr>
            <w:tcW w:w="2162" w:type="pct"/>
            <w:tcBorders>
              <w:left w:val="single" w:color="auto" w:sz="4" w:space="0"/>
              <w:bottom w:val="single" w:color="auto" w:sz="4" w:space="0"/>
              <w:right w:val="single" w:color="auto" w:sz="4" w:space="0"/>
            </w:tcBorders>
            <w:shd w:val="clear" w:color="auto" w:fill="auto"/>
            <w:vAlign w:val="center"/>
          </w:tcPr>
          <w:p w14:paraId="2B9CEB1E">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杭州军璐投资有限公司</w:t>
            </w:r>
          </w:p>
        </w:tc>
      </w:tr>
      <w:tr w14:paraId="71CF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97" w:type="pct"/>
            <w:vMerge w:val="continue"/>
            <w:tcBorders>
              <w:left w:val="single" w:color="auto" w:sz="4" w:space="0"/>
              <w:right w:val="single" w:color="auto" w:sz="4" w:space="0"/>
            </w:tcBorders>
            <w:shd w:val="clear" w:color="auto" w:fill="auto"/>
            <w:vAlign w:val="center"/>
          </w:tcPr>
          <w:p w14:paraId="369B9D0F">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0B25F18E">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华商基金管理有限公司</w:t>
            </w:r>
          </w:p>
        </w:tc>
        <w:tc>
          <w:tcPr>
            <w:tcW w:w="2162" w:type="pct"/>
            <w:tcBorders>
              <w:left w:val="single" w:color="auto" w:sz="4" w:space="0"/>
              <w:bottom w:val="single" w:color="auto" w:sz="4" w:space="0"/>
              <w:right w:val="single" w:color="auto" w:sz="4" w:space="0"/>
            </w:tcBorders>
            <w:shd w:val="clear" w:color="auto" w:fill="auto"/>
            <w:vAlign w:val="center"/>
          </w:tcPr>
          <w:p w14:paraId="1367024D">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海南翎展私募基金管理合伙企业(有限合伙)</w:t>
            </w:r>
          </w:p>
        </w:tc>
      </w:tr>
      <w:tr w14:paraId="06B7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97" w:type="pct"/>
            <w:vMerge w:val="continue"/>
            <w:tcBorders>
              <w:left w:val="single" w:color="auto" w:sz="4" w:space="0"/>
              <w:right w:val="single" w:color="auto" w:sz="4" w:space="0"/>
            </w:tcBorders>
            <w:shd w:val="clear" w:color="auto" w:fill="auto"/>
            <w:vAlign w:val="center"/>
          </w:tcPr>
          <w:p w14:paraId="7EEE8FEC">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1DA47B6C">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深圳市天同慧合企业管理有限公司</w:t>
            </w:r>
          </w:p>
        </w:tc>
        <w:tc>
          <w:tcPr>
            <w:tcW w:w="2162" w:type="pct"/>
            <w:tcBorders>
              <w:left w:val="single" w:color="auto" w:sz="4" w:space="0"/>
              <w:bottom w:val="single" w:color="auto" w:sz="4" w:space="0"/>
              <w:right w:val="single" w:color="auto" w:sz="4" w:space="0"/>
            </w:tcBorders>
            <w:shd w:val="clear" w:color="auto" w:fill="auto"/>
            <w:vAlign w:val="center"/>
          </w:tcPr>
          <w:p w14:paraId="254943BA">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珠海德若私募基金管理有限公司</w:t>
            </w:r>
          </w:p>
        </w:tc>
      </w:tr>
      <w:tr w14:paraId="4A11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97" w:type="pct"/>
            <w:vMerge w:val="continue"/>
            <w:tcBorders>
              <w:left w:val="single" w:color="auto" w:sz="4" w:space="0"/>
              <w:right w:val="single" w:color="auto" w:sz="4" w:space="0"/>
            </w:tcBorders>
            <w:shd w:val="clear" w:color="auto" w:fill="auto"/>
            <w:vAlign w:val="center"/>
          </w:tcPr>
          <w:p w14:paraId="591B6300">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722B1828">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中泰证券股份有限公司</w:t>
            </w:r>
          </w:p>
        </w:tc>
        <w:tc>
          <w:tcPr>
            <w:tcW w:w="2162" w:type="pct"/>
            <w:tcBorders>
              <w:left w:val="single" w:color="auto" w:sz="4" w:space="0"/>
              <w:bottom w:val="single" w:color="auto" w:sz="4" w:space="0"/>
              <w:right w:val="single" w:color="auto" w:sz="4" w:space="0"/>
            </w:tcBorders>
            <w:shd w:val="clear" w:color="auto" w:fill="auto"/>
            <w:vAlign w:val="center"/>
          </w:tcPr>
          <w:p w14:paraId="6509F53B">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观富(北京)资产管理有限公司</w:t>
            </w:r>
          </w:p>
        </w:tc>
      </w:tr>
      <w:tr w14:paraId="01B6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97" w:type="pct"/>
            <w:vMerge w:val="continue"/>
            <w:tcBorders>
              <w:left w:val="single" w:color="auto" w:sz="4" w:space="0"/>
              <w:right w:val="single" w:color="auto" w:sz="4" w:space="0"/>
            </w:tcBorders>
            <w:shd w:val="clear" w:color="auto" w:fill="auto"/>
            <w:vAlign w:val="center"/>
          </w:tcPr>
          <w:p w14:paraId="3F783A6B">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236A7FC3">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InPoint Asset</w:t>
            </w:r>
          </w:p>
        </w:tc>
        <w:tc>
          <w:tcPr>
            <w:tcW w:w="2162" w:type="pct"/>
            <w:tcBorders>
              <w:left w:val="single" w:color="auto" w:sz="4" w:space="0"/>
              <w:bottom w:val="single" w:color="auto" w:sz="4" w:space="0"/>
              <w:right w:val="single" w:color="auto" w:sz="4" w:space="0"/>
            </w:tcBorders>
            <w:shd w:val="clear" w:color="auto" w:fill="auto"/>
            <w:vAlign w:val="center"/>
          </w:tcPr>
          <w:p w14:paraId="1CEB15F9">
            <w:pPr>
              <w:keepNext w:val="0"/>
              <w:keepLines w:val="0"/>
              <w:widowControl/>
              <w:suppressLineNumbers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22"/>
                <w:szCs w:val="22"/>
                <w:u w:val="none"/>
                <w:lang w:val="en-US" w:eastAsia="zh-CN" w:bidi="ar"/>
              </w:rPr>
              <w:t>上海度势投资有限公司</w:t>
            </w:r>
          </w:p>
        </w:tc>
      </w:tr>
      <w:tr w14:paraId="4FEC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97" w:type="pct"/>
            <w:vMerge w:val="continue"/>
            <w:tcBorders>
              <w:left w:val="single" w:color="auto" w:sz="4" w:space="0"/>
              <w:right w:val="single" w:color="auto" w:sz="4" w:space="0"/>
            </w:tcBorders>
            <w:shd w:val="clear" w:color="auto" w:fill="auto"/>
            <w:vAlign w:val="center"/>
          </w:tcPr>
          <w:p w14:paraId="03C63B85">
            <w:pPr>
              <w:widowControl/>
              <w:jc w:val="left"/>
              <w:textAlignment w:val="center"/>
            </w:pPr>
          </w:p>
        </w:tc>
        <w:tc>
          <w:tcPr>
            <w:tcW w:w="2140" w:type="pct"/>
            <w:tcBorders>
              <w:left w:val="single" w:color="auto" w:sz="4" w:space="0"/>
              <w:bottom w:val="single" w:color="auto" w:sz="4" w:space="0"/>
              <w:right w:val="single" w:color="auto" w:sz="4" w:space="0"/>
            </w:tcBorders>
            <w:shd w:val="clear" w:color="auto" w:fill="auto"/>
            <w:vAlign w:val="center"/>
          </w:tcPr>
          <w:p w14:paraId="23D82DD1">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iCs w:val="0"/>
                <w:color w:val="000000"/>
                <w:kern w:val="0"/>
                <w:sz w:val="22"/>
                <w:szCs w:val="22"/>
                <w:u w:val="none"/>
                <w:lang w:val="en-US" w:eastAsia="zh-CN" w:bidi="ar"/>
              </w:rPr>
              <w:t>深圳市尚诚资产管理有限责任公司</w:t>
            </w:r>
          </w:p>
        </w:tc>
        <w:tc>
          <w:tcPr>
            <w:tcW w:w="2162" w:type="pct"/>
            <w:tcBorders>
              <w:left w:val="single" w:color="auto" w:sz="4" w:space="0"/>
              <w:bottom w:val="single" w:color="auto" w:sz="4" w:space="0"/>
              <w:right w:val="single" w:color="auto" w:sz="4" w:space="0"/>
            </w:tcBorders>
            <w:shd w:val="clear" w:color="auto" w:fill="auto"/>
            <w:vAlign w:val="center"/>
          </w:tcPr>
          <w:p w14:paraId="23640A51">
            <w:pPr>
              <w:jc w:val="left"/>
              <w:rPr>
                <w:rFonts w:hint="eastAsia" w:ascii="宋体" w:hAnsi="宋体" w:eastAsia="宋体" w:cs="宋体"/>
                <w:color w:val="000000"/>
                <w:kern w:val="0"/>
                <w:sz w:val="18"/>
                <w:szCs w:val="18"/>
                <w:lang w:bidi="ar"/>
              </w:rPr>
            </w:pPr>
          </w:p>
        </w:tc>
      </w:tr>
      <w:tr w14:paraId="6AF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06B11CB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43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F42B3F">
            <w:pPr>
              <w:jc w:val="lef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2026年</w:t>
            </w:r>
            <w:r>
              <w:rPr>
                <w:rFonts w:hint="eastAsia" w:ascii="Times New Roman" w:hAnsi="Times New Roman" w:eastAsia="宋体" w:cs="Times New Roman"/>
                <w:bCs/>
                <w:iCs/>
                <w:color w:val="000000"/>
                <w:sz w:val="24"/>
                <w:szCs w:val="24"/>
                <w:lang w:val="en-US" w:eastAsia="zh-CN"/>
              </w:rPr>
              <w:t>6</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8</w:t>
            </w:r>
            <w:r>
              <w:rPr>
                <w:rFonts w:hint="eastAsia" w:ascii="Times New Roman" w:hAnsi="Times New Roman" w:eastAsia="宋体" w:cs="Times New Roman"/>
                <w:bCs/>
                <w:iCs/>
                <w:color w:val="000000"/>
                <w:sz w:val="24"/>
                <w:szCs w:val="24"/>
              </w:rPr>
              <w:t>日</w:t>
            </w:r>
          </w:p>
        </w:tc>
      </w:tr>
      <w:tr w14:paraId="0A2E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1787CC0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43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F28FA1">
            <w:pPr>
              <w:jc w:val="lef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电话交流会</w:t>
            </w:r>
          </w:p>
        </w:tc>
      </w:tr>
      <w:tr w14:paraId="3C86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2B5A131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4302" w:type="pct"/>
            <w:gridSpan w:val="2"/>
            <w:tcBorders>
              <w:top w:val="single" w:color="auto" w:sz="4" w:space="0"/>
              <w:left w:val="single" w:color="auto" w:sz="4" w:space="0"/>
              <w:bottom w:val="single" w:color="auto" w:sz="4" w:space="0"/>
              <w:right w:val="single" w:color="auto" w:sz="4" w:space="0"/>
            </w:tcBorders>
            <w:shd w:val="clear" w:color="auto" w:fill="auto"/>
          </w:tcPr>
          <w:p w14:paraId="65336B8B">
            <w:pPr>
              <w:spacing w:line="480" w:lineRule="atLeast"/>
              <w:rPr>
                <w:rFonts w:hint="eastAsia"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董事会秘书：邓玲玲</w:t>
            </w:r>
            <w:bookmarkStart w:id="0" w:name="_GoBack"/>
            <w:bookmarkEnd w:id="0"/>
          </w:p>
        </w:tc>
      </w:tr>
      <w:tr w14:paraId="0EC9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57AF9F6E">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21110BB1">
            <w:pPr>
              <w:jc w:val="center"/>
              <w:rPr>
                <w:rFonts w:ascii="Times New Roman" w:hAnsi="Times New Roman" w:eastAsia="宋体" w:cs="Times New Roman"/>
                <w:bCs/>
                <w:iCs/>
                <w:color w:val="000000"/>
                <w:sz w:val="24"/>
                <w:szCs w:val="24"/>
              </w:rPr>
            </w:pPr>
          </w:p>
        </w:tc>
        <w:tc>
          <w:tcPr>
            <w:tcW w:w="4302" w:type="pct"/>
            <w:gridSpan w:val="2"/>
            <w:tcBorders>
              <w:top w:val="single" w:color="auto" w:sz="4" w:space="0"/>
              <w:left w:val="single" w:color="auto" w:sz="4" w:space="0"/>
              <w:bottom w:val="single" w:color="auto" w:sz="4" w:space="0"/>
              <w:right w:val="single" w:color="auto" w:sz="4" w:space="0"/>
            </w:tcBorders>
            <w:shd w:val="clear" w:color="auto" w:fill="auto"/>
          </w:tcPr>
          <w:p w14:paraId="4B339BC2">
            <w:pPr>
              <w:rPr>
                <w:rFonts w:hint="eastAsia"/>
                <w:b/>
                <w:bCs/>
              </w:rPr>
            </w:pPr>
            <w:r>
              <w:rPr>
                <w:rFonts w:hint="eastAsia"/>
                <w:b/>
                <w:bCs/>
                <w:lang w:val="en-US" w:eastAsia="zh-CN"/>
              </w:rPr>
              <w:t>1、</w:t>
            </w:r>
            <w:r>
              <w:rPr>
                <w:rFonts w:hint="eastAsia"/>
                <w:b/>
                <w:bCs/>
              </w:rPr>
              <w:t>公司驱动芯片（DDIC）、电子纸驱动及快充芯片等各类产品是否都同步进行了价格调整？</w:t>
            </w:r>
          </w:p>
          <w:p w14:paraId="7C5F694D">
            <w:pPr>
              <w:ind w:firstLine="420" w:firstLineChars="200"/>
              <w:rPr>
                <w:rFonts w:hint="eastAsia"/>
              </w:rPr>
            </w:pPr>
          </w:p>
          <w:p w14:paraId="465812FE">
            <w:pPr>
              <w:ind w:firstLine="420" w:firstLineChars="200"/>
              <w:rPr>
                <w:rFonts w:hint="eastAsia"/>
              </w:rPr>
            </w:pPr>
            <w:r>
              <w:rPr>
                <w:rFonts w:hint="eastAsia"/>
              </w:rPr>
              <w:t>尊敬的投资者，您好！感谢您对公司的关注。关于产品价格策略，公司始终坚持以市场需求为导向、以客户价值为核心。面对上游原材料成本上涨的压力，公司正密切关注成本端的变动情况，并根据原材料成本的实际增幅，适度、温和地调整部分产品的价格，以平滑成本上涨带来的压力。在定价策略上，我们会在保持产品市场竞争力的同时，努力通过技术优化和供应链管理来提升经营效率，确保公司整体毛利率水平处于合理区间。公司将持续致力于为客户提供高性价比的解决方案，以实现长期可持续发展。谢谢！</w:t>
            </w:r>
          </w:p>
          <w:p w14:paraId="39187594">
            <w:pPr>
              <w:rPr>
                <w:b/>
                <w:bCs/>
              </w:rPr>
            </w:pPr>
          </w:p>
          <w:p w14:paraId="3C999106">
            <w:pPr>
              <w:rPr>
                <w:rFonts w:hint="eastAsia"/>
                <w:b/>
                <w:bCs/>
              </w:rPr>
            </w:pPr>
            <w:r>
              <w:rPr>
                <w:rFonts w:hint="eastAsia"/>
                <w:b/>
                <w:bCs/>
                <w:lang w:val="en-US" w:eastAsia="zh-CN"/>
              </w:rPr>
              <w:t>2、</w:t>
            </w:r>
            <w:r>
              <w:rPr>
                <w:rFonts w:hint="eastAsia"/>
                <w:b/>
                <w:bCs/>
              </w:rPr>
              <w:t>公司能否分享一下海外客户拓展的进展？海外增长主要来自电子价签、显示驱动，还是快充、VCM等新产品？后续海外市场的增长可持续性如何判断？</w:t>
            </w:r>
          </w:p>
          <w:p w14:paraId="0A894898">
            <w:pPr>
              <w:ind w:firstLine="420" w:firstLineChars="200"/>
              <w:rPr>
                <w:rFonts w:hint="eastAsia"/>
              </w:rPr>
            </w:pPr>
          </w:p>
          <w:p w14:paraId="4B7C22EA">
            <w:pPr>
              <w:ind w:firstLine="420" w:firstLineChars="200"/>
            </w:pPr>
            <w:r>
              <w:rPr>
                <w:rFonts w:hint="eastAsia"/>
              </w:rPr>
              <w:t>尊敬的投资者，您好！感谢您对公司的关注。公司持续拓展海外优质客户，海外业务整体取得了积极进展。海外增长主要得益于电子价签驱动芯片业务的强劲需求，以及显示驱动芯片等产品的稳步拓展。公司电子价签驱动芯片凭借技术领先优势，已实现规模化出货，并服务于全球零售巨头，市场需求旺盛。公司将持续把握市场机遇，深化与海外客户的合作，努力取得订单，以推动海外业务的持续发展。关于后续海外市场的具体增长情况，敬请关注公司后续披露的定期报告及相关公告。谢谢！</w:t>
            </w:r>
          </w:p>
          <w:p w14:paraId="7BA0139F"/>
          <w:p w14:paraId="5A079BBE">
            <w:pPr>
              <w:rPr>
                <w:rFonts w:hint="eastAsia"/>
                <w:b/>
                <w:bCs/>
              </w:rPr>
            </w:pPr>
            <w:r>
              <w:rPr>
                <w:rFonts w:hint="eastAsia"/>
                <w:b/>
                <w:bCs/>
                <w:lang w:val="en-US" w:eastAsia="zh-CN"/>
              </w:rPr>
              <w:t>3、</w:t>
            </w:r>
            <w:r>
              <w:rPr>
                <w:rFonts w:hint="eastAsia"/>
                <w:b/>
                <w:bCs/>
              </w:rPr>
              <w:t>请问公司近期在优化产品结构、以及与上游晶圆厂协同降低成本方面，采取了哪些有效措施来稳定甚至提升毛利率？</w:t>
            </w:r>
          </w:p>
          <w:p w14:paraId="6D60BEAA">
            <w:pPr>
              <w:ind w:firstLine="420" w:firstLineChars="200"/>
              <w:rPr>
                <w:rFonts w:hint="eastAsia"/>
              </w:rPr>
            </w:pPr>
          </w:p>
          <w:p w14:paraId="70EEB09F">
            <w:pPr>
              <w:ind w:firstLine="420" w:firstLineChars="200"/>
              <w:rPr>
                <w:rFonts w:hint="eastAsia"/>
              </w:rPr>
            </w:pPr>
            <w:r>
              <w:rPr>
                <w:rFonts w:hint="eastAsia"/>
              </w:rPr>
              <w:t>尊敬的投资者，您好！感谢您对公司的关注。公司始终致力于通过优化产品结构与深化供应链协同来提升经营效率与盈利能力。</w:t>
            </w:r>
          </w:p>
          <w:p w14:paraId="407284B5">
            <w:pPr>
              <w:ind w:firstLine="420" w:firstLineChars="200"/>
              <w:rPr>
                <w:rFonts w:hint="eastAsia"/>
              </w:rPr>
            </w:pPr>
            <w:r>
              <w:rPr>
                <w:rFonts w:hint="eastAsia"/>
              </w:rPr>
              <w:t>在优化产品结构方面，公司坚持技术创新，持续加大研发投入，围绕高分辨率、高刷新率等关键指标提升产品性能，并不断完善LCDDDIC、TDDI、OLEDDDIC等多系列产品布局，以满足高端市场需求。同时，公司通过高毛利产品线的拓展和市场份额的提升，持续优化整体产品组合。</w:t>
            </w:r>
          </w:p>
          <w:p w14:paraId="58C2FCAF">
            <w:pPr>
              <w:ind w:firstLine="420" w:firstLineChars="200"/>
              <w:rPr>
                <w:rFonts w:hint="eastAsia"/>
              </w:rPr>
            </w:pPr>
            <w:r>
              <w:rPr>
                <w:rFonts w:hint="eastAsia"/>
              </w:rPr>
              <w:t>在与上游晶圆厂协同降低成本方面，公司严格遵循Fabless模式，持续完善多元化、安全稳定的供应链体系，深化与晶圆代工等上游核心伙伴的战略合作，以保障产能供给、产品品质与交付稳定性。公司通过架构优化、设计创新与制造流程改进，有效控制生产成本。未来，公司将继续通过上述举措，努力提升产品综合竞争力与运营效率，力求使毛利率水平保持在合理区间，以实现长期可持续发展。谢谢！</w:t>
            </w:r>
          </w:p>
          <w:p w14:paraId="06D5E61D">
            <w:pPr>
              <w:rPr>
                <w:rFonts w:hint="eastAsia"/>
              </w:rPr>
            </w:pPr>
          </w:p>
          <w:p w14:paraId="026DB0B5">
            <w:pPr>
              <w:rPr>
                <w:rFonts w:hint="eastAsia"/>
              </w:rPr>
            </w:pPr>
            <w:r>
              <w:rPr>
                <w:rFonts w:hint="eastAsia"/>
                <w:b/>
                <w:bCs/>
                <w:lang w:val="en-US" w:eastAsia="zh-CN"/>
              </w:rPr>
              <w:t>4、</w:t>
            </w:r>
            <w:r>
              <w:rPr>
                <w:b/>
                <w:bCs/>
              </w:rPr>
              <w:t>公司在传统产品线之外，是否有新的产品线布局或外延发展想法，例如利用在手现金进行投资并购？</w:t>
            </w:r>
          </w:p>
          <w:p w14:paraId="42CD9879">
            <w:pPr>
              <w:ind w:firstLine="420" w:firstLineChars="200"/>
              <w:rPr>
                <w:rFonts w:hint="eastAsia"/>
              </w:rPr>
            </w:pPr>
          </w:p>
          <w:p w14:paraId="658EC1F6">
            <w:pPr>
              <w:ind w:firstLine="420" w:firstLineChars="200"/>
              <w:rPr>
                <w:rFonts w:ascii="宋体" w:hAnsi="宋体" w:eastAsia="宋体" w:cs="宋体"/>
                <w:color w:val="000000"/>
                <w:kern w:val="0"/>
                <w:sz w:val="24"/>
                <w:szCs w:val="24"/>
                <w:lang w:bidi="ar"/>
              </w:rPr>
            </w:pPr>
            <w:r>
              <w:rPr>
                <w:rFonts w:hint="eastAsia"/>
              </w:rPr>
              <w:t>尊敬的投资者，您好！感谢您对公司的关注。关于未来发展规划，公司将围绕主营业务与长期发展战略，密切关注行业技术变革及产业链上下游机遇，审慎开展产业投资与并购整合，以完善战略布局。公司将持续强化现有四大产品线的技术优势，并积极拓展新产品领域，丰富产品矩阵。具体的投资并购计划，如涉及需披露事项，公司将严格按照相关法律法规履行信息披露义务。敬请关注公司后续公告。谢谢！</w:t>
            </w:r>
          </w:p>
        </w:tc>
      </w:tr>
      <w:tr w14:paraId="66A5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534D51E6">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43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7C28AE">
            <w:pPr>
              <w:widowControl/>
              <w:ind w:firstLine="480" w:firstLineChars="200"/>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本次活动，公司严格按照相关规定交流沟通，不存在未公开重大信息泄露等情形。</w:t>
            </w:r>
          </w:p>
        </w:tc>
      </w:tr>
      <w:tr w14:paraId="27F8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4D13041A">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4302" w:type="pct"/>
            <w:gridSpan w:val="2"/>
            <w:tcBorders>
              <w:top w:val="single" w:color="auto" w:sz="4" w:space="0"/>
              <w:left w:val="single" w:color="auto" w:sz="4" w:space="0"/>
              <w:bottom w:val="single" w:color="auto" w:sz="4" w:space="0"/>
              <w:right w:val="single" w:color="auto" w:sz="4" w:space="0"/>
            </w:tcBorders>
            <w:shd w:val="clear" w:color="auto" w:fill="auto"/>
          </w:tcPr>
          <w:p w14:paraId="35620E99">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无</w:t>
            </w:r>
          </w:p>
        </w:tc>
      </w:tr>
      <w:tr w14:paraId="3270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97" w:type="pct"/>
            <w:tcBorders>
              <w:top w:val="single" w:color="auto" w:sz="4" w:space="0"/>
              <w:left w:val="single" w:color="auto" w:sz="4" w:space="0"/>
              <w:bottom w:val="single" w:color="auto" w:sz="4" w:space="0"/>
              <w:right w:val="single" w:color="auto" w:sz="4" w:space="0"/>
            </w:tcBorders>
            <w:shd w:val="clear" w:color="auto" w:fill="auto"/>
            <w:vAlign w:val="center"/>
          </w:tcPr>
          <w:p w14:paraId="2CF708F4">
            <w:pPr>
              <w:jc w:val="center"/>
              <w:rPr>
                <w:rFonts w:ascii="Times New Roman" w:hAnsi="Times New Roman" w:eastAsia="宋体" w:cs="Times New Roman"/>
                <w:bCs/>
                <w:iCs/>
                <w:sz w:val="24"/>
                <w:szCs w:val="24"/>
              </w:rPr>
            </w:pPr>
            <w:r>
              <w:rPr>
                <w:rFonts w:ascii="Times New Roman" w:hAnsi="Times New Roman" w:eastAsia="宋体" w:cs="Times New Roman"/>
                <w:bCs/>
                <w:iCs/>
                <w:sz w:val="24"/>
                <w:szCs w:val="24"/>
              </w:rPr>
              <w:t>日期</w:t>
            </w:r>
          </w:p>
        </w:tc>
        <w:tc>
          <w:tcPr>
            <w:tcW w:w="43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05F9B9">
            <w:pPr>
              <w:rPr>
                <w:rFonts w:ascii="Times New Roman" w:hAnsi="Times New Roman" w:eastAsia="宋体" w:cs="Times New Roman"/>
                <w:bCs/>
                <w:iCs/>
                <w:sz w:val="24"/>
                <w:szCs w:val="24"/>
              </w:rPr>
            </w:pPr>
            <w:r>
              <w:rPr>
                <w:rFonts w:hint="eastAsia" w:ascii="Times New Roman" w:hAnsi="Times New Roman" w:eastAsia="宋体" w:cs="Times New Roman"/>
                <w:bCs/>
                <w:iCs/>
                <w:sz w:val="24"/>
                <w:szCs w:val="24"/>
              </w:rPr>
              <w:t>2026年</w:t>
            </w:r>
            <w:r>
              <w:rPr>
                <w:rFonts w:hint="eastAsia" w:ascii="Times New Roman" w:hAnsi="Times New Roman" w:eastAsia="宋体" w:cs="Times New Roman"/>
                <w:bCs/>
                <w:iCs/>
                <w:sz w:val="24"/>
                <w:szCs w:val="24"/>
                <w:lang w:val="en-US" w:eastAsia="zh-CN"/>
              </w:rPr>
              <w:t>6</w:t>
            </w:r>
            <w:r>
              <w:rPr>
                <w:rFonts w:hint="eastAsia" w:ascii="Times New Roman" w:hAnsi="Times New Roman" w:eastAsia="宋体" w:cs="Times New Roman"/>
                <w:bCs/>
                <w:iCs/>
                <w:sz w:val="24"/>
                <w:szCs w:val="24"/>
              </w:rPr>
              <w:t>月</w:t>
            </w:r>
            <w:r>
              <w:rPr>
                <w:rFonts w:hint="eastAsia" w:ascii="Times New Roman" w:hAnsi="Times New Roman" w:eastAsia="宋体" w:cs="Times New Roman"/>
                <w:bCs/>
                <w:iCs/>
                <w:sz w:val="24"/>
                <w:szCs w:val="24"/>
                <w:lang w:val="en-US" w:eastAsia="zh-CN"/>
              </w:rPr>
              <w:t>8</w:t>
            </w:r>
            <w:r>
              <w:rPr>
                <w:rFonts w:hint="eastAsia" w:ascii="Times New Roman" w:hAnsi="Times New Roman" w:eastAsia="宋体" w:cs="Times New Roman"/>
                <w:bCs/>
                <w:iCs/>
                <w:sz w:val="24"/>
                <w:szCs w:val="24"/>
              </w:rPr>
              <w:t>日</w:t>
            </w:r>
          </w:p>
        </w:tc>
      </w:tr>
    </w:tbl>
    <w:p w14:paraId="3170377A">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hZTlhNDEzODk0NWVlMDU2MTIzMWE5MGVmM2M5Y2IifQ=="/>
  </w:docVars>
  <w:rsids>
    <w:rsidRoot w:val="4E4C5872"/>
    <w:rsid w:val="00014C9A"/>
    <w:rsid w:val="00041346"/>
    <w:rsid w:val="00051138"/>
    <w:rsid w:val="00077269"/>
    <w:rsid w:val="000C202A"/>
    <w:rsid w:val="000C51C5"/>
    <w:rsid w:val="001012FC"/>
    <w:rsid w:val="00135507"/>
    <w:rsid w:val="0016783D"/>
    <w:rsid w:val="001B2BF9"/>
    <w:rsid w:val="0021215C"/>
    <w:rsid w:val="00223F94"/>
    <w:rsid w:val="00232C35"/>
    <w:rsid w:val="00270A26"/>
    <w:rsid w:val="002C629B"/>
    <w:rsid w:val="002E29D6"/>
    <w:rsid w:val="003268FF"/>
    <w:rsid w:val="00373524"/>
    <w:rsid w:val="00380C08"/>
    <w:rsid w:val="0038452F"/>
    <w:rsid w:val="00386D2D"/>
    <w:rsid w:val="003B5F7A"/>
    <w:rsid w:val="003E24FB"/>
    <w:rsid w:val="003F124B"/>
    <w:rsid w:val="00466BA7"/>
    <w:rsid w:val="00524A7E"/>
    <w:rsid w:val="005827B7"/>
    <w:rsid w:val="005A6039"/>
    <w:rsid w:val="005D2BD9"/>
    <w:rsid w:val="005D7C44"/>
    <w:rsid w:val="005E04B2"/>
    <w:rsid w:val="00631262"/>
    <w:rsid w:val="00657B07"/>
    <w:rsid w:val="0066264A"/>
    <w:rsid w:val="00663864"/>
    <w:rsid w:val="00675087"/>
    <w:rsid w:val="006C7B83"/>
    <w:rsid w:val="006D0743"/>
    <w:rsid w:val="008746DE"/>
    <w:rsid w:val="008E3248"/>
    <w:rsid w:val="00922176"/>
    <w:rsid w:val="00973C3D"/>
    <w:rsid w:val="00991C92"/>
    <w:rsid w:val="00994041"/>
    <w:rsid w:val="00A21808"/>
    <w:rsid w:val="00A222A4"/>
    <w:rsid w:val="00A25D6E"/>
    <w:rsid w:val="00A4567D"/>
    <w:rsid w:val="00A86209"/>
    <w:rsid w:val="00AB2E69"/>
    <w:rsid w:val="00AB4173"/>
    <w:rsid w:val="00B55B2B"/>
    <w:rsid w:val="00B62565"/>
    <w:rsid w:val="00BD7B2D"/>
    <w:rsid w:val="00C70537"/>
    <w:rsid w:val="00C85A2C"/>
    <w:rsid w:val="00D0612E"/>
    <w:rsid w:val="00D44537"/>
    <w:rsid w:val="00D459F5"/>
    <w:rsid w:val="00D9564B"/>
    <w:rsid w:val="00DC028D"/>
    <w:rsid w:val="00DC1F47"/>
    <w:rsid w:val="00DD66C6"/>
    <w:rsid w:val="00E10369"/>
    <w:rsid w:val="00E328A4"/>
    <w:rsid w:val="00E626E1"/>
    <w:rsid w:val="00E7022E"/>
    <w:rsid w:val="00E86208"/>
    <w:rsid w:val="00E90257"/>
    <w:rsid w:val="00E9742B"/>
    <w:rsid w:val="00EA2B85"/>
    <w:rsid w:val="00EE3E9F"/>
    <w:rsid w:val="00F15A5A"/>
    <w:rsid w:val="00F22009"/>
    <w:rsid w:val="00F8103E"/>
    <w:rsid w:val="00F864DB"/>
    <w:rsid w:val="00FA34DF"/>
    <w:rsid w:val="00FB6718"/>
    <w:rsid w:val="00FC4333"/>
    <w:rsid w:val="00FF221D"/>
    <w:rsid w:val="016F5A56"/>
    <w:rsid w:val="01EC3E90"/>
    <w:rsid w:val="02E903CF"/>
    <w:rsid w:val="03822EFC"/>
    <w:rsid w:val="04161698"/>
    <w:rsid w:val="0468306B"/>
    <w:rsid w:val="052E656D"/>
    <w:rsid w:val="05380302"/>
    <w:rsid w:val="05434EA7"/>
    <w:rsid w:val="055C0305"/>
    <w:rsid w:val="08227BFE"/>
    <w:rsid w:val="089D5EE4"/>
    <w:rsid w:val="092B1742"/>
    <w:rsid w:val="09F96578"/>
    <w:rsid w:val="0A4933F3"/>
    <w:rsid w:val="0A5B7E05"/>
    <w:rsid w:val="0A5D4B3B"/>
    <w:rsid w:val="0A9A73EE"/>
    <w:rsid w:val="0AE95411"/>
    <w:rsid w:val="0C177D5B"/>
    <w:rsid w:val="0DAC6CBC"/>
    <w:rsid w:val="0DDF7558"/>
    <w:rsid w:val="0F4073E7"/>
    <w:rsid w:val="0F9D2C6D"/>
    <w:rsid w:val="1047786D"/>
    <w:rsid w:val="1084548A"/>
    <w:rsid w:val="10A65B38"/>
    <w:rsid w:val="10EF09BF"/>
    <w:rsid w:val="112B018C"/>
    <w:rsid w:val="11641C95"/>
    <w:rsid w:val="11BC387F"/>
    <w:rsid w:val="12EC50BD"/>
    <w:rsid w:val="130E667E"/>
    <w:rsid w:val="145B5BE8"/>
    <w:rsid w:val="14F95EB0"/>
    <w:rsid w:val="157633D7"/>
    <w:rsid w:val="160A3274"/>
    <w:rsid w:val="163119B3"/>
    <w:rsid w:val="16420245"/>
    <w:rsid w:val="16AC607D"/>
    <w:rsid w:val="1901601B"/>
    <w:rsid w:val="197E141A"/>
    <w:rsid w:val="19BE73EB"/>
    <w:rsid w:val="1A977CB9"/>
    <w:rsid w:val="1F2D27EA"/>
    <w:rsid w:val="1FB77D57"/>
    <w:rsid w:val="206D21E8"/>
    <w:rsid w:val="21E85FCA"/>
    <w:rsid w:val="22351ABC"/>
    <w:rsid w:val="2305495A"/>
    <w:rsid w:val="23293051"/>
    <w:rsid w:val="24A361D8"/>
    <w:rsid w:val="25A328ED"/>
    <w:rsid w:val="262C6984"/>
    <w:rsid w:val="26E70454"/>
    <w:rsid w:val="276B1BCF"/>
    <w:rsid w:val="279D33B3"/>
    <w:rsid w:val="282B7CB0"/>
    <w:rsid w:val="28CF2509"/>
    <w:rsid w:val="29E3678C"/>
    <w:rsid w:val="29F574D6"/>
    <w:rsid w:val="2B746B21"/>
    <w:rsid w:val="2BC5112A"/>
    <w:rsid w:val="2BFA1CD5"/>
    <w:rsid w:val="2C8F26FA"/>
    <w:rsid w:val="2D4300C9"/>
    <w:rsid w:val="2D5072E5"/>
    <w:rsid w:val="2D617A2B"/>
    <w:rsid w:val="2D630BFB"/>
    <w:rsid w:val="3043457C"/>
    <w:rsid w:val="304A61B2"/>
    <w:rsid w:val="30B05B70"/>
    <w:rsid w:val="32764F2C"/>
    <w:rsid w:val="335F00B6"/>
    <w:rsid w:val="33FF27C2"/>
    <w:rsid w:val="34156BEB"/>
    <w:rsid w:val="34D72A5E"/>
    <w:rsid w:val="35150A87"/>
    <w:rsid w:val="366F23BE"/>
    <w:rsid w:val="36C879B2"/>
    <w:rsid w:val="37FA3DEA"/>
    <w:rsid w:val="389649A8"/>
    <w:rsid w:val="398010C6"/>
    <w:rsid w:val="39BA4B8C"/>
    <w:rsid w:val="3A6475AB"/>
    <w:rsid w:val="3AF17846"/>
    <w:rsid w:val="3C306C1A"/>
    <w:rsid w:val="3ECD2378"/>
    <w:rsid w:val="3F06588A"/>
    <w:rsid w:val="3FBD23EC"/>
    <w:rsid w:val="406D3E12"/>
    <w:rsid w:val="416F51D6"/>
    <w:rsid w:val="41817970"/>
    <w:rsid w:val="429A07C3"/>
    <w:rsid w:val="42BA70B7"/>
    <w:rsid w:val="430550E6"/>
    <w:rsid w:val="43486FF0"/>
    <w:rsid w:val="448F3A3F"/>
    <w:rsid w:val="461A29D0"/>
    <w:rsid w:val="46D12780"/>
    <w:rsid w:val="47982B20"/>
    <w:rsid w:val="48AC3DAF"/>
    <w:rsid w:val="4A58343D"/>
    <w:rsid w:val="4CF612C3"/>
    <w:rsid w:val="4D1675E0"/>
    <w:rsid w:val="4E4C5872"/>
    <w:rsid w:val="4EB225BB"/>
    <w:rsid w:val="50646D59"/>
    <w:rsid w:val="50E60BA8"/>
    <w:rsid w:val="51750164"/>
    <w:rsid w:val="51D81616"/>
    <w:rsid w:val="52795A61"/>
    <w:rsid w:val="53034162"/>
    <w:rsid w:val="55927687"/>
    <w:rsid w:val="56061C17"/>
    <w:rsid w:val="562C55D2"/>
    <w:rsid w:val="565F7815"/>
    <w:rsid w:val="57B40121"/>
    <w:rsid w:val="58262DCD"/>
    <w:rsid w:val="59B44E24"/>
    <w:rsid w:val="5ABE6548"/>
    <w:rsid w:val="5B503CBD"/>
    <w:rsid w:val="5CAB38A1"/>
    <w:rsid w:val="5D746389"/>
    <w:rsid w:val="5EBB2C44"/>
    <w:rsid w:val="600F2399"/>
    <w:rsid w:val="605C4EB2"/>
    <w:rsid w:val="60723BD8"/>
    <w:rsid w:val="616F7F1E"/>
    <w:rsid w:val="62952C2D"/>
    <w:rsid w:val="62A6291C"/>
    <w:rsid w:val="62B83F77"/>
    <w:rsid w:val="62C603F1"/>
    <w:rsid w:val="63A1648C"/>
    <w:rsid w:val="651346D9"/>
    <w:rsid w:val="656D30D8"/>
    <w:rsid w:val="65804C4D"/>
    <w:rsid w:val="65F55820"/>
    <w:rsid w:val="67866B91"/>
    <w:rsid w:val="678F66C0"/>
    <w:rsid w:val="680E72CD"/>
    <w:rsid w:val="68AB4C28"/>
    <w:rsid w:val="68E37F41"/>
    <w:rsid w:val="68F07894"/>
    <w:rsid w:val="692F7608"/>
    <w:rsid w:val="6A846C3C"/>
    <w:rsid w:val="6E0E5A3E"/>
    <w:rsid w:val="6E8A571E"/>
    <w:rsid w:val="6F7C52D9"/>
    <w:rsid w:val="6F94661F"/>
    <w:rsid w:val="700510C2"/>
    <w:rsid w:val="70075BD7"/>
    <w:rsid w:val="705078C9"/>
    <w:rsid w:val="72200435"/>
    <w:rsid w:val="744D2BDD"/>
    <w:rsid w:val="75E3075A"/>
    <w:rsid w:val="764B0E32"/>
    <w:rsid w:val="775841CD"/>
    <w:rsid w:val="77911234"/>
    <w:rsid w:val="7813558F"/>
    <w:rsid w:val="78E94215"/>
    <w:rsid w:val="7A37631C"/>
    <w:rsid w:val="7A8619BC"/>
    <w:rsid w:val="7B1859C4"/>
    <w:rsid w:val="7BD46D0B"/>
    <w:rsid w:val="7C0D37D8"/>
    <w:rsid w:val="7CFE75C5"/>
    <w:rsid w:val="7D9664FE"/>
    <w:rsid w:val="7EC74B2E"/>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7"/>
    <w:autoRedefine/>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0"/>
    <w:rPr>
      <w:i/>
    </w:rPr>
  </w:style>
  <w:style w:type="character" w:styleId="13">
    <w:name w:val="Hyperlink"/>
    <w:basedOn w:val="11"/>
    <w:autoRedefine/>
    <w:unhideWhenUsed/>
    <w:qFormat/>
    <w:uiPriority w:val="99"/>
    <w:rPr>
      <w:color w:val="0000FF"/>
      <w:u w:val="single"/>
    </w:rPr>
  </w:style>
  <w:style w:type="character" w:styleId="14">
    <w:name w:val="annotation reference"/>
    <w:basedOn w:val="11"/>
    <w:autoRedefine/>
    <w:qFormat/>
    <w:uiPriority w:val="0"/>
    <w:rPr>
      <w:sz w:val="21"/>
      <w:szCs w:val="21"/>
    </w:rPr>
  </w:style>
  <w:style w:type="character" w:customStyle="1" w:styleId="15">
    <w:name w:val="批注框文本 字符"/>
    <w:basedOn w:val="11"/>
    <w:link w:val="4"/>
    <w:autoRedefine/>
    <w:qFormat/>
    <w:uiPriority w:val="0"/>
    <w:rPr>
      <w:kern w:val="2"/>
      <w:sz w:val="18"/>
      <w:szCs w:val="18"/>
    </w:rPr>
  </w:style>
  <w:style w:type="character" w:customStyle="1" w:styleId="16">
    <w:name w:val="批注文字 字符"/>
    <w:basedOn w:val="11"/>
    <w:link w:val="3"/>
    <w:autoRedefine/>
    <w:qFormat/>
    <w:uiPriority w:val="0"/>
    <w:rPr>
      <w:kern w:val="2"/>
      <w:sz w:val="21"/>
      <w:szCs w:val="22"/>
    </w:rPr>
  </w:style>
  <w:style w:type="character" w:customStyle="1" w:styleId="17">
    <w:name w:val="批注主题 字符"/>
    <w:basedOn w:val="16"/>
    <w:link w:val="8"/>
    <w:autoRedefine/>
    <w:qFormat/>
    <w:uiPriority w:val="0"/>
    <w:rPr>
      <w:b/>
      <w:bCs/>
      <w:kern w:val="2"/>
      <w:sz w:val="21"/>
      <w:szCs w:val="22"/>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paragraph" w:styleId="2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4729fb4f-edec-4aa0-ab91-0b4d08a99445</errorID>
      <errorWord>(</errorWord>
      <group>L1_Format</group>
      <groupName>格式问题</groupName>
      <ability>L2_HalfPunc</ability>
      <abilityName>全半角检查</abilityName>
      <candidateList>
        <item>（</item>
      </candidateList>
      <explain>文本全半角错误。</explain>
      <paraID>302B54E6</paraID>
      <start>4</start>
      <end>5</end>
      <status>unmodified</status>
      <modifiedWord/>
      <trackRevisions>false</trackRevisions>
    </reviewItem>
    <reviewItem>
      <errorID>3f670799-36c0-4792-a909-abd2951560f4</errorID>
      <errorWord>)</errorWord>
      <group>L1_Format</group>
      <groupName>格式问题</groupName>
      <ability>L2_HalfPunc</ability>
      <abilityName>全半角检查</abilityName>
      <candidateList>
        <item>）</item>
      </candidateList>
      <explain>文本全半角错误。</explain>
      <paraID>302B54E6</paraID>
      <start>7</start>
      <end>8</end>
      <status>unmodified</status>
      <modifiedWord/>
      <trackRevisions>false</trackRevisions>
    </reviewItem>
    <reviewItem>
      <errorID>9a4f55fb-c137-4285-86c5-73a968126a4d</errorID>
      <errorWord>(</errorWord>
      <group>L1_Format</group>
      <groupName>格式问题</groupName>
      <ability>L2_HalfPunc</ability>
      <abilityName>全半角检查</abilityName>
      <candidateList>
        <item>（</item>
      </candidateList>
      <explain>文本全半角错误。</explain>
      <paraID>333FAD43</paraID>
      <start>2</start>
      <end>3</end>
      <status>unmodified</status>
      <modifiedWord/>
      <trackRevisions>false</trackRevisions>
    </reviewItem>
    <reviewItem>
      <errorID>8eb9a579-3888-48d0-8d5a-f6082c81d80f</errorID>
      <errorWord>)</errorWord>
      <group>L1_Format</group>
      <groupName>格式问题</groupName>
      <ability>L2_HalfPunc</ability>
      <abilityName>全半角检查</abilityName>
      <candidateList>
        <item>）</item>
      </candidateList>
      <explain>文本全半角错误。</explain>
      <paraID>333FAD43</paraID>
      <start>5</start>
      <end>6</end>
      <status>unmodified</status>
      <modifiedWord/>
      <trackRevisions>false</trackRevisions>
    </reviewItem>
    <reviewItem>
      <errorID>8a3031ce-d3f6-4ba0-86e6-a2e1ad994dca</errorID>
      <errorWord>(</errorWord>
      <group>L1_Format</group>
      <groupName>格式问题</groupName>
      <ability>L2_HalfPunc</ability>
      <abilityName>全半角检查</abilityName>
      <candidateList>
        <item>（</item>
      </candidateList>
      <explain>文本全半角错误。</explain>
      <paraID>559C79A3</paraID>
      <start>8</start>
      <end>9</end>
      <status>unmodified</status>
      <modifiedWord/>
      <trackRevisions>false</trackRevisions>
    </reviewItem>
    <reviewItem>
      <errorID>58fb751c-5c0f-4c5f-a9cb-d294f472c1ac</errorID>
      <errorWord>)</errorWord>
      <group>L1_Format</group>
      <groupName>格式问题</groupName>
      <ability>L2_HalfPunc</ability>
      <abilityName>全半角检查</abilityName>
      <candidateList>
        <item>）</item>
      </candidateList>
      <explain>文本全半角错误。</explain>
      <paraID>559C79A3</paraID>
      <start>11</start>
      <end>12</end>
      <status>unmodified</status>
      <modifiedWord/>
      <trackRevisions>false</trackRevisions>
    </reviewItem>
    <reviewItem>
      <errorID>20c523db-8e7e-4dd5-bf01-02b845f8c6e9</errorID>
      <errorWord>(</errorWord>
      <group>L1_Format</group>
      <groupName>格式问题</groupName>
      <ability>L2_HalfPunc</ability>
      <abilityName>全半角检查</abilityName>
      <candidateList>
        <item>（</item>
      </candidateList>
      <explain>文本全半角错误。</explain>
      <paraID>46101F63</paraID>
      <start>4</start>
      <end>5</end>
      <status>unmodified</status>
      <modifiedWord/>
      <trackRevisions>false</trackRevisions>
    </reviewItem>
    <reviewItem>
      <errorID>95324474-2997-4263-b5d1-d8b39d86a870</errorID>
      <errorWord>)</errorWord>
      <group>L1_Format</group>
      <groupName>格式问题</groupName>
      <ability>L2_HalfPunc</ability>
      <abilityName>全半角检查</abilityName>
      <candidateList>
        <item>）</item>
      </candidateList>
      <explain>文本全半角错误。</explain>
      <paraID>46101F63</paraID>
      <start>7</start>
      <end>8</end>
      <status>unmodified</status>
      <modifiedWord/>
      <trackRevisions>false</trackRevisions>
    </reviewItem>
    <reviewItem>
      <errorID>b5e09f33-f901-4150-a96e-ef8337ecbfd1</errorID>
      <errorWord>(</errorWord>
      <group>L1_Format</group>
      <groupName>格式问题</groupName>
      <ability>L2_HalfPunc</ability>
      <abilityName>全半角检查</abilityName>
      <candidateList>
        <item>（</item>
      </candidateList>
      <explain>文本全半角错误。</explain>
      <paraID> AB1E0CE</paraID>
      <start>9</start>
      <end>10</end>
      <status>unmodified</status>
      <modifiedWord/>
      <trackRevisions>false</trackRevisions>
    </reviewItem>
    <reviewItem>
      <errorID>ad2150fb-654b-4e88-83af-e55ad247bd56</errorID>
      <errorWord>)</errorWord>
      <group>L1_Format</group>
      <groupName>格式问题</groupName>
      <ability>L2_HalfPunc</ability>
      <abilityName>全半角检查</abilityName>
      <candidateList>
        <item>）</item>
      </candidateList>
      <explain>文本全半角错误。</explain>
      <paraID> AB1E0CE</paraID>
      <start>12</start>
      <end>13</end>
      <status>unmodified</status>
      <modifiedWord/>
      <trackRevisions>false</trackRevisions>
    </reviewItem>
    <reviewItem>
      <errorID>40ec5dc8-8cb6-47b3-a5ed-179ee2ce8d2f</errorID>
      <errorWord>(</errorWord>
      <group>L1_Format</group>
      <groupName>格式问题</groupName>
      <ability>L2_HalfPunc</ability>
      <abilityName>全半角检查</abilityName>
      <candidateList>
        <item>（</item>
      </candidateList>
      <explain>文本全半角错误。</explain>
      <paraID> 265F816</paraID>
      <start>4</start>
      <end>5</end>
      <status>unmodified</status>
      <modifiedWord/>
      <trackRevisions>false</trackRevisions>
    </reviewItem>
    <reviewItem>
      <errorID>9affe382-609e-42cf-91f2-0c8f687513b5</errorID>
      <errorWord>)</errorWord>
      <group>L1_Format</group>
      <groupName>格式问题</groupName>
      <ability>L2_HalfPunc</ability>
      <abilityName>全半角检查</abilityName>
      <candidateList>
        <item>）</item>
      </candidateList>
      <explain>文本全半角错误。</explain>
      <paraID> 265F816</paraID>
      <start>7</start>
      <end>8</end>
      <status>unmodified</status>
      <modifiedWord/>
      <trackRevisions>false</trackRevisions>
    </reviewItem>
    <reviewItem>
      <errorID>475b0250-413a-43c5-b4c8-bf1c4d34630c</errorID>
      <errorWord>(</errorWord>
      <group>L1_Format</group>
      <groupName>格式问题</groupName>
      <ability>L2_HalfPunc</ability>
      <abilityName>全半角检查</abilityName>
      <candidateList>
        <item>（</item>
      </candidateList>
      <explain>文本全半角错误。</explain>
      <paraID>236A7FC3</paraID>
      <start>2</start>
      <end>3</end>
      <status>unmodified</status>
      <modifiedWord/>
      <trackRevisions>false</trackRevisions>
    </reviewItem>
    <reviewItem>
      <errorID>b1b11a18-84e8-47f2-9b2d-feb05c093dc9</errorID>
      <errorWord>)</errorWord>
      <group>L1_Format</group>
      <groupName>格式问题</groupName>
      <ability>L2_HalfPunc</ability>
      <abilityName>全半角检查</abilityName>
      <candidateList>
        <item>）</item>
      </candidateList>
      <explain>文本全半角错误。</explain>
      <paraID>236A7FC3</paraID>
      <start>5</start>
      <end>6</end>
      <status>unmodified</status>
      <modifiedWord/>
      <trackRevisions>false</trackRevisions>
    </reviewItem>
    <reviewItem>
      <errorID>ae38fc47-5d4f-4377-a063-293e7eb2dceb</errorID>
      <errorWord>(</errorWord>
      <group>L1_Format</group>
      <groupName>格式问题</groupName>
      <ability>L2_HalfPunc</ability>
      <abilityName>全半角检查</abilityName>
      <candidateList>
        <item>（</item>
      </candidateList>
      <explain>文本全半角错误。</explain>
      <paraID>3B2822E7</paraID>
      <start>10</start>
      <end>11</end>
      <status>unmodified</status>
      <modifiedWord/>
      <trackRevisions>false</trackRevisions>
    </reviewItem>
    <reviewItem>
      <errorID>222f32fd-5f22-4714-b483-ae667a60541c</errorID>
      <errorWord>)</errorWord>
      <group>L1_Format</group>
      <groupName>格式问题</groupName>
      <ability>L2_HalfPunc</ability>
      <abilityName>全半角检查</abilityName>
      <candidateList>
        <item>）</item>
      </candidateList>
      <explain>文本全半角错误。</explain>
      <paraID>3B2822E7</paraID>
      <start>15</start>
      <end>16</end>
      <status>unmodified</status>
      <modifiedWord/>
      <trackRevisions>false</trackRevisions>
    </reviewItem>
    <reviewItem>
      <errorID>d5a0db9e-14c5-446e-8ae3-d14c04e5f59d</errorID>
      <errorWord>(</errorWord>
      <group>L1_Format</group>
      <groupName>格式问题</groupName>
      <ability>L2_HalfPunc</ability>
      <abilityName>全半角检查</abilityName>
      <candidateList>
        <item>（</item>
      </candidateList>
      <explain>文本全半角错误。</explain>
      <paraID>42A3B824</paraID>
      <start>12</start>
      <end>13</end>
      <status>unmodified</status>
      <modifiedWord/>
      <trackRevisions>false</trackRevisions>
    </reviewItem>
    <reviewItem>
      <errorID>25118c6b-38ae-4f26-9386-4145b9c3db01</errorID>
      <errorWord>)</errorWord>
      <group>L1_Format</group>
      <groupName>格式问题</groupName>
      <ability>L2_HalfPunc</ability>
      <abilityName>全半角检查</abilityName>
      <candidateList>
        <item>）</item>
      </candidateList>
      <explain>文本全半角错误。</explain>
      <paraID>42A3B824</paraID>
      <start>17</start>
      <end>18</end>
      <status>unmodified</status>
      <modifiedWord/>
      <trackRevisions>false</trackRevisions>
    </reviewItem>
    <reviewItem>
      <errorID>c9411212-8485-4f15-aff4-bca4ad72a066</errorID>
      <errorWord>(</errorWord>
      <group>L1_Format</group>
      <groupName>格式问题</groupName>
      <ability>L2_HalfPunc</ability>
      <abilityName>全半角检查</abilityName>
      <candidateList>
        <item>（</item>
      </candidateList>
      <explain>文本全半角错误。</explain>
      <paraID>457C5D46</paraID>
      <start>10</start>
      <end>11</end>
      <status>unmodified</status>
      <modifiedWord/>
      <trackRevisions>false</trackRevisions>
    </reviewItem>
    <reviewItem>
      <errorID>9e2f848b-9f93-4134-b764-cabcabe2cc80</errorID>
      <errorWord>)</errorWord>
      <group>L1_Format</group>
      <groupName>格式问题</groupName>
      <ability>L2_HalfPunc</ability>
      <abilityName>全半角检查</abilityName>
      <candidateList>
        <item>）</item>
      </candidateList>
      <explain>文本全半角错误。</explain>
      <paraID>457C5D46</paraID>
      <start>15</start>
      <end>16</end>
      <status>unmodified</status>
      <modifiedWord/>
      <trackRevisions>false</trackRevisions>
    </reviewItem>
    <reviewItem>
      <errorID>77258775-311b-4c89-a401-bf80a376fffb</errorID>
      <errorWord>(</errorWord>
      <group>L1_Format</group>
      <groupName>格式问题</groupName>
      <ability>L2_HalfPunc</ability>
      <abilityName>全半角检查</abilityName>
      <candidateList>
        <item>（</item>
      </candidateList>
      <explain>文本全半角错误。</explain>
      <paraID>3A169CA6</paraID>
      <start>2</start>
      <end>3</end>
      <status>unmodified</status>
      <modifiedWord/>
      <trackRevisions>false</trackRevisions>
    </reviewItem>
    <reviewItem>
      <errorID>65217f15-53ff-412e-9acd-572f129c1827</errorID>
      <errorWord>)</errorWord>
      <group>L1_Format</group>
      <groupName>格式问题</groupName>
      <ability>L2_HalfPunc</ability>
      <abilityName>全半角检查</abilityName>
      <candidateList>
        <item>）</item>
      </candidateList>
      <explain>文本全半角错误。</explain>
      <paraID>3A169CA6</paraID>
      <start>5</start>
      <end>6</end>
      <status>unmodified</status>
      <modifiedWord/>
      <trackRevisions>false</trackRevisions>
    </reviewItem>
    <reviewItem>
      <errorID>3b1fe4bc-7c86-47aa-93b8-b26273d0c041</errorID>
      <errorWord>(</errorWord>
      <group>L1_Format</group>
      <groupName>格式问题</groupName>
      <ability>L2_HalfPunc</ability>
      <abilityName>全半角检查</abilityName>
      <candidateList>
        <item>（</item>
      </candidateList>
      <explain>文本全半角错误。</explain>
      <paraID> 5BE0324</paraID>
      <start>2</start>
      <end>3</end>
      <status>unmodified</status>
      <modifiedWord/>
      <trackRevisions>false</trackRevisions>
    </reviewItem>
    <reviewItem>
      <errorID>468b6e1b-9080-4208-820e-804c3cb8e423</errorID>
      <errorWord>)</errorWord>
      <group>L1_Format</group>
      <groupName>格式问题</groupName>
      <ability>L2_HalfPunc</ability>
      <abilityName>全半角检查</abilityName>
      <candidateList>
        <item>）</item>
      </candidateList>
      <explain>文本全半角错误。</explain>
      <paraID> 5BE0324</paraID>
      <start>5</start>
      <end>6</end>
      <status>unmodified</status>
      <modifiedWord/>
      <trackRevisions>false</trackRevisions>
    </reviewItem>
    <reviewItem>
      <errorID>93a13782-e78c-4b9c-b82e-cabd3bd027d1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65D36CE1</paraID>
      <start>0</start>
      <end>2</end>
      <status>unmodified</status>
      <modifiedWord/>
      <trackRevisions>false</trackRevisions>
    </reviewItem>
    <reviewItem>
      <errorID>c7624121-cf22-450a-8a6b-24b745425290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1CD61CFF</paraID>
      <start>0</start>
      <end>2</end>
      <status>unmodified</status>
      <modifiedWord/>
      <trackRevisions>false</trackRevisions>
    </reviewItem>
    <reviewItem>
      <errorID>e763098f-746d-4f42-965d-95e779fc78a2</errorID>
      <errorWord>;</errorWord>
      <group>L1_Format</group>
      <groupName>格式问题</groupName>
      <ability>L2_HalfPunc</ability>
      <abilityName>全半角检查</abilityName>
      <candidateList>
        <item>；</item>
      </candidateList>
      <explain>文本全半角错误。</explain>
      <paraID>5C389B30</paraID>
      <start>45</start>
      <end>46</end>
      <status>unmodified</status>
      <modifiedWord/>
      <trackRevisions>false</trackRevisions>
    </reviewItem>
    <reviewItem>
      <errorID>b613c263-d846-4798-8690-0bb520e0ffce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67A6EFD7</paraID>
      <start>0</start>
      <end>2</end>
      <status>unmodified</status>
      <modifiedWord/>
      <trackRevisions>false</trackRevisions>
    </reviewItem>
    <reviewItem>
      <errorID>2d14f271-2949-428b-849a-58d902553e77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2F71BD40</paraID>
      <start>0</start>
      <end>2</end>
      <status>unmodified</status>
      <modifiedWord/>
      <trackRevisions>false</trackRevisions>
    </reviewItem>
    <reviewItem>
      <errorID>bf586bbf-9486-4e5a-96b3-29f279cf111d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608B3A49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6d6f736-be82-49b5-bd83-f50507bd6178}">
  <ds:schemaRefs/>
</ds:datastoreItem>
</file>

<file path=docProps/app.xml><?xml version="1.0" encoding="utf-8"?>
<Properties xmlns="http://schemas.openxmlformats.org/officeDocument/2006/extended-properties" xmlns:vt="http://schemas.openxmlformats.org/officeDocument/2006/docPropsVTypes">
  <Template>Normal</Template>
  <Pages>3</Pages>
  <Words>1768</Words>
  <Characters>1816</Characters>
  <Lines>19</Lines>
  <Paragraphs>5</Paragraphs>
  <TotalTime>24</TotalTime>
  <ScaleCrop>false</ScaleCrop>
  <LinksUpToDate>false</LinksUpToDate>
  <CharactersWithSpaces>1931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2024-08-27T10:51:00Z</dcterms:created>
  <dc:creator>季灵杰</dc:creator>
  <cp:lastModifiedBy>JIA</cp:lastModifiedBy>
  <cp:lastPrinted>2026-02-06T03:25:00Z</cp:lastPrinted>
  <dcterms:modified xsi:type="dcterms:W3CDTF">2026-06-09T08:21:45Z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DB42892924884FF3859E84EE87F38E64_13</vt:lpwstr>
  </property>
  <property fmtid="{D5CDD505-2E9C-101B-9397-08002B2CF9AE}" pid="4" name="KSOTemplateDocerSaveRecord">
    <vt:lpwstr>eyJoZGlkIjoiOTE2ZWI3N2MzNjk1ZGY5YjEzOTZhYzAyNWRlODYzOGEiLCJ1c2VySWQiOiI0NDQ4NDg0MTYifQ==</vt:lpwstr>
  </property>
</Properties>
</file>