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18CAD" w14:textId="77777777" w:rsidR="00FC0493" w:rsidRDefault="00B647EB">
      <w:pPr>
        <w:spacing w:line="420" w:lineRule="exact"/>
        <w:rPr>
          <w:rFonts w:eastAsia="宋体"/>
          <w:b/>
          <w:bCs/>
        </w:rPr>
      </w:pPr>
      <w:r>
        <w:rPr>
          <w:rFonts w:hint="eastAsia"/>
          <w:b/>
          <w:bCs/>
        </w:rPr>
        <w:t>证券代码：</w:t>
      </w:r>
      <w:r>
        <w:rPr>
          <w:rFonts w:hint="eastAsia"/>
          <w:b/>
          <w:bCs/>
        </w:rPr>
        <w:t>688627</w:t>
      </w:r>
      <w:r>
        <w:rPr>
          <w:b/>
          <w:bCs/>
        </w:rPr>
        <w:t xml:space="preserve"> </w:t>
      </w:r>
      <w:r>
        <w:rPr>
          <w:rFonts w:hint="eastAsia"/>
          <w:b/>
          <w:bCs/>
        </w:rPr>
        <w:t xml:space="preserve">                                     </w:t>
      </w:r>
      <w:r>
        <w:rPr>
          <w:rFonts w:hint="eastAsia"/>
          <w:b/>
          <w:bCs/>
        </w:rPr>
        <w:t>证券简称：</w:t>
      </w:r>
      <w:proofErr w:type="gramStart"/>
      <w:r>
        <w:rPr>
          <w:rFonts w:hint="eastAsia"/>
          <w:b/>
          <w:bCs/>
        </w:rPr>
        <w:t>精智达</w:t>
      </w:r>
      <w:proofErr w:type="gramEnd"/>
      <w:r>
        <w:rPr>
          <w:rFonts w:hint="eastAsia"/>
          <w:b/>
          <w:bCs/>
        </w:rPr>
        <w:t xml:space="preserve">            </w:t>
      </w:r>
      <w:r>
        <w:rPr>
          <w:b/>
          <w:bCs/>
        </w:rPr>
        <w:t xml:space="preserve">        </w:t>
      </w:r>
      <w:r>
        <w:rPr>
          <w:rFonts w:hint="eastAsia"/>
          <w:b/>
          <w:bCs/>
        </w:rPr>
        <w:t xml:space="preserve">    </w:t>
      </w:r>
    </w:p>
    <w:p w14:paraId="139972A8" w14:textId="77777777" w:rsidR="00FC0493" w:rsidRDefault="00FC0493">
      <w:pPr>
        <w:spacing w:line="420" w:lineRule="exact"/>
        <w:jc w:val="center"/>
        <w:rPr>
          <w:rFonts w:ascii="黑体" w:eastAsia="黑体" w:hAnsi="黑体"/>
          <w:b/>
          <w:bCs/>
          <w:sz w:val="32"/>
          <w:szCs w:val="32"/>
        </w:rPr>
      </w:pPr>
    </w:p>
    <w:p w14:paraId="43E1B42C" w14:textId="77777777" w:rsidR="00FC0493" w:rsidRDefault="00B647EB">
      <w:pPr>
        <w:spacing w:line="420" w:lineRule="exact"/>
        <w:jc w:val="center"/>
        <w:rPr>
          <w:rFonts w:ascii="黑体" w:eastAsia="黑体" w:hAnsi="黑体"/>
          <w:b/>
          <w:bCs/>
          <w:sz w:val="32"/>
          <w:szCs w:val="32"/>
        </w:rPr>
      </w:pPr>
      <w:r>
        <w:rPr>
          <w:rFonts w:ascii="黑体" w:eastAsia="黑体" w:hAnsi="黑体" w:hint="eastAsia"/>
          <w:b/>
          <w:bCs/>
          <w:sz w:val="32"/>
          <w:szCs w:val="32"/>
        </w:rPr>
        <w:t>深圳精智达技术股份有限公司</w:t>
      </w:r>
    </w:p>
    <w:p w14:paraId="695863EC" w14:textId="77777777" w:rsidR="00FC0493" w:rsidRDefault="00B647EB">
      <w:pPr>
        <w:spacing w:line="420" w:lineRule="exact"/>
        <w:jc w:val="center"/>
        <w:rPr>
          <w:rFonts w:ascii="黑体" w:eastAsia="黑体" w:hAnsi="黑体"/>
          <w:b/>
          <w:bCs/>
          <w:sz w:val="32"/>
          <w:szCs w:val="32"/>
        </w:rPr>
      </w:pPr>
      <w:r>
        <w:rPr>
          <w:rFonts w:ascii="黑体" w:eastAsia="黑体" w:hAnsi="黑体" w:hint="eastAsia"/>
          <w:b/>
          <w:bCs/>
          <w:sz w:val="32"/>
          <w:szCs w:val="32"/>
        </w:rPr>
        <w:t>投资者关系活动记录表</w:t>
      </w:r>
    </w:p>
    <w:p w14:paraId="179AEA56" w14:textId="77777777" w:rsidR="00FC0493" w:rsidRDefault="00B647EB">
      <w:pPr>
        <w:spacing w:line="420" w:lineRule="exact"/>
        <w:rPr>
          <w:b/>
          <w:bCs/>
        </w:rPr>
      </w:pPr>
      <w:r>
        <w:rPr>
          <w:b/>
          <w:bCs/>
        </w:rPr>
        <w:t xml:space="preserve"> </w:t>
      </w:r>
    </w:p>
    <w:tbl>
      <w:tblPr>
        <w:tblW w:w="89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95"/>
        <w:gridCol w:w="6521"/>
      </w:tblGrid>
      <w:tr w:rsidR="00FC0493" w14:paraId="6F835E69" w14:textId="77777777">
        <w:trPr>
          <w:trHeight w:val="90"/>
          <w:jc w:val="center"/>
        </w:trPr>
        <w:tc>
          <w:tcPr>
            <w:tcW w:w="2395" w:type="dxa"/>
            <w:tcBorders>
              <w:top w:val="single" w:sz="12" w:space="0" w:color="auto"/>
              <w:left w:val="single" w:sz="12" w:space="0" w:color="auto"/>
              <w:bottom w:val="single" w:sz="6" w:space="0" w:color="auto"/>
              <w:right w:val="single" w:sz="6" w:space="0" w:color="auto"/>
            </w:tcBorders>
            <w:vAlign w:val="center"/>
          </w:tcPr>
          <w:p w14:paraId="41E16428" w14:textId="77777777" w:rsidR="00FC0493" w:rsidRDefault="00B647EB">
            <w:pPr>
              <w:spacing w:line="420" w:lineRule="exact"/>
              <w:jc w:val="center"/>
              <w:rPr>
                <w:b/>
                <w:bCs/>
              </w:rPr>
            </w:pPr>
            <w:r>
              <w:rPr>
                <w:b/>
                <w:bCs/>
              </w:rPr>
              <w:t>投资者关系活动类别</w:t>
            </w:r>
          </w:p>
        </w:tc>
        <w:tc>
          <w:tcPr>
            <w:tcW w:w="6521" w:type="dxa"/>
            <w:tcBorders>
              <w:top w:val="single" w:sz="12" w:space="0" w:color="auto"/>
              <w:left w:val="single" w:sz="6" w:space="0" w:color="auto"/>
              <w:bottom w:val="single" w:sz="6" w:space="0" w:color="auto"/>
              <w:right w:val="single" w:sz="12" w:space="0" w:color="auto"/>
            </w:tcBorders>
            <w:vAlign w:val="center"/>
          </w:tcPr>
          <w:p w14:paraId="526BC647" w14:textId="77777777" w:rsidR="00FC0493" w:rsidRDefault="00B647EB">
            <w:pPr>
              <w:spacing w:line="420" w:lineRule="exact"/>
              <w:rPr>
                <w:rFonts w:eastAsia="宋体"/>
              </w:rPr>
            </w:pPr>
            <w:r>
              <w:rPr>
                <w:rFonts w:eastAsia="宋体" w:hint="eastAsia"/>
              </w:rPr>
              <w:sym w:font="Wingdings 2" w:char="00A3"/>
            </w:r>
            <w:r>
              <w:rPr>
                <w:rFonts w:eastAsia="宋体" w:hint="eastAsia"/>
              </w:rPr>
              <w:t xml:space="preserve"> </w:t>
            </w:r>
            <w:r>
              <w:rPr>
                <w:rFonts w:eastAsia="宋体" w:hint="eastAsia"/>
              </w:rPr>
              <w:t>特定对象调研</w:t>
            </w:r>
            <w:r>
              <w:rPr>
                <w:rFonts w:eastAsia="宋体" w:hint="eastAsia"/>
              </w:rPr>
              <w:t xml:space="preserve">        </w:t>
            </w:r>
            <w:r>
              <w:rPr>
                <w:rFonts w:eastAsia="宋体" w:hint="eastAsia"/>
              </w:rPr>
              <w:t>□</w:t>
            </w:r>
            <w:r>
              <w:rPr>
                <w:rFonts w:eastAsia="宋体" w:hint="eastAsia"/>
              </w:rPr>
              <w:t xml:space="preserve"> </w:t>
            </w:r>
            <w:r>
              <w:rPr>
                <w:rFonts w:eastAsia="宋体" w:hint="eastAsia"/>
              </w:rPr>
              <w:t>分析师会议</w:t>
            </w:r>
          </w:p>
          <w:p w14:paraId="4B049B66" w14:textId="77777777" w:rsidR="00FC0493" w:rsidRDefault="00B647EB">
            <w:pPr>
              <w:spacing w:line="420" w:lineRule="exact"/>
              <w:rPr>
                <w:rFonts w:eastAsia="宋体"/>
              </w:rPr>
            </w:pPr>
            <w:r>
              <w:rPr>
                <w:rFonts w:eastAsia="宋体" w:hint="eastAsia"/>
              </w:rPr>
              <w:t>□</w:t>
            </w:r>
            <w:r>
              <w:rPr>
                <w:rFonts w:eastAsia="宋体" w:hint="eastAsia"/>
              </w:rPr>
              <w:t xml:space="preserve"> </w:t>
            </w:r>
            <w:r>
              <w:rPr>
                <w:rFonts w:eastAsia="宋体" w:hint="eastAsia"/>
              </w:rPr>
              <w:t>媒体采访</w:t>
            </w:r>
            <w:r>
              <w:rPr>
                <w:rFonts w:eastAsia="宋体" w:hint="eastAsia"/>
              </w:rPr>
              <w:t xml:space="preserve">            </w:t>
            </w:r>
            <w:r>
              <w:rPr>
                <w:rFonts w:eastAsia="宋体" w:hint="eastAsia"/>
              </w:rPr>
              <w:sym w:font="Wingdings 2" w:char="00A3"/>
            </w:r>
            <w:r>
              <w:rPr>
                <w:rFonts w:eastAsia="宋体" w:hint="eastAsia"/>
              </w:rPr>
              <w:t xml:space="preserve"> </w:t>
            </w:r>
            <w:r>
              <w:rPr>
                <w:rFonts w:eastAsia="宋体" w:hint="eastAsia"/>
              </w:rPr>
              <w:t>业绩说明会</w:t>
            </w:r>
          </w:p>
          <w:p w14:paraId="262A2F44" w14:textId="47B2FE15" w:rsidR="00FC0493" w:rsidRDefault="00B647EB">
            <w:pPr>
              <w:spacing w:line="420" w:lineRule="exact"/>
              <w:rPr>
                <w:rFonts w:eastAsia="宋体"/>
              </w:rPr>
            </w:pPr>
            <w:r>
              <w:rPr>
                <w:rFonts w:eastAsia="宋体" w:hint="eastAsia"/>
              </w:rPr>
              <w:t>□</w:t>
            </w:r>
            <w:r>
              <w:rPr>
                <w:rFonts w:eastAsia="宋体" w:hint="eastAsia"/>
              </w:rPr>
              <w:t xml:space="preserve"> </w:t>
            </w:r>
            <w:r>
              <w:rPr>
                <w:rFonts w:eastAsia="宋体" w:hint="eastAsia"/>
              </w:rPr>
              <w:t>新闻发布会</w:t>
            </w:r>
            <w:r>
              <w:rPr>
                <w:rFonts w:eastAsia="宋体" w:hint="eastAsia"/>
              </w:rPr>
              <w:t xml:space="preserve">          </w:t>
            </w:r>
            <w:r w:rsidR="002874B6">
              <w:rPr>
                <w:rFonts w:eastAsia="宋体" w:hint="eastAsia"/>
              </w:rPr>
              <w:sym w:font="Wingdings 2" w:char="F052"/>
            </w:r>
            <w:r>
              <w:rPr>
                <w:rFonts w:eastAsia="宋体" w:hint="eastAsia"/>
              </w:rPr>
              <w:t>路演活动</w:t>
            </w:r>
          </w:p>
          <w:p w14:paraId="63C9EBFF" w14:textId="4558E16D" w:rsidR="00FC0493" w:rsidRDefault="00B647EB">
            <w:pPr>
              <w:tabs>
                <w:tab w:val="center" w:pos="3152"/>
              </w:tabs>
              <w:spacing w:line="420" w:lineRule="exact"/>
              <w:rPr>
                <w:rFonts w:eastAsia="宋体"/>
              </w:rPr>
            </w:pPr>
            <w:r>
              <w:rPr>
                <w:rFonts w:eastAsia="宋体" w:hint="eastAsia"/>
              </w:rPr>
              <w:sym w:font="Wingdings 2" w:char="00A3"/>
            </w:r>
            <w:r>
              <w:rPr>
                <w:rFonts w:eastAsia="宋体" w:hint="eastAsia"/>
              </w:rPr>
              <w:t xml:space="preserve"> </w:t>
            </w:r>
            <w:r>
              <w:rPr>
                <w:rFonts w:eastAsia="宋体" w:hint="eastAsia"/>
              </w:rPr>
              <w:t>现场调研</w:t>
            </w:r>
            <w:r>
              <w:rPr>
                <w:rFonts w:eastAsia="宋体" w:hint="eastAsia"/>
              </w:rPr>
              <w:t xml:space="preserve">            </w:t>
            </w:r>
            <w:r>
              <w:rPr>
                <w:rFonts w:eastAsia="宋体" w:hint="eastAsia"/>
              </w:rPr>
              <w:sym w:font="Wingdings 2" w:char="00A3"/>
            </w:r>
            <w:r>
              <w:rPr>
                <w:rFonts w:eastAsia="宋体" w:hint="eastAsia"/>
              </w:rPr>
              <w:t xml:space="preserve"> </w:t>
            </w:r>
            <w:r>
              <w:rPr>
                <w:rFonts w:eastAsia="宋体" w:hint="eastAsia"/>
              </w:rPr>
              <w:t>电话会议</w:t>
            </w:r>
          </w:p>
          <w:p w14:paraId="0EC9AC45" w14:textId="082EDF33" w:rsidR="00FC0493" w:rsidRDefault="000722BA">
            <w:pPr>
              <w:spacing w:line="420" w:lineRule="exact"/>
              <w:rPr>
                <w:rFonts w:eastAsia="宋体"/>
              </w:rPr>
            </w:pPr>
            <w:r>
              <w:rPr>
                <w:rFonts w:eastAsia="宋体" w:hint="eastAsia"/>
              </w:rPr>
              <w:sym w:font="Wingdings 2" w:char="00A3"/>
            </w:r>
            <w:r>
              <w:rPr>
                <w:rFonts w:eastAsia="宋体" w:hint="eastAsia"/>
              </w:rPr>
              <w:t xml:space="preserve"> </w:t>
            </w:r>
            <w:r>
              <w:rPr>
                <w:rFonts w:eastAsia="宋体" w:hint="eastAsia"/>
              </w:rPr>
              <w:t>其他：券商策略会</w:t>
            </w:r>
          </w:p>
        </w:tc>
      </w:tr>
      <w:tr w:rsidR="00FC0493" w14:paraId="4A079B60" w14:textId="77777777" w:rsidTr="001D6B0A">
        <w:trPr>
          <w:trHeight w:val="4410"/>
          <w:jc w:val="center"/>
        </w:trPr>
        <w:tc>
          <w:tcPr>
            <w:tcW w:w="2395" w:type="dxa"/>
            <w:tcBorders>
              <w:top w:val="single" w:sz="6" w:space="0" w:color="auto"/>
              <w:left w:val="single" w:sz="12" w:space="0" w:color="auto"/>
              <w:bottom w:val="single" w:sz="6" w:space="0" w:color="auto"/>
              <w:right w:val="single" w:sz="6" w:space="0" w:color="auto"/>
            </w:tcBorders>
            <w:vAlign w:val="center"/>
          </w:tcPr>
          <w:p w14:paraId="530C3301" w14:textId="77777777" w:rsidR="00FC0493" w:rsidRDefault="00B647EB">
            <w:pPr>
              <w:spacing w:line="420" w:lineRule="exact"/>
              <w:jc w:val="center"/>
              <w:rPr>
                <w:b/>
                <w:bCs/>
              </w:rPr>
            </w:pPr>
            <w:r>
              <w:rPr>
                <w:b/>
                <w:bCs/>
              </w:rPr>
              <w:t>参与单位</w:t>
            </w:r>
          </w:p>
        </w:tc>
        <w:tc>
          <w:tcPr>
            <w:tcW w:w="6521" w:type="dxa"/>
            <w:tcBorders>
              <w:top w:val="single" w:sz="6" w:space="0" w:color="auto"/>
              <w:left w:val="single" w:sz="6" w:space="0" w:color="auto"/>
              <w:bottom w:val="single" w:sz="6" w:space="0" w:color="auto"/>
              <w:right w:val="single" w:sz="12" w:space="0" w:color="auto"/>
            </w:tcBorders>
            <w:vAlign w:val="center"/>
          </w:tcPr>
          <w:p w14:paraId="66C28945" w14:textId="28F0B292" w:rsidR="000722BA" w:rsidRPr="000722BA" w:rsidRDefault="000722BA" w:rsidP="000722BA">
            <w:pPr>
              <w:spacing w:line="420" w:lineRule="exact"/>
              <w:jc w:val="left"/>
              <w:rPr>
                <w:rFonts w:eastAsia="宋体"/>
              </w:rPr>
            </w:pPr>
            <w:proofErr w:type="gramStart"/>
            <w:r w:rsidRPr="000722BA">
              <w:rPr>
                <w:rFonts w:eastAsia="宋体" w:hint="eastAsia"/>
              </w:rPr>
              <w:t>粤开资本</w:t>
            </w:r>
            <w:proofErr w:type="gramEnd"/>
            <w:r>
              <w:rPr>
                <w:rFonts w:eastAsia="宋体" w:hint="eastAsia"/>
              </w:rPr>
              <w:t>、</w:t>
            </w:r>
            <w:r w:rsidRPr="000722BA">
              <w:rPr>
                <w:rFonts w:eastAsia="宋体" w:hint="eastAsia"/>
              </w:rPr>
              <w:t>银河资本</w:t>
            </w:r>
            <w:r>
              <w:rPr>
                <w:rFonts w:eastAsia="宋体" w:hint="eastAsia"/>
              </w:rPr>
              <w:t>、</w:t>
            </w:r>
            <w:r w:rsidRPr="000722BA">
              <w:rPr>
                <w:rFonts w:eastAsia="宋体" w:hint="eastAsia"/>
              </w:rPr>
              <w:t>国贸创领（上海）私募基金</w:t>
            </w:r>
            <w:r>
              <w:rPr>
                <w:rFonts w:eastAsia="宋体" w:hint="eastAsia"/>
              </w:rPr>
              <w:t>、</w:t>
            </w:r>
            <w:r w:rsidRPr="000722BA">
              <w:rPr>
                <w:rFonts w:eastAsia="宋体" w:hint="eastAsia"/>
              </w:rPr>
              <w:t>常州金融投资集团</w:t>
            </w:r>
            <w:r>
              <w:rPr>
                <w:rFonts w:eastAsia="宋体" w:hint="eastAsia"/>
              </w:rPr>
              <w:t>、</w:t>
            </w:r>
            <w:r w:rsidR="0026588F" w:rsidRPr="000722BA">
              <w:rPr>
                <w:rFonts w:eastAsia="宋体" w:hint="eastAsia"/>
              </w:rPr>
              <w:t>广东温氏投资</w:t>
            </w:r>
            <w:r w:rsidR="0026588F">
              <w:rPr>
                <w:rFonts w:eastAsia="宋体" w:hint="eastAsia"/>
              </w:rPr>
              <w:t>、</w:t>
            </w:r>
            <w:r w:rsidRPr="000722BA">
              <w:rPr>
                <w:rFonts w:eastAsia="宋体" w:hint="eastAsia"/>
              </w:rPr>
              <w:t>陕西省高新技术产业投资</w:t>
            </w:r>
            <w:r>
              <w:rPr>
                <w:rFonts w:eastAsia="宋体" w:hint="eastAsia"/>
              </w:rPr>
              <w:t>、</w:t>
            </w:r>
            <w:proofErr w:type="gramStart"/>
            <w:r w:rsidRPr="000722BA">
              <w:rPr>
                <w:rFonts w:eastAsia="宋体" w:hint="eastAsia"/>
              </w:rPr>
              <w:t>四川璞信产融</w:t>
            </w:r>
            <w:proofErr w:type="gramEnd"/>
            <w:r w:rsidRPr="000722BA">
              <w:rPr>
                <w:rFonts w:eastAsia="宋体" w:hint="eastAsia"/>
              </w:rPr>
              <w:t>投资</w:t>
            </w:r>
            <w:r>
              <w:rPr>
                <w:rFonts w:eastAsia="宋体" w:hint="eastAsia"/>
              </w:rPr>
              <w:t>、</w:t>
            </w:r>
            <w:r w:rsidRPr="000722BA">
              <w:rPr>
                <w:rFonts w:eastAsia="宋体" w:hint="eastAsia"/>
              </w:rPr>
              <w:t>中国北方工业</w:t>
            </w:r>
            <w:r>
              <w:rPr>
                <w:rFonts w:eastAsia="宋体" w:hint="eastAsia"/>
              </w:rPr>
              <w:t>、</w:t>
            </w:r>
            <w:proofErr w:type="gramStart"/>
            <w:r w:rsidRPr="000722BA">
              <w:rPr>
                <w:rFonts w:eastAsia="宋体" w:hint="eastAsia"/>
              </w:rPr>
              <w:t>江西金控投资</w:t>
            </w:r>
            <w:proofErr w:type="gramEnd"/>
            <w:r>
              <w:rPr>
                <w:rFonts w:eastAsia="宋体" w:hint="eastAsia"/>
              </w:rPr>
              <w:t>、</w:t>
            </w:r>
            <w:r w:rsidRPr="000722BA">
              <w:rPr>
                <w:rFonts w:eastAsia="宋体" w:hint="eastAsia"/>
              </w:rPr>
              <w:t>第一创业证券</w:t>
            </w:r>
            <w:r>
              <w:rPr>
                <w:rFonts w:eastAsia="宋体" w:hint="eastAsia"/>
              </w:rPr>
              <w:t>、</w:t>
            </w:r>
            <w:r w:rsidRPr="000722BA">
              <w:rPr>
                <w:rFonts w:eastAsia="宋体" w:hint="eastAsia"/>
              </w:rPr>
              <w:t>国泰租赁</w:t>
            </w:r>
            <w:r>
              <w:rPr>
                <w:rFonts w:eastAsia="宋体" w:hint="eastAsia"/>
              </w:rPr>
              <w:t>、</w:t>
            </w:r>
            <w:r w:rsidRPr="000722BA">
              <w:rPr>
                <w:rFonts w:eastAsia="宋体" w:hint="eastAsia"/>
              </w:rPr>
              <w:t>吉富创业投资</w:t>
            </w:r>
            <w:r>
              <w:rPr>
                <w:rFonts w:eastAsia="宋体" w:hint="eastAsia"/>
              </w:rPr>
              <w:t>、</w:t>
            </w:r>
            <w:r w:rsidRPr="000722BA">
              <w:rPr>
                <w:rFonts w:eastAsia="宋体" w:hint="eastAsia"/>
              </w:rPr>
              <w:t>深圳市康曼德资本</w:t>
            </w:r>
            <w:r>
              <w:rPr>
                <w:rFonts w:eastAsia="宋体" w:hint="eastAsia"/>
              </w:rPr>
              <w:t>、</w:t>
            </w:r>
            <w:r w:rsidRPr="000722BA">
              <w:rPr>
                <w:rFonts w:eastAsia="宋体" w:hint="eastAsia"/>
              </w:rPr>
              <w:t>广东</w:t>
            </w:r>
            <w:proofErr w:type="gramStart"/>
            <w:r w:rsidRPr="000722BA">
              <w:rPr>
                <w:rFonts w:eastAsia="宋体" w:hint="eastAsia"/>
              </w:rPr>
              <w:t>邦</w:t>
            </w:r>
            <w:proofErr w:type="gramEnd"/>
            <w:r w:rsidRPr="000722BA">
              <w:rPr>
                <w:rFonts w:eastAsia="宋体" w:hint="eastAsia"/>
              </w:rPr>
              <w:t>领投资</w:t>
            </w:r>
            <w:r>
              <w:rPr>
                <w:rFonts w:eastAsia="宋体" w:hint="eastAsia"/>
              </w:rPr>
              <w:t>、</w:t>
            </w:r>
            <w:proofErr w:type="gramStart"/>
            <w:r w:rsidRPr="000722BA">
              <w:rPr>
                <w:rFonts w:eastAsia="宋体" w:hint="eastAsia"/>
              </w:rPr>
              <w:t>远致瑞信</w:t>
            </w:r>
            <w:proofErr w:type="gramEnd"/>
            <w:r w:rsidRPr="000722BA">
              <w:rPr>
                <w:rFonts w:eastAsia="宋体" w:hint="eastAsia"/>
              </w:rPr>
              <w:t>股权投资</w:t>
            </w:r>
            <w:r>
              <w:rPr>
                <w:rFonts w:eastAsia="宋体" w:hint="eastAsia"/>
              </w:rPr>
              <w:t>、</w:t>
            </w:r>
            <w:r w:rsidRPr="000722BA">
              <w:rPr>
                <w:rFonts w:eastAsia="宋体" w:hint="eastAsia"/>
              </w:rPr>
              <w:t>上海杉</w:t>
            </w:r>
            <w:proofErr w:type="gramStart"/>
            <w:r w:rsidRPr="000722BA">
              <w:rPr>
                <w:rFonts w:eastAsia="宋体" w:hint="eastAsia"/>
              </w:rPr>
              <w:t>玺</w:t>
            </w:r>
            <w:proofErr w:type="gramEnd"/>
            <w:r w:rsidRPr="000722BA">
              <w:rPr>
                <w:rFonts w:eastAsia="宋体" w:hint="eastAsia"/>
              </w:rPr>
              <w:t>投资</w:t>
            </w:r>
            <w:r>
              <w:rPr>
                <w:rFonts w:eastAsia="宋体" w:hint="eastAsia"/>
              </w:rPr>
              <w:t>、</w:t>
            </w:r>
            <w:r w:rsidRPr="000722BA">
              <w:rPr>
                <w:rFonts w:eastAsia="宋体" w:hint="eastAsia"/>
              </w:rPr>
              <w:t>深圳前海辰星私募证券投资基金</w:t>
            </w:r>
            <w:r w:rsidR="0026588F">
              <w:rPr>
                <w:rFonts w:eastAsia="宋体" w:hint="eastAsia"/>
              </w:rPr>
              <w:t>、</w:t>
            </w:r>
            <w:r w:rsidRPr="000722BA">
              <w:rPr>
                <w:rFonts w:eastAsia="宋体" w:hint="eastAsia"/>
              </w:rPr>
              <w:t>深圳纽富斯投资</w:t>
            </w:r>
            <w:r w:rsidR="0026588F">
              <w:rPr>
                <w:rFonts w:eastAsia="宋体" w:hint="eastAsia"/>
              </w:rPr>
              <w:t>、</w:t>
            </w:r>
            <w:r w:rsidRPr="000722BA">
              <w:rPr>
                <w:rFonts w:eastAsia="宋体" w:hint="eastAsia"/>
              </w:rPr>
              <w:t>深圳市同心投资基金</w:t>
            </w:r>
            <w:r w:rsidR="0026588F">
              <w:rPr>
                <w:rFonts w:eastAsia="宋体" w:hint="eastAsia"/>
              </w:rPr>
              <w:t>、</w:t>
            </w:r>
            <w:r w:rsidRPr="000722BA">
              <w:rPr>
                <w:rFonts w:eastAsia="宋体" w:hint="eastAsia"/>
              </w:rPr>
              <w:t>湖南高新创业投资</w:t>
            </w:r>
            <w:r w:rsidR="0026588F">
              <w:rPr>
                <w:rFonts w:eastAsia="宋体" w:hint="eastAsia"/>
              </w:rPr>
              <w:t>、</w:t>
            </w:r>
            <w:r w:rsidRPr="000722BA">
              <w:rPr>
                <w:rFonts w:eastAsia="宋体" w:hint="eastAsia"/>
              </w:rPr>
              <w:t>四川新宏信资产</w:t>
            </w:r>
            <w:r w:rsidR="0026588F">
              <w:rPr>
                <w:rFonts w:eastAsia="宋体" w:hint="eastAsia"/>
              </w:rPr>
              <w:t>、</w:t>
            </w:r>
            <w:r w:rsidRPr="000722BA">
              <w:rPr>
                <w:rFonts w:eastAsia="宋体" w:hint="eastAsia"/>
              </w:rPr>
              <w:t>广东明道投资</w:t>
            </w:r>
            <w:r w:rsidR="0026588F">
              <w:rPr>
                <w:rFonts w:eastAsia="宋体" w:hint="eastAsia"/>
              </w:rPr>
              <w:t>、</w:t>
            </w:r>
          </w:p>
          <w:p w14:paraId="61ECB6B2" w14:textId="7AA3F959" w:rsidR="000722BA" w:rsidRPr="000722BA" w:rsidRDefault="000722BA" w:rsidP="000722BA">
            <w:pPr>
              <w:spacing w:line="420" w:lineRule="exact"/>
              <w:jc w:val="left"/>
              <w:rPr>
                <w:rFonts w:eastAsia="宋体"/>
              </w:rPr>
            </w:pPr>
            <w:r w:rsidRPr="000722BA">
              <w:rPr>
                <w:rFonts w:eastAsia="宋体" w:hint="eastAsia"/>
              </w:rPr>
              <w:t>光大理财</w:t>
            </w:r>
            <w:r w:rsidR="0026588F">
              <w:rPr>
                <w:rFonts w:eastAsia="宋体" w:hint="eastAsia"/>
              </w:rPr>
              <w:t>、</w:t>
            </w:r>
            <w:r w:rsidRPr="000722BA">
              <w:rPr>
                <w:rFonts w:eastAsia="宋体" w:hint="eastAsia"/>
              </w:rPr>
              <w:t>粤财基金</w:t>
            </w:r>
            <w:r w:rsidR="0026588F">
              <w:rPr>
                <w:rFonts w:eastAsia="宋体" w:hint="eastAsia"/>
              </w:rPr>
              <w:t>、</w:t>
            </w:r>
            <w:r w:rsidRPr="000722BA">
              <w:rPr>
                <w:rFonts w:eastAsia="宋体" w:hint="eastAsia"/>
              </w:rPr>
              <w:t>北京源峰私募基金</w:t>
            </w:r>
            <w:r w:rsidR="0026588F">
              <w:rPr>
                <w:rFonts w:eastAsia="宋体" w:hint="eastAsia"/>
              </w:rPr>
              <w:t>、</w:t>
            </w:r>
            <w:r w:rsidRPr="000722BA">
              <w:rPr>
                <w:rFonts w:eastAsia="宋体" w:hint="eastAsia"/>
              </w:rPr>
              <w:t>广州工控资本</w:t>
            </w:r>
            <w:r w:rsidR="0026588F">
              <w:rPr>
                <w:rFonts w:eastAsia="宋体" w:hint="eastAsia"/>
              </w:rPr>
              <w:t>、</w:t>
            </w:r>
          </w:p>
          <w:p w14:paraId="076F6684" w14:textId="4BD7BC90" w:rsidR="000722BA" w:rsidRDefault="000722BA" w:rsidP="0026588F">
            <w:pPr>
              <w:spacing w:line="420" w:lineRule="exact"/>
              <w:jc w:val="left"/>
              <w:rPr>
                <w:rFonts w:eastAsia="宋体"/>
              </w:rPr>
            </w:pPr>
            <w:r w:rsidRPr="000722BA">
              <w:rPr>
                <w:rFonts w:eastAsia="宋体" w:hint="eastAsia"/>
              </w:rPr>
              <w:t>深圳市前</w:t>
            </w:r>
            <w:proofErr w:type="gramStart"/>
            <w:r w:rsidRPr="000722BA">
              <w:rPr>
                <w:rFonts w:eastAsia="宋体" w:hint="eastAsia"/>
              </w:rPr>
              <w:t>海船海私募股权基金</w:t>
            </w:r>
            <w:proofErr w:type="gramEnd"/>
            <w:r w:rsidR="0026588F">
              <w:rPr>
                <w:rFonts w:eastAsia="宋体" w:hint="eastAsia"/>
              </w:rPr>
              <w:t>、</w:t>
            </w:r>
            <w:proofErr w:type="gramStart"/>
            <w:r w:rsidRPr="000722BA">
              <w:rPr>
                <w:rFonts w:eastAsia="宋体" w:hint="eastAsia"/>
              </w:rPr>
              <w:t>广东恒阔投资</w:t>
            </w:r>
            <w:proofErr w:type="gramEnd"/>
            <w:r w:rsidR="0026588F">
              <w:rPr>
                <w:rFonts w:eastAsia="宋体" w:hint="eastAsia"/>
              </w:rPr>
              <w:t>、</w:t>
            </w:r>
            <w:r w:rsidRPr="000722BA">
              <w:rPr>
                <w:rFonts w:eastAsia="宋体" w:hint="eastAsia"/>
              </w:rPr>
              <w:t>广东省粤</w:t>
            </w:r>
            <w:proofErr w:type="gramStart"/>
            <w:r w:rsidRPr="000722BA">
              <w:rPr>
                <w:rFonts w:eastAsia="宋体" w:hint="eastAsia"/>
              </w:rPr>
              <w:t>科金融</w:t>
            </w:r>
            <w:proofErr w:type="gramEnd"/>
            <w:r w:rsidRPr="000722BA">
              <w:rPr>
                <w:rFonts w:eastAsia="宋体" w:hint="eastAsia"/>
              </w:rPr>
              <w:t>集团</w:t>
            </w:r>
            <w:r w:rsidR="0026588F">
              <w:rPr>
                <w:rFonts w:eastAsia="宋体" w:hint="eastAsia"/>
              </w:rPr>
              <w:t>、</w:t>
            </w:r>
            <w:r w:rsidRPr="000722BA">
              <w:rPr>
                <w:rFonts w:eastAsia="宋体" w:hint="eastAsia"/>
              </w:rPr>
              <w:t>天</w:t>
            </w:r>
            <w:proofErr w:type="gramStart"/>
            <w:r w:rsidRPr="000722BA">
              <w:rPr>
                <w:rFonts w:eastAsia="宋体" w:hint="eastAsia"/>
              </w:rPr>
              <w:t>壹紫腾</w:t>
            </w:r>
            <w:proofErr w:type="gramEnd"/>
            <w:r w:rsidRPr="000722BA">
              <w:rPr>
                <w:rFonts w:eastAsia="宋体" w:hint="eastAsia"/>
              </w:rPr>
              <w:t>资产</w:t>
            </w:r>
            <w:r w:rsidR="0026588F">
              <w:rPr>
                <w:rFonts w:eastAsia="宋体" w:hint="eastAsia"/>
              </w:rPr>
              <w:t>、</w:t>
            </w:r>
            <w:r w:rsidRPr="000722BA">
              <w:rPr>
                <w:rFonts w:eastAsia="宋体" w:hint="eastAsia"/>
              </w:rPr>
              <w:t>君联资本</w:t>
            </w:r>
            <w:r w:rsidR="0026588F">
              <w:rPr>
                <w:rFonts w:eastAsia="宋体" w:hint="eastAsia"/>
              </w:rPr>
              <w:t>、</w:t>
            </w:r>
            <w:proofErr w:type="gramStart"/>
            <w:r w:rsidRPr="000722BA">
              <w:rPr>
                <w:rFonts w:eastAsia="宋体" w:hint="eastAsia"/>
              </w:rPr>
              <w:t>中欧瑞博</w:t>
            </w:r>
            <w:proofErr w:type="gramEnd"/>
            <w:r w:rsidRPr="000722BA">
              <w:rPr>
                <w:rFonts w:eastAsia="宋体" w:hint="eastAsia"/>
              </w:rPr>
              <w:t>(</w:t>
            </w:r>
            <w:r w:rsidRPr="000722BA">
              <w:rPr>
                <w:rFonts w:eastAsia="宋体" w:hint="eastAsia"/>
              </w:rPr>
              <w:t>香港</w:t>
            </w:r>
            <w:r w:rsidRPr="000722BA">
              <w:rPr>
                <w:rFonts w:eastAsia="宋体" w:hint="eastAsia"/>
              </w:rPr>
              <w:t>)</w:t>
            </w:r>
            <w:r w:rsidRPr="000722BA">
              <w:rPr>
                <w:rFonts w:eastAsia="宋体" w:hint="eastAsia"/>
              </w:rPr>
              <w:t>资产</w:t>
            </w:r>
          </w:p>
        </w:tc>
      </w:tr>
      <w:tr w:rsidR="00FC0493" w14:paraId="49D9A368" w14:textId="77777777">
        <w:trPr>
          <w:trHeight w:val="580"/>
          <w:jc w:val="center"/>
        </w:trPr>
        <w:tc>
          <w:tcPr>
            <w:tcW w:w="2395" w:type="dxa"/>
            <w:tcBorders>
              <w:top w:val="single" w:sz="6" w:space="0" w:color="auto"/>
              <w:left w:val="single" w:sz="12" w:space="0" w:color="auto"/>
              <w:bottom w:val="single" w:sz="6" w:space="0" w:color="auto"/>
              <w:right w:val="single" w:sz="6" w:space="0" w:color="auto"/>
            </w:tcBorders>
            <w:vAlign w:val="center"/>
          </w:tcPr>
          <w:p w14:paraId="5E362AC9" w14:textId="77777777" w:rsidR="00FC0493" w:rsidRDefault="00B647EB">
            <w:pPr>
              <w:spacing w:line="420" w:lineRule="exact"/>
              <w:jc w:val="center"/>
              <w:rPr>
                <w:rFonts w:eastAsia="宋体"/>
                <w:b/>
                <w:bCs/>
              </w:rPr>
            </w:pPr>
            <w:r>
              <w:rPr>
                <w:rFonts w:eastAsia="宋体" w:hint="eastAsia"/>
                <w:b/>
                <w:bCs/>
              </w:rPr>
              <w:t>时间</w:t>
            </w:r>
          </w:p>
        </w:tc>
        <w:tc>
          <w:tcPr>
            <w:tcW w:w="6521" w:type="dxa"/>
            <w:tcBorders>
              <w:top w:val="single" w:sz="6" w:space="0" w:color="auto"/>
              <w:left w:val="single" w:sz="6" w:space="0" w:color="auto"/>
              <w:bottom w:val="single" w:sz="6" w:space="0" w:color="auto"/>
              <w:right w:val="single" w:sz="12" w:space="0" w:color="auto"/>
            </w:tcBorders>
            <w:vAlign w:val="center"/>
          </w:tcPr>
          <w:p w14:paraId="2B3EA2F6" w14:textId="7F12403C" w:rsidR="00FC0493" w:rsidRDefault="00B647EB">
            <w:pPr>
              <w:spacing w:line="420" w:lineRule="exact"/>
              <w:rPr>
                <w:rFonts w:eastAsia="宋体"/>
              </w:rPr>
            </w:pPr>
            <w:r>
              <w:rPr>
                <w:rFonts w:eastAsia="宋体" w:hint="eastAsia"/>
              </w:rPr>
              <w:t>202</w:t>
            </w:r>
            <w:r w:rsidR="000722BA">
              <w:rPr>
                <w:rFonts w:eastAsia="宋体" w:hint="eastAsia"/>
              </w:rPr>
              <w:t>6</w:t>
            </w:r>
            <w:r>
              <w:rPr>
                <w:rFonts w:eastAsia="宋体" w:hint="eastAsia"/>
              </w:rPr>
              <w:t>年</w:t>
            </w:r>
            <w:r w:rsidR="000722BA">
              <w:rPr>
                <w:rFonts w:eastAsia="宋体" w:hint="eastAsia"/>
              </w:rPr>
              <w:t>6</w:t>
            </w:r>
            <w:r>
              <w:rPr>
                <w:rFonts w:eastAsia="宋体" w:hint="eastAsia"/>
              </w:rPr>
              <w:t>月</w:t>
            </w:r>
            <w:r w:rsidR="000722BA">
              <w:rPr>
                <w:rFonts w:eastAsia="宋体" w:hint="eastAsia"/>
              </w:rPr>
              <w:t>5</w:t>
            </w:r>
            <w:r>
              <w:rPr>
                <w:rFonts w:eastAsia="宋体" w:hint="eastAsia"/>
              </w:rPr>
              <w:t>日</w:t>
            </w:r>
          </w:p>
        </w:tc>
      </w:tr>
      <w:tr w:rsidR="00FC0493" w14:paraId="32470E57" w14:textId="77777777">
        <w:trPr>
          <w:trHeight w:val="720"/>
          <w:jc w:val="center"/>
        </w:trPr>
        <w:tc>
          <w:tcPr>
            <w:tcW w:w="2395" w:type="dxa"/>
            <w:tcBorders>
              <w:top w:val="single" w:sz="6" w:space="0" w:color="auto"/>
              <w:left w:val="single" w:sz="12" w:space="0" w:color="auto"/>
              <w:bottom w:val="single" w:sz="6" w:space="0" w:color="auto"/>
              <w:right w:val="single" w:sz="6" w:space="0" w:color="auto"/>
            </w:tcBorders>
            <w:vAlign w:val="center"/>
          </w:tcPr>
          <w:p w14:paraId="79B9D202" w14:textId="77777777" w:rsidR="00FC0493" w:rsidRDefault="00B647EB">
            <w:pPr>
              <w:spacing w:line="420" w:lineRule="exact"/>
              <w:jc w:val="center"/>
              <w:rPr>
                <w:rFonts w:eastAsia="宋体"/>
                <w:b/>
                <w:bCs/>
              </w:rPr>
            </w:pPr>
            <w:r>
              <w:rPr>
                <w:rFonts w:eastAsia="宋体" w:hint="eastAsia"/>
                <w:b/>
                <w:bCs/>
              </w:rPr>
              <w:t>地点</w:t>
            </w:r>
          </w:p>
        </w:tc>
        <w:tc>
          <w:tcPr>
            <w:tcW w:w="6521" w:type="dxa"/>
            <w:tcBorders>
              <w:top w:val="single" w:sz="6" w:space="0" w:color="auto"/>
              <w:left w:val="single" w:sz="6" w:space="0" w:color="auto"/>
              <w:bottom w:val="single" w:sz="6" w:space="0" w:color="auto"/>
              <w:right w:val="single" w:sz="12" w:space="0" w:color="auto"/>
            </w:tcBorders>
            <w:vAlign w:val="center"/>
          </w:tcPr>
          <w:p w14:paraId="1AC85D4E" w14:textId="2646D037" w:rsidR="00FC0493" w:rsidRDefault="000722BA">
            <w:pPr>
              <w:spacing w:line="420" w:lineRule="exact"/>
              <w:jc w:val="left"/>
              <w:rPr>
                <w:rFonts w:eastAsia="宋体"/>
              </w:rPr>
            </w:pPr>
            <w:r>
              <w:rPr>
                <w:rFonts w:eastAsia="宋体" w:hint="eastAsia"/>
              </w:rPr>
              <w:t>公司会议室</w:t>
            </w:r>
          </w:p>
        </w:tc>
      </w:tr>
      <w:tr w:rsidR="00FC0493" w14:paraId="13218405" w14:textId="77777777">
        <w:trPr>
          <w:trHeight w:val="1538"/>
          <w:jc w:val="center"/>
        </w:trPr>
        <w:tc>
          <w:tcPr>
            <w:tcW w:w="2395" w:type="dxa"/>
            <w:tcBorders>
              <w:top w:val="single" w:sz="6" w:space="0" w:color="auto"/>
              <w:left w:val="single" w:sz="12" w:space="0" w:color="auto"/>
              <w:bottom w:val="single" w:sz="6" w:space="0" w:color="auto"/>
              <w:right w:val="single" w:sz="6" w:space="0" w:color="auto"/>
            </w:tcBorders>
            <w:vAlign w:val="center"/>
          </w:tcPr>
          <w:p w14:paraId="13664D93" w14:textId="77777777" w:rsidR="00FC0493" w:rsidRDefault="00B647EB">
            <w:pPr>
              <w:spacing w:line="420" w:lineRule="exact"/>
              <w:jc w:val="center"/>
              <w:rPr>
                <w:rFonts w:eastAsia="宋体"/>
                <w:b/>
                <w:bCs/>
              </w:rPr>
            </w:pPr>
            <w:r>
              <w:rPr>
                <w:rFonts w:eastAsia="宋体" w:hint="eastAsia"/>
                <w:b/>
                <w:bCs/>
              </w:rPr>
              <w:t>接待人员姓名</w:t>
            </w:r>
          </w:p>
        </w:tc>
        <w:tc>
          <w:tcPr>
            <w:tcW w:w="6521" w:type="dxa"/>
            <w:tcBorders>
              <w:top w:val="single" w:sz="6" w:space="0" w:color="auto"/>
              <w:left w:val="single" w:sz="6" w:space="0" w:color="auto"/>
              <w:bottom w:val="single" w:sz="6" w:space="0" w:color="auto"/>
              <w:right w:val="single" w:sz="12" w:space="0" w:color="auto"/>
            </w:tcBorders>
            <w:vAlign w:val="center"/>
          </w:tcPr>
          <w:p w14:paraId="363895F0" w14:textId="77777777" w:rsidR="00FC0493" w:rsidRDefault="00B647EB">
            <w:pPr>
              <w:widowControl/>
              <w:jc w:val="left"/>
              <w:rPr>
                <w:rFonts w:eastAsia="宋体" w:cs="宋体"/>
                <w:color w:val="000000"/>
                <w:kern w:val="0"/>
                <w:lang w:bidi="ar"/>
              </w:rPr>
            </w:pPr>
            <w:r>
              <w:rPr>
                <w:rFonts w:eastAsia="宋体" w:cs="宋体" w:hint="eastAsia"/>
                <w:color w:val="000000"/>
                <w:kern w:val="0"/>
                <w:lang w:bidi="ar"/>
              </w:rPr>
              <w:t>董事会秘书：彭娟</w:t>
            </w:r>
          </w:p>
          <w:p w14:paraId="5ACD2433" w14:textId="21EEA548" w:rsidR="001D6B0A" w:rsidRDefault="001D6B0A">
            <w:pPr>
              <w:widowControl/>
              <w:jc w:val="left"/>
              <w:rPr>
                <w:rFonts w:eastAsia="宋体" w:cs="宋体"/>
                <w:color w:val="000000"/>
                <w:kern w:val="0"/>
                <w:lang w:bidi="ar"/>
              </w:rPr>
            </w:pPr>
            <w:r>
              <w:rPr>
                <w:rFonts w:eastAsia="宋体" w:cs="宋体" w:hint="eastAsia"/>
                <w:color w:val="000000"/>
                <w:kern w:val="0"/>
                <w:lang w:bidi="ar"/>
              </w:rPr>
              <w:t>董事：</w:t>
            </w:r>
            <w:proofErr w:type="gramStart"/>
            <w:r>
              <w:rPr>
                <w:rFonts w:eastAsia="宋体" w:cs="宋体" w:hint="eastAsia"/>
                <w:color w:val="000000"/>
                <w:kern w:val="0"/>
                <w:lang w:bidi="ar"/>
              </w:rPr>
              <w:t>谢思遥</w:t>
            </w:r>
            <w:proofErr w:type="gramEnd"/>
          </w:p>
        </w:tc>
      </w:tr>
      <w:tr w:rsidR="00FC0493" w14:paraId="13A6422F" w14:textId="77777777">
        <w:trPr>
          <w:trHeight w:val="657"/>
          <w:jc w:val="center"/>
        </w:trPr>
        <w:tc>
          <w:tcPr>
            <w:tcW w:w="2395" w:type="dxa"/>
            <w:tcBorders>
              <w:top w:val="single" w:sz="6" w:space="0" w:color="auto"/>
              <w:left w:val="single" w:sz="12" w:space="0" w:color="auto"/>
              <w:bottom w:val="single" w:sz="6" w:space="0" w:color="auto"/>
              <w:right w:val="single" w:sz="6" w:space="0" w:color="auto"/>
            </w:tcBorders>
            <w:vAlign w:val="center"/>
          </w:tcPr>
          <w:p w14:paraId="4C6FB4BE" w14:textId="77777777" w:rsidR="00FC0493" w:rsidRDefault="00B647EB">
            <w:pPr>
              <w:spacing w:line="360" w:lineRule="auto"/>
              <w:jc w:val="center"/>
              <w:rPr>
                <w:rFonts w:eastAsia="宋体"/>
                <w:b/>
                <w:bCs/>
              </w:rPr>
            </w:pPr>
            <w:r>
              <w:rPr>
                <w:rFonts w:eastAsia="宋体" w:hint="eastAsia"/>
                <w:b/>
                <w:bCs/>
              </w:rPr>
              <w:t>投资者关系活动主要内容介绍</w:t>
            </w:r>
          </w:p>
        </w:tc>
        <w:tc>
          <w:tcPr>
            <w:tcW w:w="6521" w:type="dxa"/>
            <w:tcBorders>
              <w:top w:val="single" w:sz="6" w:space="0" w:color="auto"/>
              <w:left w:val="single" w:sz="6" w:space="0" w:color="auto"/>
              <w:bottom w:val="single" w:sz="6" w:space="0" w:color="auto"/>
              <w:right w:val="single" w:sz="12" w:space="0" w:color="auto"/>
            </w:tcBorders>
            <w:vAlign w:val="center"/>
          </w:tcPr>
          <w:p w14:paraId="5F608C91" w14:textId="5A59F591" w:rsidR="00FC0493" w:rsidRDefault="0006583E">
            <w:pPr>
              <w:pStyle w:val="a"/>
              <w:spacing w:line="480" w:lineRule="exact"/>
              <w:ind w:left="0"/>
            </w:pPr>
            <w:r>
              <w:rPr>
                <w:rFonts w:hint="eastAsia"/>
              </w:rPr>
              <w:t xml:space="preserve">    </w:t>
            </w:r>
            <w:r>
              <w:rPr>
                <w:rFonts w:hint="eastAsia"/>
              </w:rPr>
              <w:t>一、</w:t>
            </w:r>
            <w:r w:rsidR="0026588F">
              <w:rPr>
                <w:rFonts w:hint="eastAsia"/>
              </w:rPr>
              <w:t>公司如何看待半导体测试需求市场？</w:t>
            </w:r>
          </w:p>
          <w:p w14:paraId="6EBD2761" w14:textId="08789084" w:rsidR="00FC0493" w:rsidRDefault="00B40704" w:rsidP="00B40704">
            <w:pPr>
              <w:spacing w:line="480" w:lineRule="exact"/>
              <w:ind w:firstLineChars="200" w:firstLine="480"/>
              <w:rPr>
                <w:rFonts w:eastAsia="宋体"/>
              </w:rPr>
            </w:pPr>
            <w:r w:rsidRPr="00B40704">
              <w:rPr>
                <w:rFonts w:eastAsia="宋体"/>
              </w:rPr>
              <w:t>随着摩尔定律逐渐逼近极限，</w:t>
            </w:r>
            <w:r w:rsidRPr="00B40704">
              <w:rPr>
                <w:rFonts w:eastAsia="宋体"/>
              </w:rPr>
              <w:t>2.5D/3D</w:t>
            </w:r>
            <w:r w:rsidRPr="00B40704">
              <w:rPr>
                <w:rFonts w:eastAsia="宋体"/>
              </w:rPr>
              <w:t>封装、</w:t>
            </w:r>
            <w:r w:rsidRPr="00B40704">
              <w:rPr>
                <w:rFonts w:eastAsia="宋体"/>
              </w:rPr>
              <w:t>Chiplet</w:t>
            </w:r>
            <w:r w:rsidRPr="00B40704">
              <w:rPr>
                <w:rFonts w:eastAsia="宋体"/>
              </w:rPr>
              <w:t>等先进封装技术成为关键路径，芯片结构从平面走向立体，其复杂的互连结构与集成形态对测试设备的信号精度、多通道</w:t>
            </w:r>
            <w:r w:rsidRPr="00B40704">
              <w:rPr>
                <w:rFonts w:eastAsia="宋体"/>
              </w:rPr>
              <w:lastRenderedPageBreak/>
              <w:t>协同能力及系统兼容性提出更高要求。</w:t>
            </w:r>
            <w:r w:rsidRPr="00B40704">
              <w:rPr>
                <w:rFonts w:eastAsia="宋体"/>
              </w:rPr>
              <w:t>HBM</w:t>
            </w:r>
            <w:r w:rsidRPr="00B40704">
              <w:rPr>
                <w:rFonts w:eastAsia="宋体"/>
              </w:rPr>
              <w:t>凭借高带宽优势已成为高性能计算和人工智能的重要解决方案，驱动测试设备向高精度、高并行测试能力方向迭代。设备架构复杂化及人工智能对高性能的需求共同推动半导体测试设备市场增长。根据</w:t>
            </w:r>
            <w:r w:rsidRPr="00B40704">
              <w:rPr>
                <w:rFonts w:eastAsia="宋体"/>
              </w:rPr>
              <w:t>SEMI</w:t>
            </w:r>
            <w:r w:rsidRPr="00B40704">
              <w:rPr>
                <w:rFonts w:eastAsia="宋体"/>
              </w:rPr>
              <w:t>预测，</w:t>
            </w:r>
            <w:r w:rsidRPr="00B40704">
              <w:rPr>
                <w:rFonts w:eastAsia="宋体"/>
              </w:rPr>
              <w:t>2025</w:t>
            </w:r>
            <w:r w:rsidRPr="00B40704">
              <w:rPr>
                <w:rFonts w:eastAsia="宋体"/>
              </w:rPr>
              <w:t>年全球半导体测试设备销售额将增长</w:t>
            </w:r>
            <w:r w:rsidRPr="00B40704">
              <w:rPr>
                <w:rFonts w:eastAsia="宋体"/>
              </w:rPr>
              <w:t>48.10%</w:t>
            </w:r>
            <w:r w:rsidRPr="00B40704">
              <w:rPr>
                <w:rFonts w:eastAsia="宋体"/>
              </w:rPr>
              <w:t>至</w:t>
            </w:r>
            <w:r w:rsidRPr="00B40704">
              <w:rPr>
                <w:rFonts w:eastAsia="宋体"/>
              </w:rPr>
              <w:t>112</w:t>
            </w:r>
            <w:r w:rsidRPr="00B40704">
              <w:rPr>
                <w:rFonts w:eastAsia="宋体"/>
              </w:rPr>
              <w:t>亿美元。同时，</w:t>
            </w:r>
            <w:r w:rsidRPr="00B40704">
              <w:rPr>
                <w:rFonts w:eastAsia="宋体"/>
              </w:rPr>
              <w:t>XR</w:t>
            </w:r>
            <w:r w:rsidRPr="00B40704">
              <w:rPr>
                <w:rFonts w:eastAsia="宋体"/>
              </w:rPr>
              <w:t>及智能眼镜的快速发展亦驱动</w:t>
            </w:r>
            <w:proofErr w:type="spellStart"/>
            <w:r w:rsidRPr="00B40704">
              <w:rPr>
                <w:rFonts w:eastAsia="宋体"/>
              </w:rPr>
              <w:t>MicroOLED</w:t>
            </w:r>
            <w:proofErr w:type="spellEnd"/>
            <w:r w:rsidRPr="00B40704">
              <w:rPr>
                <w:rFonts w:eastAsia="宋体"/>
              </w:rPr>
              <w:t>/LED</w:t>
            </w:r>
            <w:r w:rsidRPr="00B40704">
              <w:rPr>
                <w:rFonts w:eastAsia="宋体"/>
              </w:rPr>
              <w:t>等</w:t>
            </w:r>
            <w:proofErr w:type="gramStart"/>
            <w:r w:rsidRPr="00B40704">
              <w:rPr>
                <w:rFonts w:eastAsia="宋体"/>
              </w:rPr>
              <w:t>微显示</w:t>
            </w:r>
            <w:proofErr w:type="gramEnd"/>
            <w:r w:rsidRPr="00B40704">
              <w:rPr>
                <w:rFonts w:eastAsia="宋体"/>
              </w:rPr>
              <w:t>技术加速产业化。</w:t>
            </w:r>
            <w:r>
              <w:rPr>
                <w:rFonts w:eastAsia="宋体" w:hint="eastAsia"/>
              </w:rPr>
              <w:t>另一方面，</w:t>
            </w:r>
            <w:r w:rsidRPr="00B40704">
              <w:rPr>
                <w:rFonts w:eastAsia="宋体"/>
              </w:rPr>
              <w:t>随着全球贸易摩擦加剧，我国半导体产业面临着供应</w:t>
            </w:r>
            <w:proofErr w:type="gramStart"/>
            <w:r w:rsidRPr="00B40704">
              <w:rPr>
                <w:rFonts w:eastAsia="宋体"/>
              </w:rPr>
              <w:t>链安全</w:t>
            </w:r>
            <w:proofErr w:type="gramEnd"/>
            <w:r w:rsidRPr="00B40704">
              <w:rPr>
                <w:rFonts w:eastAsia="宋体"/>
              </w:rPr>
              <w:t>和技术突破的严峻挑战，高端半导体测试检测设备进口替代需求日益迫切。在此背景下，我国高端半导体测试检测设备国产化进程有望进一步加速，本土厂商</w:t>
            </w:r>
            <w:r w:rsidR="00896610">
              <w:rPr>
                <w:rFonts w:eastAsia="宋体" w:hint="eastAsia"/>
              </w:rPr>
              <w:t>也</w:t>
            </w:r>
            <w:r w:rsidRPr="00B40704">
              <w:rPr>
                <w:rFonts w:eastAsia="宋体"/>
              </w:rPr>
              <w:t>将受益。</w:t>
            </w:r>
          </w:p>
          <w:p w14:paraId="3E316E60" w14:textId="77777777" w:rsidR="00B40704" w:rsidRDefault="00B40704">
            <w:pPr>
              <w:pStyle w:val="a"/>
              <w:spacing w:line="480" w:lineRule="exact"/>
              <w:ind w:left="0"/>
            </w:pPr>
          </w:p>
          <w:p w14:paraId="6F6909FC" w14:textId="78D12DED" w:rsidR="00FC0493" w:rsidRDefault="00B40704">
            <w:pPr>
              <w:pStyle w:val="a"/>
              <w:spacing w:line="480" w:lineRule="exact"/>
              <w:ind w:left="0"/>
            </w:pPr>
            <w:r>
              <w:rPr>
                <w:rFonts w:hint="eastAsia"/>
              </w:rPr>
              <w:t xml:space="preserve">    </w:t>
            </w:r>
            <w:r>
              <w:rPr>
                <w:rFonts w:hint="eastAsia"/>
              </w:rPr>
              <w:t>二、请介绍公司</w:t>
            </w:r>
            <w:r w:rsidR="0026588F">
              <w:rPr>
                <w:rFonts w:hint="eastAsia"/>
              </w:rPr>
              <w:t>在半导体领域的战略规划方向</w:t>
            </w:r>
            <w:r>
              <w:rPr>
                <w:rFonts w:hint="eastAsia"/>
              </w:rPr>
              <w:t>。</w:t>
            </w:r>
          </w:p>
          <w:p w14:paraId="017DDDFE" w14:textId="09CE4DA9" w:rsidR="00FC0493" w:rsidRDefault="00B40704" w:rsidP="00B40704">
            <w:pPr>
              <w:spacing w:line="480" w:lineRule="exact"/>
              <w:ind w:firstLineChars="200" w:firstLine="480"/>
              <w:rPr>
                <w:rFonts w:eastAsia="宋体"/>
              </w:rPr>
            </w:pPr>
            <w:r w:rsidRPr="00B40704">
              <w:rPr>
                <w:rFonts w:eastAsia="宋体"/>
              </w:rPr>
              <w:t>依托多年在半导体存储测试领域的深耕积累和自主创新，产品线已覆盖半导体存储器测试领域的关键测试设备和治具，主要产品包括晶圆测试设备、老化测试及修复设备、高速</w:t>
            </w:r>
            <w:r w:rsidRPr="00B40704">
              <w:rPr>
                <w:rFonts w:eastAsia="宋体"/>
              </w:rPr>
              <w:t>FT</w:t>
            </w:r>
            <w:r w:rsidRPr="00B40704">
              <w:rPr>
                <w:rFonts w:eastAsia="宋体"/>
              </w:rPr>
              <w:t>测试设备、</w:t>
            </w:r>
            <w:r w:rsidRPr="00B40704">
              <w:rPr>
                <w:rFonts w:eastAsia="宋体"/>
              </w:rPr>
              <w:t>MEMS</w:t>
            </w:r>
            <w:r w:rsidRPr="00B40704">
              <w:rPr>
                <w:rFonts w:eastAsia="宋体"/>
              </w:rPr>
              <w:t>探针卡、老化治具板、</w:t>
            </w:r>
            <w:r w:rsidRPr="00B40704">
              <w:rPr>
                <w:rFonts w:eastAsia="宋体"/>
              </w:rPr>
              <w:t>FT</w:t>
            </w:r>
            <w:r w:rsidRPr="00B40704">
              <w:rPr>
                <w:rFonts w:eastAsia="宋体"/>
              </w:rPr>
              <w:t>测试治具等，是国内少数实现半导体存储器测试设备全覆盖的厂商，已于</w:t>
            </w:r>
            <w:proofErr w:type="gramStart"/>
            <w:r w:rsidRPr="00B40704">
              <w:rPr>
                <w:rFonts w:eastAsia="宋体"/>
              </w:rPr>
              <w:t>部分产线成功</w:t>
            </w:r>
            <w:proofErr w:type="gramEnd"/>
            <w:r w:rsidRPr="00B40704">
              <w:rPr>
                <w:rFonts w:eastAsia="宋体"/>
              </w:rPr>
              <w:t>取代国外供应商成为相关产品主要供应商，实现重要生产环节自主可控。为了更好满足客户对高端半导体测试设备日益增长的市场需求，</w:t>
            </w:r>
            <w:r>
              <w:rPr>
                <w:rFonts w:eastAsia="宋体" w:hint="eastAsia"/>
              </w:rPr>
              <w:t>接下来，</w:t>
            </w:r>
            <w:r w:rsidRPr="00B40704">
              <w:rPr>
                <w:rFonts w:eastAsia="宋体"/>
              </w:rPr>
              <w:t>公司</w:t>
            </w:r>
            <w:r w:rsidR="001D6B0A">
              <w:rPr>
                <w:rFonts w:eastAsia="宋体" w:hint="eastAsia"/>
              </w:rPr>
              <w:t>将</w:t>
            </w:r>
            <w:r w:rsidRPr="00B40704">
              <w:rPr>
                <w:rFonts w:eastAsia="宋体"/>
              </w:rPr>
              <w:t>持续提升高端半导体测试设备的产业化能力，进一步提升</w:t>
            </w:r>
            <w:r w:rsidRPr="00B40704">
              <w:rPr>
                <w:rFonts w:eastAsia="宋体"/>
              </w:rPr>
              <w:t>“</w:t>
            </w:r>
            <w:r w:rsidRPr="00B40704">
              <w:rPr>
                <w:rFonts w:eastAsia="宋体"/>
              </w:rPr>
              <w:t>设备平台</w:t>
            </w:r>
            <w:r w:rsidRPr="00B40704">
              <w:rPr>
                <w:rFonts w:eastAsia="宋体"/>
              </w:rPr>
              <w:t>+</w:t>
            </w:r>
            <w:r w:rsidRPr="00B40704">
              <w:rPr>
                <w:rFonts w:eastAsia="宋体"/>
              </w:rPr>
              <w:t>解决方案</w:t>
            </w:r>
            <w:r w:rsidRPr="00B40704">
              <w:rPr>
                <w:rFonts w:eastAsia="宋体"/>
              </w:rPr>
              <w:t>”</w:t>
            </w:r>
            <w:r w:rsidRPr="00B40704">
              <w:rPr>
                <w:rFonts w:eastAsia="宋体"/>
              </w:rPr>
              <w:t>的综合服务能力，巩固并提升公司在半导体测试设备领域的竞争力。</w:t>
            </w:r>
          </w:p>
          <w:p w14:paraId="4FEF2B41" w14:textId="77777777" w:rsidR="00B40704" w:rsidRDefault="00B40704">
            <w:pPr>
              <w:spacing w:line="480" w:lineRule="exact"/>
              <w:rPr>
                <w:rFonts w:eastAsia="宋体"/>
              </w:rPr>
            </w:pPr>
          </w:p>
          <w:p w14:paraId="3F4F47B5" w14:textId="7DE41E8B" w:rsidR="00FC0493" w:rsidRDefault="0006583E">
            <w:pPr>
              <w:pStyle w:val="a"/>
              <w:ind w:left="0"/>
            </w:pPr>
            <w:r>
              <w:rPr>
                <w:rFonts w:hint="eastAsia"/>
              </w:rPr>
              <w:t xml:space="preserve">    </w:t>
            </w:r>
            <w:r>
              <w:rPr>
                <w:rFonts w:hint="eastAsia"/>
              </w:rPr>
              <w:t>三、请介绍</w:t>
            </w:r>
            <w:r w:rsidR="0026588F">
              <w:rPr>
                <w:rFonts w:hint="eastAsia"/>
              </w:rPr>
              <w:t>公司的产能管理情况</w:t>
            </w:r>
            <w:r>
              <w:rPr>
                <w:rFonts w:hint="eastAsia"/>
              </w:rPr>
              <w:t>。</w:t>
            </w:r>
          </w:p>
          <w:p w14:paraId="39D7DAEE" w14:textId="5DC606E5" w:rsidR="00E216FE" w:rsidRPr="00896610" w:rsidRDefault="00B573F8" w:rsidP="00896610">
            <w:pPr>
              <w:spacing w:line="480" w:lineRule="exact"/>
              <w:ind w:firstLineChars="200" w:firstLine="480"/>
              <w:rPr>
                <w:rFonts w:eastAsia="宋体"/>
              </w:rPr>
            </w:pPr>
            <w:r w:rsidRPr="00B573F8">
              <w:rPr>
                <w:rFonts w:eastAsia="宋体"/>
              </w:rPr>
              <w:t>近年来，受益于下游市场需求旺盛、公司技术迭代与应用场景的不断拓展，公司半导体测试设备业务呈现快速增长趋势。</w:t>
            </w:r>
            <w:r w:rsidR="00896610" w:rsidRPr="00896610">
              <w:rPr>
                <w:rFonts w:eastAsia="宋体"/>
              </w:rPr>
              <w:t>对此，公司</w:t>
            </w:r>
            <w:r w:rsidR="001D6B0A">
              <w:rPr>
                <w:rFonts w:eastAsia="宋体" w:hint="eastAsia"/>
              </w:rPr>
              <w:t>将</w:t>
            </w:r>
            <w:r w:rsidR="00896610" w:rsidRPr="00896610">
              <w:rPr>
                <w:rFonts w:eastAsia="宋体"/>
              </w:rPr>
              <w:t>在深圳市</w:t>
            </w:r>
            <w:proofErr w:type="gramStart"/>
            <w:r w:rsidR="00896610" w:rsidRPr="00896610">
              <w:rPr>
                <w:rFonts w:eastAsia="宋体"/>
              </w:rPr>
              <w:t>龙华区</w:t>
            </w:r>
            <w:proofErr w:type="gramEnd"/>
            <w:r w:rsidR="00896610" w:rsidRPr="00896610">
              <w:rPr>
                <w:rFonts w:eastAsia="宋体"/>
              </w:rPr>
              <w:t>投资建设高标准的产业化</w:t>
            </w:r>
            <w:r w:rsidR="00896610" w:rsidRPr="00896610">
              <w:rPr>
                <w:rFonts w:eastAsia="宋体"/>
              </w:rPr>
              <w:lastRenderedPageBreak/>
              <w:t>智造基地</w:t>
            </w:r>
            <w:r w:rsidR="001D6B0A">
              <w:rPr>
                <w:rFonts w:eastAsia="宋体" w:hint="eastAsia"/>
              </w:rPr>
              <w:t>，</w:t>
            </w:r>
            <w:r w:rsidR="00896610" w:rsidRPr="00896610">
              <w:rPr>
                <w:rFonts w:eastAsia="宋体"/>
              </w:rPr>
              <w:t>在全力保障当前产品交付的基础上，进一步提升规模化、现代化、自动化的先进制造能力，以便更加敏捷地响应国内客户在技术升级与产能爬坡过程中的设备需求。</w:t>
            </w:r>
            <w:r w:rsidR="00244AAC">
              <w:rPr>
                <w:rFonts w:eastAsia="宋体" w:hint="eastAsia"/>
              </w:rPr>
              <w:t>此外，公司</w:t>
            </w:r>
            <w:r w:rsidR="00244AAC" w:rsidRPr="00244AAC">
              <w:rPr>
                <w:rFonts w:eastAsia="宋体"/>
              </w:rPr>
              <w:t>本次在上海设立研发中心，将充分依托区域客户资源、技术储备和人才优势，与客户形成</w:t>
            </w:r>
            <w:r w:rsidR="00244AAC">
              <w:rPr>
                <w:rFonts w:eastAsia="宋体" w:hint="eastAsia"/>
              </w:rPr>
              <w:t>“</w:t>
            </w:r>
            <w:r w:rsidR="00244AAC" w:rsidRPr="00244AAC">
              <w:rPr>
                <w:rFonts w:eastAsia="宋体"/>
              </w:rPr>
              <w:t>协同研发</w:t>
            </w:r>
            <w:r w:rsidR="007521FC">
              <w:rPr>
                <w:rFonts w:eastAsia="宋体" w:hint="eastAsia"/>
              </w:rPr>
              <w:t>-</w:t>
            </w:r>
            <w:r w:rsidR="00244AAC" w:rsidRPr="00244AAC">
              <w:rPr>
                <w:rFonts w:eastAsia="宋体"/>
              </w:rPr>
              <w:t>迭代验证</w:t>
            </w:r>
            <w:r w:rsidR="007521FC">
              <w:rPr>
                <w:rFonts w:eastAsia="宋体" w:hint="eastAsia"/>
              </w:rPr>
              <w:t>-</w:t>
            </w:r>
            <w:r w:rsidR="00244AAC" w:rsidRPr="00244AAC">
              <w:rPr>
                <w:rFonts w:eastAsia="宋体"/>
              </w:rPr>
              <w:t>规模量产</w:t>
            </w:r>
            <w:r w:rsidR="00244AAC">
              <w:rPr>
                <w:rFonts w:eastAsia="宋体" w:hint="eastAsia"/>
              </w:rPr>
              <w:t>”</w:t>
            </w:r>
            <w:r w:rsidR="00244AAC" w:rsidRPr="00244AAC">
              <w:rPr>
                <w:rFonts w:eastAsia="宋体"/>
              </w:rPr>
              <w:t>的闭环，精准满足</w:t>
            </w:r>
            <w:proofErr w:type="gramStart"/>
            <w:r w:rsidR="00244AAC" w:rsidRPr="00244AAC">
              <w:rPr>
                <w:rFonts w:eastAsia="宋体"/>
              </w:rPr>
              <w:t>高端算力芯片</w:t>
            </w:r>
            <w:proofErr w:type="gramEnd"/>
            <w:r w:rsidR="00244AAC" w:rsidRPr="00244AAC">
              <w:rPr>
                <w:rFonts w:eastAsia="宋体"/>
              </w:rPr>
              <w:t>测试设备和</w:t>
            </w:r>
            <w:r w:rsidR="00244AAC" w:rsidRPr="00244AAC">
              <w:rPr>
                <w:rFonts w:eastAsia="宋体"/>
              </w:rPr>
              <w:t>HBM</w:t>
            </w:r>
            <w:r w:rsidR="00244AAC" w:rsidRPr="00244AAC">
              <w:rPr>
                <w:rFonts w:eastAsia="宋体"/>
              </w:rPr>
              <w:t>测试设备等高端半导体测试设备广阔的市场需求。</w:t>
            </w:r>
          </w:p>
          <w:p w14:paraId="1D2C6918" w14:textId="77777777" w:rsidR="00E216FE" w:rsidRDefault="00E216FE">
            <w:pPr>
              <w:spacing w:line="480" w:lineRule="exact"/>
              <w:rPr>
                <w:rFonts w:eastAsia="宋体"/>
                <w:b/>
                <w:bCs/>
              </w:rPr>
            </w:pPr>
          </w:p>
          <w:p w14:paraId="7BD3DC8F" w14:textId="69FE2C77" w:rsidR="00FC0493" w:rsidRDefault="0006583E">
            <w:pPr>
              <w:pStyle w:val="a"/>
              <w:ind w:left="0"/>
            </w:pPr>
            <w:r>
              <w:rPr>
                <w:rFonts w:hint="eastAsia"/>
              </w:rPr>
              <w:t xml:space="preserve">    </w:t>
            </w:r>
            <w:r>
              <w:rPr>
                <w:rFonts w:hint="eastAsia"/>
              </w:rPr>
              <w:t>四、</w:t>
            </w:r>
            <w:r w:rsidR="0002308E">
              <w:rPr>
                <w:rFonts w:hint="eastAsia"/>
              </w:rPr>
              <w:t>请问</w:t>
            </w:r>
            <w:r w:rsidR="006B59DB">
              <w:rPr>
                <w:rFonts w:hint="eastAsia"/>
              </w:rPr>
              <w:t>公司如何构建竞争壁垒？</w:t>
            </w:r>
          </w:p>
          <w:p w14:paraId="727F1E08" w14:textId="70698680" w:rsidR="00FC0493" w:rsidRDefault="001930D7" w:rsidP="006B59DB">
            <w:pPr>
              <w:pStyle w:val="a"/>
              <w:numPr>
                <w:ilvl w:val="0"/>
                <w:numId w:val="0"/>
              </w:numPr>
              <w:ind w:firstLineChars="200" w:firstLine="480"/>
              <w:rPr>
                <w:b w:val="0"/>
                <w:bCs w:val="0"/>
              </w:rPr>
            </w:pPr>
            <w:r w:rsidRPr="001930D7">
              <w:rPr>
                <w:b w:val="0"/>
                <w:bCs w:val="0"/>
              </w:rPr>
              <w:t>半导体测试检测设备行业具有技术壁垒高、资金投入大、与下游产业链协同性强的显著特征。</w:t>
            </w:r>
            <w:r w:rsidR="00A05657" w:rsidRPr="00A05657">
              <w:rPr>
                <w:b w:val="0"/>
                <w:bCs w:val="0"/>
              </w:rPr>
              <w:t>下游芯片企业对设备的可靠性、稳定性要求极为严格。设备</w:t>
            </w:r>
            <w:proofErr w:type="gramStart"/>
            <w:r w:rsidR="00A05657" w:rsidRPr="00A05657">
              <w:rPr>
                <w:b w:val="0"/>
                <w:bCs w:val="0"/>
              </w:rPr>
              <w:t>投入产线后</w:t>
            </w:r>
            <w:proofErr w:type="gramEnd"/>
            <w:r w:rsidR="00A05657" w:rsidRPr="00A05657">
              <w:rPr>
                <w:b w:val="0"/>
                <w:bCs w:val="0"/>
              </w:rPr>
              <w:t>需经过长期、大规模的量产验证，方能获得客户认可。这一验证周期不仅关乎客户信任的建立，更是对设备极限性能的检验</w:t>
            </w:r>
            <w:r w:rsidR="008160D6">
              <w:rPr>
                <w:rFonts w:hint="eastAsia"/>
                <w:b w:val="0"/>
                <w:bCs w:val="0"/>
              </w:rPr>
              <w:t>：</w:t>
            </w:r>
            <w:r w:rsidR="008160D6" w:rsidRPr="008160D6">
              <w:rPr>
                <w:b w:val="0"/>
                <w:bCs w:val="0"/>
              </w:rPr>
              <w:t>设备必须在海量芯片的测试过程中保持极低的误判率，任何偏差均可能显著增加半导体厂商的测试成本。</w:t>
            </w:r>
            <w:r w:rsidRPr="001930D7">
              <w:rPr>
                <w:b w:val="0"/>
                <w:bCs w:val="0"/>
              </w:rPr>
              <w:t>公司</w:t>
            </w:r>
            <w:r w:rsidR="008160D6" w:rsidRPr="008160D6">
              <w:rPr>
                <w:b w:val="0"/>
                <w:bCs w:val="0"/>
              </w:rPr>
              <w:t>以平台化能力为核心支撑</w:t>
            </w:r>
            <w:r w:rsidRPr="001930D7">
              <w:rPr>
                <w:b w:val="0"/>
                <w:bCs w:val="0"/>
              </w:rPr>
              <w:t>，依托五大核心产品矩阵、延伸战略生态，实现高质量稳健增长，核心技术壁垒持续强化，市场竞争力与产业协同能力显著提升</w:t>
            </w:r>
            <w:r>
              <w:rPr>
                <w:rFonts w:hint="eastAsia"/>
                <w:b w:val="0"/>
                <w:bCs w:val="0"/>
              </w:rPr>
              <w:t>。</w:t>
            </w:r>
          </w:p>
        </w:tc>
      </w:tr>
      <w:tr w:rsidR="00FC0493" w14:paraId="75A6AA33" w14:textId="77777777">
        <w:trPr>
          <w:trHeight w:val="90"/>
          <w:jc w:val="center"/>
        </w:trPr>
        <w:tc>
          <w:tcPr>
            <w:tcW w:w="2395" w:type="dxa"/>
            <w:tcBorders>
              <w:top w:val="single" w:sz="6" w:space="0" w:color="auto"/>
              <w:left w:val="single" w:sz="12" w:space="0" w:color="auto"/>
              <w:bottom w:val="single" w:sz="6" w:space="0" w:color="auto"/>
              <w:right w:val="single" w:sz="6" w:space="0" w:color="auto"/>
            </w:tcBorders>
            <w:vAlign w:val="center"/>
          </w:tcPr>
          <w:p w14:paraId="0663E77A" w14:textId="77777777" w:rsidR="00FC0493" w:rsidRDefault="00B647EB">
            <w:pPr>
              <w:spacing w:line="420" w:lineRule="exact"/>
              <w:jc w:val="center"/>
              <w:rPr>
                <w:rFonts w:eastAsia="宋体"/>
                <w:b/>
                <w:bCs/>
              </w:rPr>
            </w:pPr>
            <w:r>
              <w:rPr>
                <w:rFonts w:eastAsia="宋体" w:hint="eastAsia"/>
                <w:b/>
                <w:bCs/>
              </w:rPr>
              <w:lastRenderedPageBreak/>
              <w:t>关于本次活动是否涉及应当披露重大信息的说明</w:t>
            </w:r>
          </w:p>
        </w:tc>
        <w:tc>
          <w:tcPr>
            <w:tcW w:w="6521" w:type="dxa"/>
            <w:tcBorders>
              <w:top w:val="single" w:sz="6" w:space="0" w:color="auto"/>
              <w:left w:val="single" w:sz="6" w:space="0" w:color="auto"/>
              <w:bottom w:val="single" w:sz="6" w:space="0" w:color="auto"/>
              <w:right w:val="single" w:sz="12" w:space="0" w:color="auto"/>
            </w:tcBorders>
            <w:vAlign w:val="center"/>
          </w:tcPr>
          <w:p w14:paraId="409C9573" w14:textId="77777777" w:rsidR="00FC0493" w:rsidRDefault="00B647EB">
            <w:pPr>
              <w:spacing w:line="420" w:lineRule="exact"/>
              <w:jc w:val="left"/>
              <w:rPr>
                <w:rFonts w:eastAsia="宋体"/>
              </w:rPr>
            </w:pPr>
            <w:r>
              <w:rPr>
                <w:rFonts w:eastAsia="宋体" w:hint="eastAsia"/>
              </w:rPr>
              <w:t>本次活动不涉及应当披露重大信息。</w:t>
            </w:r>
          </w:p>
        </w:tc>
      </w:tr>
      <w:tr w:rsidR="00FC0493" w14:paraId="36242F42" w14:textId="77777777">
        <w:trPr>
          <w:trHeight w:val="549"/>
          <w:jc w:val="center"/>
        </w:trPr>
        <w:tc>
          <w:tcPr>
            <w:tcW w:w="2395" w:type="dxa"/>
            <w:tcBorders>
              <w:top w:val="single" w:sz="6" w:space="0" w:color="auto"/>
              <w:left w:val="single" w:sz="12" w:space="0" w:color="auto"/>
              <w:bottom w:val="single" w:sz="6" w:space="0" w:color="auto"/>
              <w:right w:val="single" w:sz="6" w:space="0" w:color="auto"/>
            </w:tcBorders>
            <w:vAlign w:val="center"/>
          </w:tcPr>
          <w:p w14:paraId="32A3ED58" w14:textId="77777777" w:rsidR="00FC0493" w:rsidRDefault="00B647EB">
            <w:pPr>
              <w:spacing w:line="420" w:lineRule="exact"/>
              <w:jc w:val="center"/>
              <w:rPr>
                <w:rFonts w:eastAsia="宋体"/>
                <w:b/>
                <w:bCs/>
              </w:rPr>
            </w:pPr>
            <w:r>
              <w:rPr>
                <w:rFonts w:eastAsia="宋体" w:hint="eastAsia"/>
                <w:b/>
                <w:bCs/>
              </w:rPr>
              <w:t>附件清单（如有）</w:t>
            </w:r>
          </w:p>
        </w:tc>
        <w:tc>
          <w:tcPr>
            <w:tcW w:w="6521" w:type="dxa"/>
            <w:tcBorders>
              <w:top w:val="single" w:sz="6" w:space="0" w:color="auto"/>
              <w:left w:val="single" w:sz="6" w:space="0" w:color="auto"/>
              <w:bottom w:val="single" w:sz="6" w:space="0" w:color="auto"/>
              <w:right w:val="single" w:sz="12" w:space="0" w:color="auto"/>
            </w:tcBorders>
            <w:vAlign w:val="center"/>
          </w:tcPr>
          <w:p w14:paraId="04D424C4" w14:textId="77777777" w:rsidR="00FC0493" w:rsidRDefault="00B647EB">
            <w:pPr>
              <w:spacing w:line="420" w:lineRule="exact"/>
              <w:jc w:val="left"/>
              <w:rPr>
                <w:rFonts w:eastAsia="宋体"/>
              </w:rPr>
            </w:pPr>
            <w:r>
              <w:rPr>
                <w:rFonts w:eastAsia="宋体" w:hint="eastAsia"/>
              </w:rPr>
              <w:t>无</w:t>
            </w:r>
          </w:p>
        </w:tc>
      </w:tr>
      <w:tr w:rsidR="00FC0493" w14:paraId="46A02144" w14:textId="77777777">
        <w:trPr>
          <w:trHeight w:val="360"/>
          <w:jc w:val="center"/>
        </w:trPr>
        <w:tc>
          <w:tcPr>
            <w:tcW w:w="2395" w:type="dxa"/>
            <w:tcBorders>
              <w:top w:val="single" w:sz="6" w:space="0" w:color="auto"/>
              <w:left w:val="single" w:sz="12" w:space="0" w:color="auto"/>
              <w:bottom w:val="single" w:sz="12" w:space="0" w:color="auto"/>
              <w:right w:val="single" w:sz="6" w:space="0" w:color="auto"/>
            </w:tcBorders>
            <w:vAlign w:val="center"/>
          </w:tcPr>
          <w:p w14:paraId="029ED5D9" w14:textId="77777777" w:rsidR="00FC0493" w:rsidRDefault="00B647EB">
            <w:pPr>
              <w:spacing w:line="420" w:lineRule="exact"/>
              <w:jc w:val="center"/>
              <w:rPr>
                <w:rFonts w:eastAsia="宋体"/>
                <w:b/>
                <w:bCs/>
              </w:rPr>
            </w:pPr>
            <w:r>
              <w:rPr>
                <w:rFonts w:eastAsia="宋体" w:hint="eastAsia"/>
                <w:b/>
                <w:bCs/>
              </w:rPr>
              <w:t>日期</w:t>
            </w:r>
          </w:p>
        </w:tc>
        <w:tc>
          <w:tcPr>
            <w:tcW w:w="6521" w:type="dxa"/>
            <w:tcBorders>
              <w:top w:val="single" w:sz="6" w:space="0" w:color="auto"/>
              <w:left w:val="single" w:sz="6" w:space="0" w:color="auto"/>
              <w:bottom w:val="single" w:sz="12" w:space="0" w:color="auto"/>
              <w:right w:val="single" w:sz="12" w:space="0" w:color="auto"/>
            </w:tcBorders>
            <w:vAlign w:val="center"/>
          </w:tcPr>
          <w:p w14:paraId="552FEA2F" w14:textId="309162A5" w:rsidR="00FC0493" w:rsidRDefault="00B647EB">
            <w:pPr>
              <w:spacing w:line="420" w:lineRule="exact"/>
              <w:jc w:val="left"/>
              <w:rPr>
                <w:rFonts w:eastAsia="宋体"/>
              </w:rPr>
            </w:pPr>
            <w:r>
              <w:rPr>
                <w:rFonts w:eastAsia="宋体" w:hint="eastAsia"/>
              </w:rPr>
              <w:t>202</w:t>
            </w:r>
            <w:r w:rsidR="00A05657">
              <w:rPr>
                <w:rFonts w:eastAsia="宋体" w:hint="eastAsia"/>
              </w:rPr>
              <w:t>6</w:t>
            </w:r>
            <w:r>
              <w:rPr>
                <w:rFonts w:eastAsia="宋体" w:hint="eastAsia"/>
              </w:rPr>
              <w:t>年</w:t>
            </w:r>
            <w:r w:rsidR="00A05657">
              <w:rPr>
                <w:rFonts w:eastAsia="宋体" w:hint="eastAsia"/>
              </w:rPr>
              <w:t>6</w:t>
            </w:r>
            <w:r>
              <w:rPr>
                <w:rFonts w:eastAsia="宋体" w:hint="eastAsia"/>
              </w:rPr>
              <w:t>月</w:t>
            </w:r>
            <w:r w:rsidR="00414AC9">
              <w:rPr>
                <w:rFonts w:eastAsia="宋体"/>
              </w:rPr>
              <w:t>9</w:t>
            </w:r>
            <w:r>
              <w:rPr>
                <w:rFonts w:eastAsia="宋体" w:hint="eastAsia"/>
              </w:rPr>
              <w:t>日</w:t>
            </w:r>
          </w:p>
        </w:tc>
      </w:tr>
    </w:tbl>
    <w:p w14:paraId="41F4E317" w14:textId="77777777" w:rsidR="00FC0493" w:rsidRDefault="00B647EB">
      <w:pPr>
        <w:spacing w:line="460" w:lineRule="exact"/>
      </w:pPr>
      <w:r>
        <w:rPr>
          <w:rFonts w:ascii="宋体" w:eastAsia="宋体" w:hAnsi="宋体" w:hint="eastAsia"/>
        </w:rPr>
        <w:t xml:space="preserve"> </w:t>
      </w:r>
    </w:p>
    <w:sectPr w:rsidR="00FC04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463AE" w14:textId="77777777" w:rsidR="00B647EB" w:rsidRDefault="00B647EB" w:rsidP="000722BA">
      <w:r>
        <w:separator/>
      </w:r>
    </w:p>
  </w:endnote>
  <w:endnote w:type="continuationSeparator" w:id="0">
    <w:p w14:paraId="5A3EF276" w14:textId="77777777" w:rsidR="00B647EB" w:rsidRDefault="00B647EB" w:rsidP="00072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2B92E" w14:textId="77777777" w:rsidR="00B647EB" w:rsidRDefault="00B647EB" w:rsidP="000722BA">
      <w:r>
        <w:separator/>
      </w:r>
    </w:p>
  </w:footnote>
  <w:footnote w:type="continuationSeparator" w:id="0">
    <w:p w14:paraId="4F99F994" w14:textId="77777777" w:rsidR="00B647EB" w:rsidRDefault="00B647EB" w:rsidP="00072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81606D"/>
    <w:multiLevelType w:val="multilevel"/>
    <w:tmpl w:val="5A81606D"/>
    <w:lvl w:ilvl="0">
      <w:start w:val="1"/>
      <w:numFmt w:val="japaneseCounting"/>
      <w:pStyle w:val="a"/>
      <w:lvlText w:val="%1、"/>
      <w:lvlJc w:val="left"/>
      <w:pPr>
        <w:ind w:left="500" w:hanging="50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I3MGNiNmZiNjU0MWRhMzA3MGM4NThlMjUxOTM1ZTYifQ=="/>
  </w:docVars>
  <w:rsids>
    <w:rsidRoot w:val="009A3F50"/>
    <w:rsid w:val="0000102A"/>
    <w:rsid w:val="00007163"/>
    <w:rsid w:val="000143ED"/>
    <w:rsid w:val="0002308E"/>
    <w:rsid w:val="0003425C"/>
    <w:rsid w:val="0006583E"/>
    <w:rsid w:val="000722BA"/>
    <w:rsid w:val="000809C6"/>
    <w:rsid w:val="000B11FB"/>
    <w:rsid w:val="00116D03"/>
    <w:rsid w:val="00180FF6"/>
    <w:rsid w:val="001930D7"/>
    <w:rsid w:val="001B6AB3"/>
    <w:rsid w:val="001D6B0A"/>
    <w:rsid w:val="001F36A3"/>
    <w:rsid w:val="00224F18"/>
    <w:rsid w:val="00244AAC"/>
    <w:rsid w:val="002570D5"/>
    <w:rsid w:val="0026588F"/>
    <w:rsid w:val="002874B6"/>
    <w:rsid w:val="002A6741"/>
    <w:rsid w:val="002C18CD"/>
    <w:rsid w:val="003148A1"/>
    <w:rsid w:val="003162BD"/>
    <w:rsid w:val="003A55FD"/>
    <w:rsid w:val="003B079D"/>
    <w:rsid w:val="003C084D"/>
    <w:rsid w:val="003C167C"/>
    <w:rsid w:val="003D42F8"/>
    <w:rsid w:val="00414AC9"/>
    <w:rsid w:val="00434D79"/>
    <w:rsid w:val="00436082"/>
    <w:rsid w:val="004D0354"/>
    <w:rsid w:val="004D2008"/>
    <w:rsid w:val="004D61A5"/>
    <w:rsid w:val="004E3CEB"/>
    <w:rsid w:val="004F4433"/>
    <w:rsid w:val="00580FCE"/>
    <w:rsid w:val="006404FB"/>
    <w:rsid w:val="00673D2E"/>
    <w:rsid w:val="006B59DB"/>
    <w:rsid w:val="007521FC"/>
    <w:rsid w:val="007563BB"/>
    <w:rsid w:val="007926C1"/>
    <w:rsid w:val="007C1A30"/>
    <w:rsid w:val="007E40A4"/>
    <w:rsid w:val="0081021E"/>
    <w:rsid w:val="008160D6"/>
    <w:rsid w:val="0083161E"/>
    <w:rsid w:val="008332BF"/>
    <w:rsid w:val="00896610"/>
    <w:rsid w:val="008A74F2"/>
    <w:rsid w:val="00995811"/>
    <w:rsid w:val="009A3F50"/>
    <w:rsid w:val="009B2C69"/>
    <w:rsid w:val="00A05657"/>
    <w:rsid w:val="00AD6F00"/>
    <w:rsid w:val="00B10762"/>
    <w:rsid w:val="00B22F5F"/>
    <w:rsid w:val="00B40704"/>
    <w:rsid w:val="00B41E01"/>
    <w:rsid w:val="00B478BB"/>
    <w:rsid w:val="00B573F8"/>
    <w:rsid w:val="00B61A3F"/>
    <w:rsid w:val="00B647EB"/>
    <w:rsid w:val="00C04C42"/>
    <w:rsid w:val="00C2151A"/>
    <w:rsid w:val="00C37DE3"/>
    <w:rsid w:val="00C422FB"/>
    <w:rsid w:val="00C7271F"/>
    <w:rsid w:val="00CA0A4C"/>
    <w:rsid w:val="00CA0BCB"/>
    <w:rsid w:val="00CC585E"/>
    <w:rsid w:val="00D24809"/>
    <w:rsid w:val="00D3361D"/>
    <w:rsid w:val="00D461BC"/>
    <w:rsid w:val="00D648DB"/>
    <w:rsid w:val="00DF04ED"/>
    <w:rsid w:val="00E04124"/>
    <w:rsid w:val="00E216FE"/>
    <w:rsid w:val="00E40E9A"/>
    <w:rsid w:val="00EA778F"/>
    <w:rsid w:val="00ED1B49"/>
    <w:rsid w:val="00F97AA7"/>
    <w:rsid w:val="00FC0493"/>
    <w:rsid w:val="00FC68A5"/>
    <w:rsid w:val="011E3D92"/>
    <w:rsid w:val="02D432A2"/>
    <w:rsid w:val="03015719"/>
    <w:rsid w:val="03BF4636"/>
    <w:rsid w:val="03E51F28"/>
    <w:rsid w:val="04B9539C"/>
    <w:rsid w:val="04D07A99"/>
    <w:rsid w:val="06672F9A"/>
    <w:rsid w:val="07F76FDC"/>
    <w:rsid w:val="0883674A"/>
    <w:rsid w:val="0892083F"/>
    <w:rsid w:val="094620D8"/>
    <w:rsid w:val="097C1F9D"/>
    <w:rsid w:val="09CA2D09"/>
    <w:rsid w:val="09D750A5"/>
    <w:rsid w:val="0B0C7351"/>
    <w:rsid w:val="0B440899"/>
    <w:rsid w:val="0BBA4FFF"/>
    <w:rsid w:val="0BBE064B"/>
    <w:rsid w:val="0BF57DE5"/>
    <w:rsid w:val="0C8606C3"/>
    <w:rsid w:val="0CD1735C"/>
    <w:rsid w:val="0CDF5E60"/>
    <w:rsid w:val="0D053EEB"/>
    <w:rsid w:val="0D194B6D"/>
    <w:rsid w:val="0DF50570"/>
    <w:rsid w:val="0E0109D3"/>
    <w:rsid w:val="0E4B1F3E"/>
    <w:rsid w:val="0E5055E0"/>
    <w:rsid w:val="0E8F62FB"/>
    <w:rsid w:val="0F7D25CB"/>
    <w:rsid w:val="0FB86718"/>
    <w:rsid w:val="0FFE24A1"/>
    <w:rsid w:val="10246863"/>
    <w:rsid w:val="10346D7C"/>
    <w:rsid w:val="106A6FF4"/>
    <w:rsid w:val="110357B4"/>
    <w:rsid w:val="1166258B"/>
    <w:rsid w:val="118714DF"/>
    <w:rsid w:val="118C4D48"/>
    <w:rsid w:val="11A025A1"/>
    <w:rsid w:val="1211524D"/>
    <w:rsid w:val="12850115"/>
    <w:rsid w:val="12A92AF0"/>
    <w:rsid w:val="12CF7B44"/>
    <w:rsid w:val="13525B1D"/>
    <w:rsid w:val="13940AFE"/>
    <w:rsid w:val="14A5684C"/>
    <w:rsid w:val="151B6448"/>
    <w:rsid w:val="154716B1"/>
    <w:rsid w:val="15A73A04"/>
    <w:rsid w:val="166013F8"/>
    <w:rsid w:val="168D3A3C"/>
    <w:rsid w:val="17313EC8"/>
    <w:rsid w:val="174720B3"/>
    <w:rsid w:val="17926790"/>
    <w:rsid w:val="187C6F87"/>
    <w:rsid w:val="18A63BCA"/>
    <w:rsid w:val="18D86AC4"/>
    <w:rsid w:val="19630A84"/>
    <w:rsid w:val="19A14B4E"/>
    <w:rsid w:val="19AB71E7"/>
    <w:rsid w:val="19D93400"/>
    <w:rsid w:val="19DC1649"/>
    <w:rsid w:val="1A3B37AF"/>
    <w:rsid w:val="1A472154"/>
    <w:rsid w:val="1AC704E3"/>
    <w:rsid w:val="1AE14356"/>
    <w:rsid w:val="1BB2184F"/>
    <w:rsid w:val="1C47468D"/>
    <w:rsid w:val="1CF7548B"/>
    <w:rsid w:val="1D077862"/>
    <w:rsid w:val="1D3C5874"/>
    <w:rsid w:val="1D814A16"/>
    <w:rsid w:val="1DF443A0"/>
    <w:rsid w:val="1E2935D2"/>
    <w:rsid w:val="1E396614"/>
    <w:rsid w:val="1E761259"/>
    <w:rsid w:val="1F6966C8"/>
    <w:rsid w:val="1FEC5FF4"/>
    <w:rsid w:val="201523AC"/>
    <w:rsid w:val="202C40EB"/>
    <w:rsid w:val="20B87907"/>
    <w:rsid w:val="221F0D41"/>
    <w:rsid w:val="22C75BE0"/>
    <w:rsid w:val="2422439F"/>
    <w:rsid w:val="247212EF"/>
    <w:rsid w:val="249B37C8"/>
    <w:rsid w:val="24E3748B"/>
    <w:rsid w:val="2556645E"/>
    <w:rsid w:val="25766125"/>
    <w:rsid w:val="26834513"/>
    <w:rsid w:val="26F95E44"/>
    <w:rsid w:val="27BD6C9C"/>
    <w:rsid w:val="27CB43C4"/>
    <w:rsid w:val="28071479"/>
    <w:rsid w:val="285C5774"/>
    <w:rsid w:val="2A8041BE"/>
    <w:rsid w:val="2ABE3D6C"/>
    <w:rsid w:val="2B836D64"/>
    <w:rsid w:val="2C177723"/>
    <w:rsid w:val="2C3761A3"/>
    <w:rsid w:val="2C743D62"/>
    <w:rsid w:val="2CA62D0A"/>
    <w:rsid w:val="2E0A72C8"/>
    <w:rsid w:val="2E5167EE"/>
    <w:rsid w:val="2E662F01"/>
    <w:rsid w:val="2E6E7857"/>
    <w:rsid w:val="2FC01D17"/>
    <w:rsid w:val="2FC455D7"/>
    <w:rsid w:val="30316D8E"/>
    <w:rsid w:val="30C33764"/>
    <w:rsid w:val="31254850"/>
    <w:rsid w:val="319A0963"/>
    <w:rsid w:val="31DE6AA2"/>
    <w:rsid w:val="321626E0"/>
    <w:rsid w:val="3276224D"/>
    <w:rsid w:val="32F3657D"/>
    <w:rsid w:val="33414684"/>
    <w:rsid w:val="34951FE2"/>
    <w:rsid w:val="34A55F9D"/>
    <w:rsid w:val="35354896"/>
    <w:rsid w:val="355C77BE"/>
    <w:rsid w:val="35C61D5E"/>
    <w:rsid w:val="35D46B3A"/>
    <w:rsid w:val="35F07D9F"/>
    <w:rsid w:val="362B4280"/>
    <w:rsid w:val="37050429"/>
    <w:rsid w:val="37667C65"/>
    <w:rsid w:val="378974B0"/>
    <w:rsid w:val="38141F91"/>
    <w:rsid w:val="38C70290"/>
    <w:rsid w:val="393F076E"/>
    <w:rsid w:val="399A3BE1"/>
    <w:rsid w:val="3A595C16"/>
    <w:rsid w:val="3A687850"/>
    <w:rsid w:val="3B257393"/>
    <w:rsid w:val="3B3E000B"/>
    <w:rsid w:val="3C1001A0"/>
    <w:rsid w:val="3C2974B3"/>
    <w:rsid w:val="3CEF24AB"/>
    <w:rsid w:val="3EBC63BD"/>
    <w:rsid w:val="402266F3"/>
    <w:rsid w:val="40345770"/>
    <w:rsid w:val="412C1E99"/>
    <w:rsid w:val="41967399"/>
    <w:rsid w:val="41A970CC"/>
    <w:rsid w:val="42E156C9"/>
    <w:rsid w:val="433B01F8"/>
    <w:rsid w:val="43D7658C"/>
    <w:rsid w:val="442432D6"/>
    <w:rsid w:val="444C3D3F"/>
    <w:rsid w:val="45FE72BB"/>
    <w:rsid w:val="46454EEA"/>
    <w:rsid w:val="465D66D7"/>
    <w:rsid w:val="46F838C7"/>
    <w:rsid w:val="477B2FAE"/>
    <w:rsid w:val="47A02844"/>
    <w:rsid w:val="47C3256A"/>
    <w:rsid w:val="47D92AF8"/>
    <w:rsid w:val="48912668"/>
    <w:rsid w:val="49155047"/>
    <w:rsid w:val="493A123D"/>
    <w:rsid w:val="49492F43"/>
    <w:rsid w:val="4A7E276D"/>
    <w:rsid w:val="4AE118F5"/>
    <w:rsid w:val="4C0F7417"/>
    <w:rsid w:val="4C7C4C4C"/>
    <w:rsid w:val="4C8C6177"/>
    <w:rsid w:val="4DAB41CC"/>
    <w:rsid w:val="4DF23BA9"/>
    <w:rsid w:val="4EEE25C2"/>
    <w:rsid w:val="4F1D6A04"/>
    <w:rsid w:val="4F6C34E7"/>
    <w:rsid w:val="50A0169A"/>
    <w:rsid w:val="5156444F"/>
    <w:rsid w:val="54C47921"/>
    <w:rsid w:val="5546203F"/>
    <w:rsid w:val="55F73341"/>
    <w:rsid w:val="56424FA2"/>
    <w:rsid w:val="567A6E1F"/>
    <w:rsid w:val="56D976B4"/>
    <w:rsid w:val="573C40E7"/>
    <w:rsid w:val="575E22AF"/>
    <w:rsid w:val="58A35C5E"/>
    <w:rsid w:val="5A3A490E"/>
    <w:rsid w:val="5B8028DC"/>
    <w:rsid w:val="5BFA60FE"/>
    <w:rsid w:val="5C0F1DCA"/>
    <w:rsid w:val="5CB62246"/>
    <w:rsid w:val="5D02548B"/>
    <w:rsid w:val="5DE80B25"/>
    <w:rsid w:val="5E61553A"/>
    <w:rsid w:val="5EAF096B"/>
    <w:rsid w:val="5F993E84"/>
    <w:rsid w:val="618E4F17"/>
    <w:rsid w:val="6249141B"/>
    <w:rsid w:val="6288306E"/>
    <w:rsid w:val="62992202"/>
    <w:rsid w:val="63027F93"/>
    <w:rsid w:val="63780255"/>
    <w:rsid w:val="63984453"/>
    <w:rsid w:val="639D5F0D"/>
    <w:rsid w:val="63B70D7D"/>
    <w:rsid w:val="646031C3"/>
    <w:rsid w:val="649B069F"/>
    <w:rsid w:val="65D73958"/>
    <w:rsid w:val="66AB64F3"/>
    <w:rsid w:val="6916161A"/>
    <w:rsid w:val="694035C3"/>
    <w:rsid w:val="69FA5E67"/>
    <w:rsid w:val="6B5A6FBD"/>
    <w:rsid w:val="6BEE37AA"/>
    <w:rsid w:val="6C705F6D"/>
    <w:rsid w:val="6C845EBC"/>
    <w:rsid w:val="6CF51267"/>
    <w:rsid w:val="6D35260A"/>
    <w:rsid w:val="6DA50B0D"/>
    <w:rsid w:val="6DBC6B1F"/>
    <w:rsid w:val="6E1B015A"/>
    <w:rsid w:val="6E6C2863"/>
    <w:rsid w:val="6ED32D5B"/>
    <w:rsid w:val="6F993A2D"/>
    <w:rsid w:val="705D3AD4"/>
    <w:rsid w:val="707D334E"/>
    <w:rsid w:val="70C64A2C"/>
    <w:rsid w:val="70D50A94"/>
    <w:rsid w:val="70EF7378"/>
    <w:rsid w:val="710C57F1"/>
    <w:rsid w:val="714F4CEB"/>
    <w:rsid w:val="718C3C42"/>
    <w:rsid w:val="727F4C6A"/>
    <w:rsid w:val="72CB03A1"/>
    <w:rsid w:val="730833A3"/>
    <w:rsid w:val="73B07597"/>
    <w:rsid w:val="7645046A"/>
    <w:rsid w:val="76EE7A05"/>
    <w:rsid w:val="76EF2683"/>
    <w:rsid w:val="776A3F82"/>
    <w:rsid w:val="77EA73B3"/>
    <w:rsid w:val="783C3AEF"/>
    <w:rsid w:val="78551933"/>
    <w:rsid w:val="7A633FE0"/>
    <w:rsid w:val="7B3C1668"/>
    <w:rsid w:val="7B6E3FBF"/>
    <w:rsid w:val="7B94453A"/>
    <w:rsid w:val="7C0E7550"/>
    <w:rsid w:val="7C22507F"/>
    <w:rsid w:val="7C7D510B"/>
    <w:rsid w:val="7CAD6D69"/>
    <w:rsid w:val="7D0A7011"/>
    <w:rsid w:val="7D621902"/>
    <w:rsid w:val="7E6A3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3559CF"/>
  <w15:docId w15:val="{FEE1B478-CC61-467D-BB51-A2F0BFB0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Body Text" w:semiHidden="1" w:uiPriority="99"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uiPriority w:val="1"/>
    <w:qFormat/>
    <w:pPr>
      <w:widowControl w:val="0"/>
      <w:jc w:val="both"/>
    </w:pPr>
    <w:rPr>
      <w:rFonts w:eastAsiaTheme="minorEastAsia"/>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autoRedefine/>
    <w:qFormat/>
    <w:pPr>
      <w:jc w:val="left"/>
    </w:pPr>
  </w:style>
  <w:style w:type="paragraph" w:styleId="a6">
    <w:name w:val="Body Text"/>
    <w:basedOn w:val="a0"/>
    <w:autoRedefine/>
    <w:uiPriority w:val="99"/>
    <w:semiHidden/>
    <w:unhideWhenUsed/>
    <w:qFormat/>
    <w:pPr>
      <w:kinsoku w:val="0"/>
      <w:autoSpaceDE w:val="0"/>
      <w:autoSpaceDN w:val="0"/>
      <w:adjustRightInd w:val="0"/>
      <w:snapToGrid w:val="0"/>
      <w:jc w:val="left"/>
      <w:textAlignment w:val="baseline"/>
    </w:pPr>
    <w:rPr>
      <w:rFonts w:ascii="楷体" w:eastAsia="楷体" w:hAnsi="楷体"/>
      <w:color w:val="000000"/>
      <w:kern w:val="0"/>
    </w:rPr>
  </w:style>
  <w:style w:type="paragraph" w:styleId="a7">
    <w:name w:val="Balloon Text"/>
    <w:basedOn w:val="a0"/>
    <w:link w:val="a8"/>
    <w:autoRedefine/>
    <w:qFormat/>
    <w:rPr>
      <w:sz w:val="18"/>
      <w:szCs w:val="18"/>
    </w:rPr>
  </w:style>
  <w:style w:type="paragraph" w:styleId="a9">
    <w:name w:val="footer"/>
    <w:basedOn w:val="a0"/>
    <w:link w:val="aa"/>
    <w:autoRedefine/>
    <w:qFormat/>
    <w:pPr>
      <w:tabs>
        <w:tab w:val="center" w:pos="4153"/>
        <w:tab w:val="right" w:pos="8306"/>
      </w:tabs>
      <w:snapToGrid w:val="0"/>
      <w:jc w:val="left"/>
    </w:pPr>
    <w:rPr>
      <w:sz w:val="18"/>
      <w:szCs w:val="18"/>
    </w:rPr>
  </w:style>
  <w:style w:type="paragraph" w:styleId="ab">
    <w:name w:val="header"/>
    <w:basedOn w:val="a0"/>
    <w:link w:val="ac"/>
    <w:autoRedefine/>
    <w:qFormat/>
    <w:pPr>
      <w:pBdr>
        <w:bottom w:val="single" w:sz="6" w:space="1" w:color="auto"/>
      </w:pBdr>
      <w:tabs>
        <w:tab w:val="center" w:pos="4153"/>
        <w:tab w:val="right" w:pos="8306"/>
      </w:tabs>
      <w:snapToGrid w:val="0"/>
      <w:jc w:val="center"/>
    </w:pPr>
    <w:rPr>
      <w:sz w:val="18"/>
      <w:szCs w:val="18"/>
    </w:rPr>
  </w:style>
  <w:style w:type="paragraph" w:styleId="ad">
    <w:name w:val="Normal (Web)"/>
    <w:basedOn w:val="a0"/>
    <w:autoRedefine/>
    <w:uiPriority w:val="99"/>
    <w:semiHidden/>
    <w:unhideWhenUsed/>
    <w:qFormat/>
    <w:pPr>
      <w:spacing w:beforeAutospacing="1" w:afterAutospacing="1"/>
      <w:jc w:val="left"/>
    </w:pPr>
    <w:rPr>
      <w:rFonts w:ascii="Calibri" w:eastAsia="宋体" w:hAnsi="Calibri"/>
      <w:kern w:val="0"/>
    </w:rPr>
  </w:style>
  <w:style w:type="paragraph" w:styleId="ae">
    <w:name w:val="annotation subject"/>
    <w:basedOn w:val="a4"/>
    <w:next w:val="a4"/>
    <w:link w:val="af"/>
    <w:autoRedefine/>
    <w:qFormat/>
    <w:rPr>
      <w:b/>
      <w:bCs/>
    </w:rPr>
  </w:style>
  <w:style w:type="character" w:styleId="af0">
    <w:name w:val="Strong"/>
    <w:basedOn w:val="a1"/>
    <w:qFormat/>
    <w:rPr>
      <w:b/>
    </w:rPr>
  </w:style>
  <w:style w:type="character" w:styleId="af1">
    <w:name w:val="Hyperlink"/>
    <w:basedOn w:val="a1"/>
    <w:autoRedefine/>
    <w:uiPriority w:val="99"/>
    <w:unhideWhenUsed/>
    <w:qFormat/>
    <w:rPr>
      <w:color w:val="0000FF"/>
      <w:u w:val="single"/>
    </w:rPr>
  </w:style>
  <w:style w:type="character" w:styleId="af2">
    <w:name w:val="annotation reference"/>
    <w:basedOn w:val="a1"/>
    <w:autoRedefine/>
    <w:qFormat/>
    <w:rPr>
      <w:sz w:val="21"/>
      <w:szCs w:val="21"/>
    </w:rPr>
  </w:style>
  <w:style w:type="paragraph" w:styleId="a">
    <w:name w:val="List Paragraph"/>
    <w:basedOn w:val="a0"/>
    <w:autoRedefine/>
    <w:uiPriority w:val="34"/>
    <w:qFormat/>
    <w:pPr>
      <w:numPr>
        <w:numId w:val="1"/>
      </w:numPr>
      <w:spacing w:line="360" w:lineRule="auto"/>
    </w:pPr>
    <w:rPr>
      <w:rFonts w:eastAsia="宋体"/>
      <w:b/>
      <w:bCs/>
    </w:rPr>
  </w:style>
  <w:style w:type="paragraph" w:customStyle="1" w:styleId="005">
    <w:name w:val="005正文"/>
    <w:basedOn w:val="a0"/>
    <w:autoRedefine/>
    <w:qFormat/>
    <w:pPr>
      <w:spacing w:beforeLines="50" w:before="50" w:line="360" w:lineRule="auto"/>
      <w:ind w:firstLineChars="200" w:firstLine="200"/>
    </w:pPr>
  </w:style>
  <w:style w:type="character" w:customStyle="1" w:styleId="ac">
    <w:name w:val="页眉 字符"/>
    <w:basedOn w:val="a1"/>
    <w:link w:val="ab"/>
    <w:autoRedefine/>
    <w:qFormat/>
    <w:rPr>
      <w:rFonts w:eastAsiaTheme="minorEastAsia"/>
      <w:kern w:val="2"/>
      <w:sz w:val="18"/>
      <w:szCs w:val="18"/>
    </w:rPr>
  </w:style>
  <w:style w:type="character" w:customStyle="1" w:styleId="aa">
    <w:name w:val="页脚 字符"/>
    <w:basedOn w:val="a1"/>
    <w:link w:val="a9"/>
    <w:autoRedefine/>
    <w:qFormat/>
    <w:rPr>
      <w:rFonts w:eastAsiaTheme="minorEastAsia"/>
      <w:kern w:val="2"/>
      <w:sz w:val="18"/>
      <w:szCs w:val="18"/>
    </w:rPr>
  </w:style>
  <w:style w:type="character" w:customStyle="1" w:styleId="a8">
    <w:name w:val="批注框文本 字符"/>
    <w:basedOn w:val="a1"/>
    <w:link w:val="a7"/>
    <w:autoRedefine/>
    <w:qFormat/>
    <w:rPr>
      <w:rFonts w:eastAsiaTheme="minorEastAsia"/>
      <w:kern w:val="2"/>
      <w:sz w:val="18"/>
      <w:szCs w:val="18"/>
    </w:rPr>
  </w:style>
  <w:style w:type="character" w:customStyle="1" w:styleId="a5">
    <w:name w:val="批注文字 字符"/>
    <w:basedOn w:val="a1"/>
    <w:link w:val="a4"/>
    <w:autoRedefine/>
    <w:qFormat/>
    <w:rPr>
      <w:rFonts w:eastAsiaTheme="minorEastAsia"/>
      <w:kern w:val="2"/>
      <w:sz w:val="24"/>
      <w:szCs w:val="24"/>
    </w:rPr>
  </w:style>
  <w:style w:type="character" w:customStyle="1" w:styleId="af">
    <w:name w:val="批注主题 字符"/>
    <w:basedOn w:val="a5"/>
    <w:link w:val="ae"/>
    <w:autoRedefine/>
    <w:qFormat/>
    <w:rPr>
      <w:rFonts w:eastAsiaTheme="minorEastAsia"/>
      <w:b/>
      <w:bCs/>
      <w:kern w:val="2"/>
      <w:sz w:val="24"/>
      <w:szCs w:val="24"/>
    </w:rPr>
  </w:style>
  <w:style w:type="paragraph" w:customStyle="1" w:styleId="1">
    <w:name w:val="修订1"/>
    <w:hidden/>
    <w:uiPriority w:val="99"/>
    <w:semiHidden/>
    <w:qFormat/>
    <w:rPr>
      <w:rFonts w:eastAsiaTheme="minorEastAsia"/>
      <w:kern w:val="2"/>
      <w:sz w:val="24"/>
      <w:szCs w:val="24"/>
    </w:rPr>
  </w:style>
  <w:style w:type="paragraph" w:customStyle="1" w:styleId="2">
    <w:name w:val="修订2"/>
    <w:hidden/>
    <w:uiPriority w:val="99"/>
    <w:semiHidden/>
    <w:qFormat/>
    <w:rPr>
      <w:rFonts w:eastAsiaTheme="minorEastAsia"/>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jzd</cp:lastModifiedBy>
  <cp:revision>29</cp:revision>
  <dcterms:created xsi:type="dcterms:W3CDTF">2025-09-02T06:48:00Z</dcterms:created>
  <dcterms:modified xsi:type="dcterms:W3CDTF">2026-06-09T07:54:00Z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6BC76B4619EB4B3585073614DFCC9C32_12</vt:lpwstr>
  </property>
  <property fmtid="{D5CDD505-2E9C-101B-9397-08002B2CF9AE}" pid="4" name="KSOTemplateDocerSaveRecord">
    <vt:lpwstr>eyJoZGlkIjoiZjU1N2I4ZGNjZDZjNmNlNDQ5ZGFkYmYyOTE2ZDk4MzciLCJ1c2VySWQiOiI1NTkyNzIyNTUifQ==</vt:lpwstr>
  </property>
</Properties>
</file>