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059F" w14:textId="77777777" w:rsidR="00FB4C1B"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18116487" w14:textId="77777777" w:rsidR="00FB4C1B"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6E4A589F" w14:textId="77777777" w:rsidR="00FB4C1B"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536B3D7" w14:textId="1F09C6F4" w:rsidR="00FB4C1B"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sidR="00A02719">
        <w:rPr>
          <w:rFonts w:hint="eastAsia"/>
          <w:color w:val="000000"/>
          <w:sz w:val="24"/>
          <w:szCs w:val="24"/>
        </w:rPr>
        <w:t>6</w:t>
      </w:r>
      <w:r>
        <w:rPr>
          <w:color w:val="000000"/>
          <w:sz w:val="24"/>
          <w:szCs w:val="24"/>
        </w:rPr>
        <w:t>-</w:t>
      </w:r>
      <w:r w:rsidR="00A02719">
        <w:rPr>
          <w:color w:val="000000"/>
          <w:sz w:val="24"/>
          <w:szCs w:val="24"/>
        </w:rPr>
        <w:t>0</w:t>
      </w:r>
      <w:r w:rsidR="00A02719">
        <w:rPr>
          <w:rFonts w:hint="eastAsia"/>
          <w:color w:val="000000"/>
          <w:sz w:val="24"/>
          <w:szCs w:val="24"/>
        </w:rPr>
        <w:t>0</w:t>
      </w:r>
      <w:r w:rsidR="005D4636">
        <w:rPr>
          <w:rFonts w:hint="eastAsia"/>
          <w:color w:val="000000"/>
          <w:sz w:val="24"/>
          <w:szCs w:val="24"/>
        </w:rPr>
        <w:t>2</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FB4C1B" w14:paraId="2785349D" w14:textId="77777777">
        <w:tc>
          <w:tcPr>
            <w:tcW w:w="1773" w:type="dxa"/>
            <w:vAlign w:val="center"/>
          </w:tcPr>
          <w:p w14:paraId="0E9DFE20" w14:textId="77777777" w:rsidR="00FB4C1B" w:rsidRPr="004838DA" w:rsidRDefault="00000000">
            <w:pPr>
              <w:rPr>
                <w:color w:val="000000"/>
                <w:sz w:val="24"/>
                <w:szCs w:val="24"/>
              </w:rPr>
            </w:pPr>
            <w:r w:rsidRPr="004838DA">
              <w:rPr>
                <w:color w:val="000000"/>
                <w:sz w:val="24"/>
                <w:szCs w:val="24"/>
              </w:rPr>
              <w:t>投资者关系活动类别</w:t>
            </w:r>
          </w:p>
        </w:tc>
        <w:tc>
          <w:tcPr>
            <w:tcW w:w="8909" w:type="dxa"/>
          </w:tcPr>
          <w:p w14:paraId="5E2ABBE2" w14:textId="0D6F3C08" w:rsidR="00FB4C1B" w:rsidRPr="004838DA" w:rsidRDefault="005D4636">
            <w:pPr>
              <w:spacing w:line="480" w:lineRule="atLeast"/>
              <w:rPr>
                <w:color w:val="000000"/>
                <w:sz w:val="24"/>
                <w:szCs w:val="24"/>
              </w:rPr>
            </w:pPr>
            <w:r w:rsidRPr="004838DA">
              <w:rPr>
                <w:color w:val="000000"/>
                <w:sz w:val="24"/>
                <w:szCs w:val="24"/>
              </w:rPr>
              <w:t>■</w:t>
            </w:r>
            <w:r w:rsidRPr="004838DA">
              <w:rPr>
                <w:sz w:val="24"/>
                <w:szCs w:val="24"/>
              </w:rPr>
              <w:t>特定对象调研</w:t>
            </w:r>
            <w:r w:rsidRPr="004838DA">
              <w:rPr>
                <w:sz w:val="24"/>
                <w:szCs w:val="24"/>
              </w:rPr>
              <w:t xml:space="preserve">    </w:t>
            </w:r>
            <w:r w:rsidRPr="004838DA">
              <w:rPr>
                <w:color w:val="000000"/>
                <w:sz w:val="24"/>
                <w:szCs w:val="24"/>
              </w:rPr>
              <w:t>□</w:t>
            </w:r>
            <w:r w:rsidRPr="004838DA">
              <w:rPr>
                <w:sz w:val="24"/>
                <w:szCs w:val="24"/>
              </w:rPr>
              <w:t>分析师会议</w:t>
            </w:r>
          </w:p>
          <w:p w14:paraId="2876B807" w14:textId="2C6801E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媒体采访</w:t>
            </w:r>
            <w:r w:rsidRPr="004838DA">
              <w:rPr>
                <w:sz w:val="24"/>
                <w:szCs w:val="24"/>
              </w:rPr>
              <w:t xml:space="preserve">            </w:t>
            </w:r>
            <w:r w:rsidR="005D4636" w:rsidRPr="004838DA">
              <w:rPr>
                <w:color w:val="000000"/>
                <w:sz w:val="24"/>
                <w:szCs w:val="24"/>
              </w:rPr>
              <w:t>□</w:t>
            </w:r>
            <w:r w:rsidRPr="004838DA">
              <w:rPr>
                <w:sz w:val="24"/>
                <w:szCs w:val="24"/>
              </w:rPr>
              <w:t>业绩说明会</w:t>
            </w:r>
            <w:r w:rsidRPr="004838DA">
              <w:rPr>
                <w:sz w:val="24"/>
                <w:szCs w:val="24"/>
              </w:rPr>
              <w:t xml:space="preserve">  </w:t>
            </w:r>
          </w:p>
          <w:p w14:paraId="6D7E9FBC"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新闻发布会</w:t>
            </w:r>
            <w:r w:rsidRPr="004838DA">
              <w:rPr>
                <w:sz w:val="24"/>
                <w:szCs w:val="24"/>
              </w:rPr>
              <w:t xml:space="preserve">        </w:t>
            </w:r>
            <w:r w:rsidRPr="004838DA">
              <w:rPr>
                <w:color w:val="000000"/>
                <w:sz w:val="24"/>
                <w:szCs w:val="24"/>
              </w:rPr>
              <w:t>□</w:t>
            </w:r>
            <w:r w:rsidRPr="004838DA">
              <w:rPr>
                <w:sz w:val="24"/>
                <w:szCs w:val="24"/>
              </w:rPr>
              <w:t>路演活动</w:t>
            </w:r>
          </w:p>
          <w:p w14:paraId="2DC2DC2B" w14:textId="6CFA01C6" w:rsidR="00FB4C1B" w:rsidRPr="004838DA" w:rsidRDefault="005D4636">
            <w:pPr>
              <w:tabs>
                <w:tab w:val="left" w:pos="3045"/>
                <w:tab w:val="center" w:pos="3199"/>
              </w:tabs>
              <w:spacing w:line="480" w:lineRule="atLeast"/>
              <w:rPr>
                <w:color w:val="000000"/>
                <w:sz w:val="24"/>
                <w:szCs w:val="24"/>
              </w:rPr>
            </w:pPr>
            <w:r w:rsidRPr="004838DA">
              <w:rPr>
                <w:color w:val="000000"/>
                <w:sz w:val="24"/>
                <w:szCs w:val="24"/>
              </w:rPr>
              <w:t>■</w:t>
            </w:r>
            <w:r w:rsidRPr="004838DA">
              <w:rPr>
                <w:sz w:val="24"/>
                <w:szCs w:val="24"/>
              </w:rPr>
              <w:t>现场参观</w:t>
            </w:r>
            <w:r w:rsidRPr="004838DA">
              <w:rPr>
                <w:sz w:val="24"/>
                <w:szCs w:val="24"/>
              </w:rPr>
              <w:t xml:space="preserve">            </w:t>
            </w:r>
            <w:r w:rsidRPr="004838DA">
              <w:rPr>
                <w:color w:val="000000"/>
                <w:sz w:val="24"/>
                <w:szCs w:val="24"/>
              </w:rPr>
              <w:t>□</w:t>
            </w:r>
            <w:r w:rsidRPr="004838DA">
              <w:rPr>
                <w:sz w:val="24"/>
                <w:szCs w:val="24"/>
              </w:rPr>
              <w:t>其他（</w:t>
            </w:r>
            <w:r w:rsidRPr="004838DA">
              <w:rPr>
                <w:sz w:val="24"/>
                <w:szCs w:val="24"/>
                <w:u w:val="single"/>
              </w:rPr>
              <w:t>请文字说明其他活动内容）</w:t>
            </w:r>
          </w:p>
        </w:tc>
      </w:tr>
      <w:tr w:rsidR="00FB4C1B" w14:paraId="70099932" w14:textId="77777777">
        <w:trPr>
          <w:trHeight w:val="1219"/>
        </w:trPr>
        <w:tc>
          <w:tcPr>
            <w:tcW w:w="1773" w:type="dxa"/>
            <w:vAlign w:val="center"/>
          </w:tcPr>
          <w:p w14:paraId="3C404074" w14:textId="1B97B4B3" w:rsidR="00FB4C1B" w:rsidRPr="004838DA" w:rsidRDefault="00000000">
            <w:pPr>
              <w:rPr>
                <w:color w:val="000000"/>
                <w:sz w:val="24"/>
                <w:szCs w:val="24"/>
              </w:rPr>
            </w:pPr>
            <w:r w:rsidRPr="004838DA">
              <w:rPr>
                <w:color w:val="000000"/>
                <w:sz w:val="24"/>
                <w:szCs w:val="24"/>
              </w:rPr>
              <w:t>参与单位名称</w:t>
            </w:r>
          </w:p>
        </w:tc>
        <w:tc>
          <w:tcPr>
            <w:tcW w:w="8909" w:type="dxa"/>
            <w:vAlign w:val="center"/>
          </w:tcPr>
          <w:p w14:paraId="07F57EAE" w14:textId="6FEE52C2" w:rsidR="00FB4C1B" w:rsidRPr="004838DA" w:rsidRDefault="007026FB">
            <w:pPr>
              <w:adjustRightInd w:val="0"/>
              <w:snapToGrid w:val="0"/>
              <w:spacing w:line="360" w:lineRule="auto"/>
              <w:rPr>
                <w:rFonts w:eastAsiaTheme="minorEastAsia"/>
                <w:color w:val="000000"/>
                <w:sz w:val="24"/>
                <w:szCs w:val="24"/>
              </w:rPr>
            </w:pPr>
            <w:r>
              <w:rPr>
                <w:rFonts w:eastAsiaTheme="minorEastAsia" w:hint="eastAsia"/>
                <w:color w:val="000000"/>
                <w:sz w:val="24"/>
                <w:szCs w:val="24"/>
              </w:rPr>
              <w:t>国寿养老、趣时资产、人保资产、彬元资本、望正资产、华夏基金、摩根基金、建信基金、硕和资产、中信证券、国海证券、财通证券、华泰证券</w:t>
            </w:r>
          </w:p>
        </w:tc>
      </w:tr>
      <w:tr w:rsidR="00FB4C1B" w14:paraId="5821ACC5" w14:textId="77777777" w:rsidTr="00A02719">
        <w:trPr>
          <w:trHeight w:val="227"/>
        </w:trPr>
        <w:tc>
          <w:tcPr>
            <w:tcW w:w="1773" w:type="dxa"/>
            <w:vAlign w:val="center"/>
          </w:tcPr>
          <w:p w14:paraId="3B471803" w14:textId="77777777" w:rsidR="00FB4C1B" w:rsidRPr="004838DA" w:rsidRDefault="00000000">
            <w:pPr>
              <w:adjustRightInd w:val="0"/>
              <w:snapToGrid w:val="0"/>
              <w:spacing w:line="360" w:lineRule="auto"/>
              <w:rPr>
                <w:color w:val="000000"/>
                <w:sz w:val="24"/>
                <w:szCs w:val="24"/>
              </w:rPr>
            </w:pPr>
            <w:r w:rsidRPr="004838DA">
              <w:rPr>
                <w:color w:val="000000"/>
                <w:sz w:val="24"/>
                <w:szCs w:val="24"/>
              </w:rPr>
              <w:t>活动时间</w:t>
            </w:r>
          </w:p>
        </w:tc>
        <w:tc>
          <w:tcPr>
            <w:tcW w:w="8909" w:type="dxa"/>
            <w:tcBorders>
              <w:bottom w:val="single" w:sz="4" w:space="0" w:color="auto"/>
            </w:tcBorders>
            <w:vAlign w:val="center"/>
          </w:tcPr>
          <w:p w14:paraId="317106E1" w14:textId="2659C1A9" w:rsidR="00FB4C1B" w:rsidRPr="004838DA" w:rsidRDefault="00404EFE">
            <w:pPr>
              <w:adjustRightInd w:val="0"/>
              <w:snapToGrid w:val="0"/>
              <w:spacing w:line="360" w:lineRule="auto"/>
              <w:rPr>
                <w:rFonts w:eastAsiaTheme="minorEastAsia"/>
                <w:color w:val="000000"/>
                <w:sz w:val="24"/>
                <w:szCs w:val="24"/>
              </w:rPr>
            </w:pPr>
            <w:r w:rsidRPr="004838DA">
              <w:rPr>
                <w:bCs/>
                <w:iCs/>
                <w:color w:val="000000"/>
                <w:sz w:val="24"/>
              </w:rPr>
              <w:t>202</w:t>
            </w:r>
            <w:r w:rsidR="00A02719">
              <w:rPr>
                <w:rFonts w:hint="eastAsia"/>
                <w:bCs/>
                <w:iCs/>
                <w:color w:val="000000"/>
                <w:sz w:val="24"/>
              </w:rPr>
              <w:t>6</w:t>
            </w:r>
            <w:r w:rsidRPr="004838DA">
              <w:rPr>
                <w:bCs/>
                <w:iCs/>
                <w:color w:val="000000"/>
                <w:sz w:val="24"/>
              </w:rPr>
              <w:t>年</w:t>
            </w:r>
            <w:r w:rsidR="005D4636">
              <w:rPr>
                <w:rFonts w:hint="eastAsia"/>
                <w:bCs/>
                <w:iCs/>
                <w:color w:val="000000"/>
                <w:sz w:val="24"/>
              </w:rPr>
              <w:t>6</w:t>
            </w:r>
            <w:r w:rsidRPr="004838DA">
              <w:rPr>
                <w:bCs/>
                <w:iCs/>
                <w:color w:val="000000"/>
                <w:sz w:val="24"/>
              </w:rPr>
              <w:t>月</w:t>
            </w:r>
            <w:r w:rsidR="00A02719">
              <w:rPr>
                <w:rFonts w:hint="eastAsia"/>
                <w:bCs/>
                <w:iCs/>
                <w:color w:val="000000"/>
                <w:sz w:val="24"/>
              </w:rPr>
              <w:t>1</w:t>
            </w:r>
            <w:r w:rsidR="005D4636">
              <w:rPr>
                <w:rFonts w:hint="eastAsia"/>
                <w:bCs/>
                <w:iCs/>
                <w:color w:val="000000"/>
                <w:sz w:val="24"/>
              </w:rPr>
              <w:t>1</w:t>
            </w:r>
            <w:r w:rsidRPr="004838DA">
              <w:rPr>
                <w:bCs/>
                <w:iCs/>
                <w:color w:val="000000"/>
                <w:sz w:val="24"/>
              </w:rPr>
              <w:t>日</w:t>
            </w:r>
            <w:r w:rsidR="005D4636">
              <w:rPr>
                <w:rFonts w:hint="eastAsia"/>
                <w:bCs/>
                <w:iCs/>
                <w:color w:val="000000"/>
                <w:sz w:val="24"/>
              </w:rPr>
              <w:t>-2026</w:t>
            </w:r>
            <w:r w:rsidR="005D4636">
              <w:rPr>
                <w:rFonts w:hint="eastAsia"/>
                <w:bCs/>
                <w:iCs/>
                <w:color w:val="000000"/>
                <w:sz w:val="24"/>
              </w:rPr>
              <w:t>年</w:t>
            </w:r>
            <w:r w:rsidR="005D4636">
              <w:rPr>
                <w:rFonts w:hint="eastAsia"/>
                <w:bCs/>
                <w:iCs/>
                <w:color w:val="000000"/>
                <w:sz w:val="24"/>
              </w:rPr>
              <w:t>6</w:t>
            </w:r>
            <w:r w:rsidR="005D4636">
              <w:rPr>
                <w:rFonts w:hint="eastAsia"/>
                <w:bCs/>
                <w:iCs/>
                <w:color w:val="000000"/>
                <w:sz w:val="24"/>
              </w:rPr>
              <w:t>月</w:t>
            </w:r>
            <w:r w:rsidR="005D4636">
              <w:rPr>
                <w:rFonts w:hint="eastAsia"/>
                <w:bCs/>
                <w:iCs/>
                <w:color w:val="000000"/>
                <w:sz w:val="24"/>
              </w:rPr>
              <w:t>12</w:t>
            </w:r>
            <w:r w:rsidR="005D4636">
              <w:rPr>
                <w:rFonts w:hint="eastAsia"/>
                <w:bCs/>
                <w:iCs/>
                <w:color w:val="000000"/>
                <w:sz w:val="24"/>
              </w:rPr>
              <w:t>日</w:t>
            </w:r>
          </w:p>
        </w:tc>
      </w:tr>
      <w:tr w:rsidR="00FB4C1B" w14:paraId="07AAF69A" w14:textId="77777777" w:rsidTr="00A02719">
        <w:trPr>
          <w:trHeight w:val="648"/>
        </w:trPr>
        <w:tc>
          <w:tcPr>
            <w:tcW w:w="1773" w:type="dxa"/>
            <w:vAlign w:val="center"/>
          </w:tcPr>
          <w:p w14:paraId="1EEDE2E7" w14:textId="052805A3" w:rsidR="00FB4C1B" w:rsidRPr="004838DA" w:rsidRDefault="005D4636">
            <w:pPr>
              <w:spacing w:line="480" w:lineRule="atLeast"/>
              <w:rPr>
                <w:color w:val="000000"/>
                <w:sz w:val="24"/>
                <w:szCs w:val="24"/>
              </w:rPr>
            </w:pPr>
            <w:r>
              <w:rPr>
                <w:rFonts w:hint="eastAsia"/>
                <w:color w:val="000000"/>
                <w:sz w:val="24"/>
                <w:szCs w:val="24"/>
              </w:rPr>
              <w:t>地点</w:t>
            </w:r>
          </w:p>
        </w:tc>
        <w:tc>
          <w:tcPr>
            <w:tcW w:w="8909" w:type="dxa"/>
            <w:tcBorders>
              <w:bottom w:val="single" w:sz="4" w:space="0" w:color="auto"/>
            </w:tcBorders>
            <w:vAlign w:val="center"/>
          </w:tcPr>
          <w:p w14:paraId="27266986" w14:textId="0E5E64A1" w:rsidR="00FB4C1B" w:rsidRPr="00A02719" w:rsidRDefault="00404EFE">
            <w:pPr>
              <w:adjustRightInd w:val="0"/>
              <w:snapToGrid w:val="0"/>
              <w:spacing w:line="360" w:lineRule="auto"/>
              <w:rPr>
                <w:rFonts w:eastAsiaTheme="minorEastAsia"/>
                <w:color w:val="000000"/>
                <w:sz w:val="24"/>
                <w:szCs w:val="24"/>
              </w:rPr>
            </w:pPr>
            <w:r w:rsidRPr="00A02719">
              <w:rPr>
                <w:rFonts w:eastAsiaTheme="minorEastAsia"/>
                <w:sz w:val="24"/>
                <w:szCs w:val="24"/>
              </w:rPr>
              <w:t>公司</w:t>
            </w:r>
            <w:r w:rsidR="005D4636">
              <w:rPr>
                <w:rFonts w:eastAsiaTheme="minorEastAsia" w:hint="eastAsia"/>
                <w:sz w:val="24"/>
                <w:szCs w:val="24"/>
              </w:rPr>
              <w:t>总部园区</w:t>
            </w:r>
          </w:p>
        </w:tc>
      </w:tr>
      <w:tr w:rsidR="00FB4C1B" w14:paraId="7636247B" w14:textId="77777777" w:rsidTr="00A02719">
        <w:trPr>
          <w:trHeight w:val="700"/>
        </w:trPr>
        <w:tc>
          <w:tcPr>
            <w:tcW w:w="1773" w:type="dxa"/>
            <w:vAlign w:val="center"/>
          </w:tcPr>
          <w:p w14:paraId="44C318E8" w14:textId="77777777" w:rsidR="00FB4C1B" w:rsidRPr="004838DA" w:rsidRDefault="00000000">
            <w:pPr>
              <w:spacing w:line="480" w:lineRule="atLeast"/>
              <w:rPr>
                <w:color w:val="000000"/>
                <w:sz w:val="24"/>
                <w:szCs w:val="24"/>
              </w:rPr>
            </w:pPr>
            <w:r w:rsidRPr="004838DA">
              <w:rPr>
                <w:color w:val="000000"/>
                <w:sz w:val="24"/>
                <w:szCs w:val="24"/>
              </w:rPr>
              <w:t>上市公司接待人员姓名</w:t>
            </w:r>
          </w:p>
        </w:tc>
        <w:tc>
          <w:tcPr>
            <w:tcW w:w="8909" w:type="dxa"/>
            <w:tcBorders>
              <w:top w:val="single" w:sz="4" w:space="0" w:color="auto"/>
            </w:tcBorders>
            <w:vAlign w:val="center"/>
          </w:tcPr>
          <w:p w14:paraId="7847D152" w14:textId="0773B325" w:rsidR="00FB4C1B" w:rsidRPr="005D4636" w:rsidRDefault="00A02719" w:rsidP="00404EFE">
            <w:pPr>
              <w:adjustRightInd w:val="0"/>
              <w:snapToGrid w:val="0"/>
              <w:spacing w:line="360" w:lineRule="auto"/>
              <w:rPr>
                <w:rFonts w:eastAsiaTheme="minorEastAsia"/>
                <w:sz w:val="24"/>
                <w:szCs w:val="24"/>
              </w:rPr>
            </w:pPr>
            <w:r w:rsidRPr="00A02719">
              <w:rPr>
                <w:rFonts w:eastAsiaTheme="minorEastAsia"/>
                <w:sz w:val="24"/>
                <w:szCs w:val="24"/>
              </w:rPr>
              <w:t>董事、副总经理、董事会秘书孙西林</w:t>
            </w:r>
          </w:p>
        </w:tc>
      </w:tr>
      <w:tr w:rsidR="00404EFE" w14:paraId="377FF46D" w14:textId="77777777">
        <w:trPr>
          <w:trHeight w:val="3956"/>
        </w:trPr>
        <w:tc>
          <w:tcPr>
            <w:tcW w:w="1773" w:type="dxa"/>
            <w:vAlign w:val="center"/>
          </w:tcPr>
          <w:p w14:paraId="16227FE4" w14:textId="77777777" w:rsidR="00404EFE" w:rsidRPr="004838DA" w:rsidRDefault="00404EFE" w:rsidP="00404EFE">
            <w:pPr>
              <w:spacing w:line="480" w:lineRule="atLeast"/>
              <w:rPr>
                <w:color w:val="000000"/>
                <w:sz w:val="24"/>
                <w:szCs w:val="24"/>
              </w:rPr>
            </w:pPr>
            <w:r w:rsidRPr="004838DA">
              <w:rPr>
                <w:color w:val="000000"/>
                <w:sz w:val="24"/>
                <w:szCs w:val="24"/>
              </w:rPr>
              <w:t>投资者关系活动主要内容介绍</w:t>
            </w:r>
          </w:p>
        </w:tc>
        <w:tc>
          <w:tcPr>
            <w:tcW w:w="8909" w:type="dxa"/>
          </w:tcPr>
          <w:p w14:paraId="2294D0F4" w14:textId="6005A038" w:rsidR="005D4636" w:rsidRPr="005D4636" w:rsidRDefault="005D4636" w:rsidP="005D4636">
            <w:pPr>
              <w:pStyle w:val="af1"/>
              <w:numPr>
                <w:ilvl w:val="0"/>
                <w:numId w:val="1"/>
              </w:numPr>
              <w:spacing w:beforeLines="50" w:before="180" w:line="460" w:lineRule="exact"/>
              <w:ind w:firstLineChars="0"/>
              <w:rPr>
                <w:rFonts w:ascii="宋体" w:hAnsi="宋体" w:hint="eastAsia"/>
                <w:b/>
                <w:sz w:val="24"/>
              </w:rPr>
            </w:pPr>
            <w:r w:rsidRPr="005D4636">
              <w:rPr>
                <w:rFonts w:ascii="宋体" w:hAnsi="宋体" w:hint="eastAsia"/>
                <w:b/>
                <w:sz w:val="24"/>
              </w:rPr>
              <w:t>投资者参观公司展厅</w:t>
            </w:r>
          </w:p>
          <w:p w14:paraId="25AC5A01" w14:textId="210B077B" w:rsidR="005D4636" w:rsidRDefault="005D4636" w:rsidP="005D4636">
            <w:pPr>
              <w:pStyle w:val="af1"/>
              <w:numPr>
                <w:ilvl w:val="0"/>
                <w:numId w:val="1"/>
              </w:numPr>
              <w:spacing w:beforeLines="50" w:before="180" w:line="460" w:lineRule="exact"/>
              <w:ind w:firstLineChars="0"/>
              <w:rPr>
                <w:rFonts w:ascii="宋体" w:hAnsi="宋体" w:hint="eastAsia"/>
                <w:b/>
                <w:sz w:val="24"/>
              </w:rPr>
            </w:pPr>
            <w:r>
              <w:rPr>
                <w:rFonts w:ascii="宋体" w:hAnsi="宋体" w:hint="eastAsia"/>
                <w:b/>
                <w:sz w:val="24"/>
              </w:rPr>
              <w:t>公司情况介绍</w:t>
            </w:r>
          </w:p>
          <w:p w14:paraId="36D0B87B" w14:textId="166FAE74" w:rsidR="005D4636" w:rsidRDefault="005D4636" w:rsidP="005D4636">
            <w:pPr>
              <w:pStyle w:val="af1"/>
              <w:numPr>
                <w:ilvl w:val="0"/>
                <w:numId w:val="1"/>
              </w:numPr>
              <w:spacing w:beforeLines="50" w:before="180" w:line="460" w:lineRule="exact"/>
              <w:ind w:firstLineChars="0"/>
              <w:rPr>
                <w:rFonts w:ascii="宋体" w:hAnsi="宋体" w:hint="eastAsia"/>
                <w:b/>
                <w:sz w:val="24"/>
              </w:rPr>
            </w:pPr>
            <w:r>
              <w:rPr>
                <w:rFonts w:ascii="宋体" w:hAnsi="宋体" w:hint="eastAsia"/>
                <w:b/>
                <w:sz w:val="24"/>
              </w:rPr>
              <w:t>交流环节，公司在遵守信息披露相关规定的前提下与投资者进行交流，不涉及未披露重大信息，</w:t>
            </w:r>
            <w:r w:rsidR="00EF7017">
              <w:rPr>
                <w:rFonts w:ascii="宋体" w:hAnsi="宋体" w:hint="eastAsia"/>
                <w:b/>
                <w:sz w:val="24"/>
              </w:rPr>
              <w:t>主要</w:t>
            </w:r>
            <w:r>
              <w:rPr>
                <w:rFonts w:ascii="宋体" w:hAnsi="宋体" w:hint="eastAsia"/>
                <w:b/>
                <w:sz w:val="24"/>
              </w:rPr>
              <w:t>内容如下：</w:t>
            </w:r>
          </w:p>
          <w:p w14:paraId="12E5AB37" w14:textId="77777777" w:rsidR="00A02719" w:rsidRPr="00A02719" w:rsidRDefault="00A02719" w:rsidP="00A02719">
            <w:pPr>
              <w:pStyle w:val="Style6"/>
              <w:spacing w:line="360" w:lineRule="auto"/>
              <w:ind w:firstLine="482"/>
              <w:rPr>
                <w:rFonts w:ascii="Times New Roman" w:hAnsi="Times New Roman"/>
                <w:b/>
                <w:sz w:val="24"/>
                <w:szCs w:val="24"/>
              </w:rPr>
            </w:pPr>
          </w:p>
          <w:p w14:paraId="1D8C8318" w14:textId="02D5B2EA" w:rsidR="00A02719" w:rsidRPr="00A02719" w:rsidRDefault="00A02719" w:rsidP="00A02719">
            <w:pPr>
              <w:pStyle w:val="Style6"/>
              <w:spacing w:line="360" w:lineRule="auto"/>
              <w:ind w:firstLine="482"/>
              <w:rPr>
                <w:rFonts w:ascii="Times New Roman" w:hAnsi="Times New Roman"/>
                <w:b/>
                <w:sz w:val="24"/>
                <w:szCs w:val="24"/>
              </w:rPr>
            </w:pPr>
            <w:r w:rsidRPr="00A02719">
              <w:rPr>
                <w:rFonts w:ascii="Times New Roman" w:hAnsi="Times New Roman" w:hint="eastAsia"/>
                <w:b/>
                <w:sz w:val="24"/>
                <w:szCs w:val="24"/>
              </w:rPr>
              <w:t>1</w:t>
            </w:r>
            <w:r w:rsidRPr="00A02719">
              <w:rPr>
                <w:rFonts w:ascii="Times New Roman" w:hAnsi="Times New Roman" w:hint="eastAsia"/>
                <w:b/>
                <w:sz w:val="24"/>
                <w:szCs w:val="24"/>
              </w:rPr>
              <w:t>、</w:t>
            </w:r>
            <w:r w:rsidR="00EF7017">
              <w:rPr>
                <w:rFonts w:ascii="Times New Roman" w:hAnsi="Times New Roman" w:hint="eastAsia"/>
                <w:b/>
                <w:sz w:val="24"/>
                <w:szCs w:val="24"/>
              </w:rPr>
              <w:t>公司业务结构有什么新的变化吗？</w:t>
            </w:r>
          </w:p>
          <w:p w14:paraId="328DEAD7" w14:textId="67C18698" w:rsidR="00A02719" w:rsidRPr="00A02719" w:rsidRDefault="00A02719" w:rsidP="00A02719">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EF7017">
              <w:rPr>
                <w:rFonts w:ascii="Times New Roman" w:hAnsi="Times New Roman" w:hint="eastAsia"/>
                <w:bCs/>
                <w:sz w:val="24"/>
                <w:szCs w:val="24"/>
              </w:rPr>
              <w:t>2025</w:t>
            </w:r>
            <w:r w:rsidR="00EF7017">
              <w:rPr>
                <w:rFonts w:ascii="Times New Roman" w:hAnsi="Times New Roman" w:hint="eastAsia"/>
                <w:bCs/>
                <w:sz w:val="24"/>
                <w:szCs w:val="24"/>
              </w:rPr>
              <w:t>年度，</w:t>
            </w:r>
            <w:r w:rsidR="00EF7017" w:rsidRPr="00EF7017">
              <w:rPr>
                <w:rFonts w:ascii="Times New Roman" w:hAnsi="Times New Roman"/>
                <w:bCs/>
                <w:sz w:val="24"/>
                <w:szCs w:val="24"/>
              </w:rPr>
              <w:t>公司消费电子收入占比为</w:t>
            </w:r>
            <w:r w:rsidR="00EF7017" w:rsidRPr="00EF7017">
              <w:rPr>
                <w:rFonts w:ascii="Times New Roman" w:hAnsi="Times New Roman"/>
                <w:bCs/>
                <w:sz w:val="24"/>
                <w:szCs w:val="24"/>
              </w:rPr>
              <w:t>83%</w:t>
            </w:r>
            <w:r w:rsidR="00EF7017" w:rsidRPr="00EF7017">
              <w:rPr>
                <w:rFonts w:ascii="Times New Roman" w:hAnsi="Times New Roman"/>
                <w:bCs/>
                <w:sz w:val="24"/>
                <w:szCs w:val="24"/>
              </w:rPr>
              <w:t>，汽车领域占比</w:t>
            </w:r>
            <w:r w:rsidR="00EF7017" w:rsidRPr="00EF7017">
              <w:rPr>
                <w:rFonts w:ascii="Times New Roman" w:hAnsi="Times New Roman"/>
                <w:bCs/>
                <w:sz w:val="24"/>
                <w:szCs w:val="24"/>
              </w:rPr>
              <w:t>7%</w:t>
            </w:r>
            <w:r w:rsidR="00EF7017" w:rsidRPr="00EF7017">
              <w:rPr>
                <w:rFonts w:ascii="Times New Roman" w:hAnsi="Times New Roman"/>
                <w:bCs/>
                <w:sz w:val="24"/>
                <w:szCs w:val="24"/>
              </w:rPr>
              <w:t>，医疗和个人护理行业占比</w:t>
            </w:r>
            <w:r w:rsidR="00EF7017" w:rsidRPr="00EF7017">
              <w:rPr>
                <w:rFonts w:ascii="Times New Roman" w:hAnsi="Times New Roman"/>
                <w:bCs/>
                <w:sz w:val="24"/>
                <w:szCs w:val="24"/>
              </w:rPr>
              <w:t>4%</w:t>
            </w:r>
            <w:r w:rsidR="00EF7017" w:rsidRPr="00EF7017">
              <w:rPr>
                <w:rFonts w:ascii="Times New Roman" w:hAnsi="Times New Roman"/>
                <w:bCs/>
                <w:sz w:val="24"/>
                <w:szCs w:val="24"/>
              </w:rPr>
              <w:t>，算力服务器及工业控制等其他领域占比</w:t>
            </w:r>
            <w:r w:rsidR="00EF7017" w:rsidRPr="00EF7017">
              <w:rPr>
                <w:rFonts w:ascii="Times New Roman" w:hAnsi="Times New Roman"/>
                <w:bCs/>
                <w:sz w:val="24"/>
                <w:szCs w:val="24"/>
              </w:rPr>
              <w:t>6%</w:t>
            </w:r>
            <w:r w:rsidR="00EF7017" w:rsidRPr="00EF7017">
              <w:rPr>
                <w:rFonts w:ascii="Times New Roman" w:hAnsi="Times New Roman"/>
                <w:bCs/>
                <w:sz w:val="24"/>
                <w:szCs w:val="24"/>
              </w:rPr>
              <w:t>。公司已从原先单一聚焦消费电子的业务结构，实现多领域协同发展、多点开花的良好格局，充分彰显新业务拓展的显著成效。</w:t>
            </w:r>
          </w:p>
          <w:p w14:paraId="0976F9A6" w14:textId="1D206E2C" w:rsidR="00A02719" w:rsidRPr="00A02719" w:rsidRDefault="00A02719" w:rsidP="00A02719">
            <w:pPr>
              <w:pStyle w:val="Style6"/>
              <w:spacing w:line="360" w:lineRule="auto"/>
              <w:ind w:firstLine="482"/>
              <w:rPr>
                <w:rFonts w:ascii="Times New Roman" w:hAnsi="Times New Roman"/>
                <w:b/>
                <w:sz w:val="24"/>
                <w:szCs w:val="24"/>
              </w:rPr>
            </w:pPr>
            <w:r w:rsidRPr="00A02719">
              <w:rPr>
                <w:rFonts w:ascii="Times New Roman" w:hAnsi="Times New Roman" w:hint="eastAsia"/>
                <w:b/>
                <w:sz w:val="24"/>
                <w:szCs w:val="24"/>
              </w:rPr>
              <w:t>2</w:t>
            </w:r>
            <w:r w:rsidRPr="00A02719">
              <w:rPr>
                <w:rFonts w:ascii="Times New Roman" w:hAnsi="Times New Roman" w:hint="eastAsia"/>
                <w:b/>
                <w:sz w:val="24"/>
                <w:szCs w:val="24"/>
              </w:rPr>
              <w:t>、</w:t>
            </w:r>
            <w:r w:rsidR="00EF7017">
              <w:rPr>
                <w:rFonts w:ascii="Times New Roman" w:hAnsi="Times New Roman" w:hint="eastAsia"/>
                <w:b/>
                <w:sz w:val="24"/>
                <w:szCs w:val="24"/>
              </w:rPr>
              <w:t>关注到公司在光刻机领域有一些进展，具体应用可以介绍一下吗？</w:t>
            </w:r>
          </w:p>
          <w:p w14:paraId="345409FB" w14:textId="304161C3" w:rsidR="00A02719" w:rsidRPr="00A02719" w:rsidRDefault="00A02719" w:rsidP="00A02719">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EF7017" w:rsidRPr="00EF7017">
              <w:rPr>
                <w:rFonts w:ascii="Times New Roman" w:hAnsi="Times New Roman"/>
                <w:bCs/>
                <w:sz w:val="24"/>
                <w:szCs w:val="24"/>
              </w:rPr>
              <w:t>公司与相关客户保持长期合作关系，业务自研发阶段逐步落地并实现少量营收。</w:t>
            </w:r>
            <w:r w:rsidR="00EF7017">
              <w:rPr>
                <w:rFonts w:ascii="Times New Roman" w:hAnsi="Times New Roman" w:hint="eastAsia"/>
                <w:bCs/>
                <w:sz w:val="24"/>
                <w:szCs w:val="24"/>
              </w:rPr>
              <w:t>该领域主要应用为疏水和增硬功能的膜层，</w:t>
            </w:r>
            <w:r w:rsidR="00EF7017" w:rsidRPr="00EF7017">
              <w:rPr>
                <w:rFonts w:ascii="Times New Roman" w:hAnsi="Times New Roman"/>
                <w:bCs/>
                <w:sz w:val="24"/>
                <w:szCs w:val="24"/>
              </w:rPr>
              <w:t>该类业务</w:t>
            </w:r>
            <w:r w:rsidR="00EF7017" w:rsidRPr="00EF7017">
              <w:rPr>
                <w:rFonts w:ascii="Times New Roman" w:hAnsi="Times New Roman"/>
                <w:bCs/>
                <w:sz w:val="24"/>
                <w:szCs w:val="24"/>
              </w:rPr>
              <w:t>2025</w:t>
            </w:r>
            <w:r w:rsidR="00EF7017" w:rsidRPr="00EF7017">
              <w:rPr>
                <w:rFonts w:ascii="Times New Roman" w:hAnsi="Times New Roman"/>
                <w:bCs/>
                <w:sz w:val="24"/>
                <w:szCs w:val="24"/>
              </w:rPr>
              <w:t>年营收占比不超过</w:t>
            </w:r>
            <w:r w:rsidR="00EF7017" w:rsidRPr="00EF7017">
              <w:rPr>
                <w:rFonts w:ascii="Times New Roman" w:hAnsi="Times New Roman"/>
                <w:bCs/>
                <w:sz w:val="24"/>
                <w:szCs w:val="24"/>
              </w:rPr>
              <w:t>3%</w:t>
            </w:r>
            <w:r w:rsidR="00EF7017" w:rsidRPr="00EF7017">
              <w:rPr>
                <w:rFonts w:ascii="Times New Roman" w:hAnsi="Times New Roman"/>
                <w:bCs/>
                <w:sz w:val="24"/>
                <w:szCs w:val="24"/>
              </w:rPr>
              <w:t>，整体体量较小，后续业务拓展及盈利规模尚存在较大不确定性。</w:t>
            </w:r>
          </w:p>
          <w:p w14:paraId="4FE9B828" w14:textId="16BB8F78" w:rsidR="00A02719" w:rsidRPr="00A02719" w:rsidRDefault="00A02719" w:rsidP="00A02719">
            <w:pPr>
              <w:pStyle w:val="Style6"/>
              <w:spacing w:line="360" w:lineRule="auto"/>
              <w:ind w:firstLine="482"/>
              <w:rPr>
                <w:rFonts w:ascii="Times New Roman" w:hAnsi="Times New Roman"/>
                <w:b/>
                <w:sz w:val="24"/>
                <w:szCs w:val="24"/>
              </w:rPr>
            </w:pPr>
            <w:r w:rsidRPr="00A02719">
              <w:rPr>
                <w:rFonts w:ascii="Times New Roman" w:hAnsi="Times New Roman" w:hint="eastAsia"/>
                <w:b/>
                <w:sz w:val="24"/>
                <w:szCs w:val="24"/>
              </w:rPr>
              <w:lastRenderedPageBreak/>
              <w:t>3</w:t>
            </w:r>
            <w:r w:rsidRPr="00A02719">
              <w:rPr>
                <w:rFonts w:ascii="Times New Roman" w:hAnsi="Times New Roman" w:hint="eastAsia"/>
                <w:b/>
                <w:sz w:val="24"/>
                <w:szCs w:val="24"/>
              </w:rPr>
              <w:t>、</w:t>
            </w:r>
            <w:r w:rsidR="00EF7017" w:rsidRPr="00E66A11">
              <w:rPr>
                <w:rFonts w:hint="eastAsia"/>
                <w:b/>
                <w:bCs/>
                <w:sz w:val="24"/>
                <w:szCs w:val="24"/>
              </w:rPr>
              <w:t>公司</w:t>
            </w:r>
            <w:r w:rsidR="00EF7017">
              <w:rPr>
                <w:rFonts w:hint="eastAsia"/>
                <w:b/>
                <w:bCs/>
                <w:sz w:val="24"/>
                <w:szCs w:val="24"/>
              </w:rPr>
              <w:t>技术</w:t>
            </w:r>
            <w:r w:rsidR="003D5557">
              <w:rPr>
                <w:rFonts w:hint="eastAsia"/>
                <w:b/>
                <w:bCs/>
                <w:sz w:val="24"/>
                <w:szCs w:val="24"/>
              </w:rPr>
              <w:t>目前</w:t>
            </w:r>
            <w:r w:rsidR="00EF7017" w:rsidRPr="00E66A11">
              <w:rPr>
                <w:rFonts w:hint="eastAsia"/>
                <w:b/>
                <w:bCs/>
                <w:sz w:val="24"/>
                <w:szCs w:val="24"/>
              </w:rPr>
              <w:t>在</w:t>
            </w:r>
            <w:r w:rsidR="00EF7017">
              <w:rPr>
                <w:rFonts w:hint="eastAsia"/>
                <w:b/>
                <w:bCs/>
                <w:sz w:val="24"/>
                <w:szCs w:val="24"/>
              </w:rPr>
              <w:t>消费</w:t>
            </w:r>
            <w:r w:rsidR="00EF7017" w:rsidRPr="00E66A11">
              <w:rPr>
                <w:rFonts w:hint="eastAsia"/>
                <w:b/>
                <w:bCs/>
                <w:sz w:val="24"/>
                <w:szCs w:val="24"/>
              </w:rPr>
              <w:t>电子领域</w:t>
            </w:r>
            <w:r w:rsidR="003D5557">
              <w:rPr>
                <w:rFonts w:hint="eastAsia"/>
                <w:b/>
                <w:bCs/>
                <w:sz w:val="24"/>
                <w:szCs w:val="24"/>
              </w:rPr>
              <w:t>的应用有哪些</w:t>
            </w:r>
            <w:r w:rsidR="00EF7017" w:rsidRPr="00E66A11">
              <w:rPr>
                <w:rFonts w:hint="eastAsia"/>
                <w:b/>
                <w:bCs/>
                <w:sz w:val="24"/>
                <w:szCs w:val="24"/>
              </w:rPr>
              <w:t>？</w:t>
            </w:r>
          </w:p>
          <w:p w14:paraId="109C75C2" w14:textId="4F07DF34" w:rsidR="003D5557" w:rsidRDefault="00A02719" w:rsidP="00A02719">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3D5557" w:rsidRPr="003D5557">
              <w:rPr>
                <w:rFonts w:ascii="Times New Roman" w:hAnsi="Times New Roman"/>
                <w:bCs/>
                <w:sz w:val="24"/>
                <w:szCs w:val="24"/>
              </w:rPr>
              <w:t>消费电子</w:t>
            </w:r>
            <w:r w:rsidR="003D5557">
              <w:rPr>
                <w:rFonts w:ascii="Times New Roman" w:hAnsi="Times New Roman" w:hint="eastAsia"/>
                <w:bCs/>
                <w:sz w:val="24"/>
                <w:szCs w:val="24"/>
              </w:rPr>
              <w:t>收入</w:t>
            </w:r>
            <w:r w:rsidR="003D5557" w:rsidRPr="003D5557">
              <w:rPr>
                <w:rFonts w:ascii="Times New Roman" w:hAnsi="Times New Roman"/>
                <w:bCs/>
                <w:sz w:val="24"/>
                <w:szCs w:val="24"/>
              </w:rPr>
              <w:t>占比</w:t>
            </w:r>
            <w:r w:rsidR="003D5557">
              <w:rPr>
                <w:rFonts w:ascii="Times New Roman" w:hAnsi="Times New Roman" w:hint="eastAsia"/>
                <w:bCs/>
                <w:sz w:val="24"/>
                <w:szCs w:val="24"/>
              </w:rPr>
              <w:t>虽然降低至</w:t>
            </w:r>
            <w:r w:rsidR="003D5557">
              <w:rPr>
                <w:rFonts w:ascii="Times New Roman" w:hAnsi="Times New Roman" w:hint="eastAsia"/>
                <w:bCs/>
                <w:sz w:val="24"/>
                <w:szCs w:val="24"/>
              </w:rPr>
              <w:t>83%</w:t>
            </w:r>
            <w:r w:rsidR="003D5557" w:rsidRPr="003D5557">
              <w:rPr>
                <w:rFonts w:ascii="Times New Roman" w:hAnsi="Times New Roman"/>
                <w:bCs/>
                <w:sz w:val="24"/>
                <w:szCs w:val="24"/>
              </w:rPr>
              <w:t>，</w:t>
            </w:r>
            <w:r w:rsidR="003D5557">
              <w:rPr>
                <w:rFonts w:ascii="Times New Roman" w:hAnsi="Times New Roman" w:hint="eastAsia"/>
                <w:bCs/>
                <w:sz w:val="24"/>
                <w:szCs w:val="24"/>
              </w:rPr>
              <w:t>但仍</w:t>
            </w:r>
            <w:r w:rsidR="003D5557" w:rsidRPr="003D5557">
              <w:rPr>
                <w:rFonts w:ascii="Times New Roman" w:hAnsi="Times New Roman"/>
                <w:bCs/>
                <w:sz w:val="24"/>
                <w:szCs w:val="24"/>
              </w:rPr>
              <w:t>是</w:t>
            </w:r>
            <w:r w:rsidR="003D5557">
              <w:rPr>
                <w:rFonts w:ascii="Times New Roman" w:hAnsi="Times New Roman" w:hint="eastAsia"/>
                <w:bCs/>
                <w:sz w:val="24"/>
                <w:szCs w:val="24"/>
              </w:rPr>
              <w:t>公司</w:t>
            </w:r>
            <w:r w:rsidR="003D5557" w:rsidRPr="003D5557">
              <w:rPr>
                <w:rFonts w:ascii="Times New Roman" w:hAnsi="Times New Roman"/>
                <w:bCs/>
                <w:sz w:val="24"/>
                <w:szCs w:val="24"/>
              </w:rPr>
              <w:t>的</w:t>
            </w:r>
            <w:r w:rsidR="003D5557">
              <w:rPr>
                <w:rFonts w:ascii="Times New Roman" w:hAnsi="Times New Roman" w:hint="eastAsia"/>
                <w:bCs/>
                <w:sz w:val="24"/>
                <w:szCs w:val="24"/>
              </w:rPr>
              <w:t>业务</w:t>
            </w:r>
            <w:r w:rsidR="003D5557" w:rsidRPr="003D5557">
              <w:rPr>
                <w:rFonts w:ascii="Times New Roman" w:hAnsi="Times New Roman"/>
                <w:bCs/>
                <w:sz w:val="24"/>
                <w:szCs w:val="24"/>
              </w:rPr>
              <w:t>基本盘。现在在传统应用相对平稳的情况下</w:t>
            </w:r>
            <w:r w:rsidR="003D5557">
              <w:rPr>
                <w:rFonts w:ascii="Times New Roman" w:hAnsi="Times New Roman" w:hint="eastAsia"/>
                <w:bCs/>
                <w:sz w:val="24"/>
                <w:szCs w:val="24"/>
              </w:rPr>
              <w:t>，公司在头部科技企业的产品条线在不断扩张，从手机、耳机延伸至平板、笔记本、智能可穿戴设备（智能手表</w:t>
            </w:r>
            <w:r w:rsidR="003D5557">
              <w:rPr>
                <w:rFonts w:ascii="Times New Roman" w:hAnsi="Times New Roman" w:hint="eastAsia"/>
                <w:bCs/>
                <w:sz w:val="24"/>
                <w:szCs w:val="24"/>
              </w:rPr>
              <w:t>/</w:t>
            </w:r>
            <w:r w:rsidR="003D5557">
              <w:rPr>
                <w:rFonts w:ascii="Times New Roman" w:hAnsi="Times New Roman" w:hint="eastAsia"/>
                <w:bCs/>
                <w:sz w:val="24"/>
                <w:szCs w:val="24"/>
              </w:rPr>
              <w:t>手环、</w:t>
            </w:r>
            <w:r w:rsidR="003D5557">
              <w:rPr>
                <w:rFonts w:ascii="Times New Roman" w:hAnsi="Times New Roman" w:hint="eastAsia"/>
                <w:bCs/>
                <w:sz w:val="24"/>
                <w:szCs w:val="24"/>
              </w:rPr>
              <w:t>AI</w:t>
            </w:r>
            <w:r w:rsidR="003D5557">
              <w:rPr>
                <w:rFonts w:ascii="Times New Roman" w:hAnsi="Times New Roman" w:hint="eastAsia"/>
                <w:bCs/>
                <w:sz w:val="24"/>
                <w:szCs w:val="24"/>
              </w:rPr>
              <w:t>眼镜等品类）的应用；应用功能点也从防水防腐蚀扩展到散热、增硬</w:t>
            </w:r>
            <w:r w:rsidR="009F2BED">
              <w:rPr>
                <w:rFonts w:ascii="Times New Roman" w:hAnsi="Times New Roman" w:hint="eastAsia"/>
                <w:bCs/>
                <w:sz w:val="24"/>
                <w:szCs w:val="24"/>
              </w:rPr>
              <w:t>等多元场景。</w:t>
            </w:r>
            <w:r w:rsidR="009F2BED" w:rsidRPr="009F2BED">
              <w:rPr>
                <w:rFonts w:ascii="Times New Roman" w:hAnsi="Times New Roman"/>
                <w:bCs/>
                <w:sz w:val="24"/>
                <w:szCs w:val="24"/>
              </w:rPr>
              <w:t>随着</w:t>
            </w:r>
            <w:r w:rsidR="009F2BED" w:rsidRPr="009F2BED">
              <w:rPr>
                <w:rFonts w:ascii="Times New Roman" w:hAnsi="Times New Roman"/>
                <w:bCs/>
                <w:sz w:val="24"/>
                <w:szCs w:val="24"/>
              </w:rPr>
              <w:t>AI</w:t>
            </w:r>
            <w:r w:rsidR="009F2BED" w:rsidRPr="009F2BED">
              <w:rPr>
                <w:rFonts w:ascii="Times New Roman" w:hAnsi="Times New Roman"/>
                <w:bCs/>
                <w:sz w:val="24"/>
                <w:szCs w:val="24"/>
              </w:rPr>
              <w:t>终端创新周期开启、智能可穿戴设备渗透率持续提升，叠加消费电子功能迭代对精密表面处理需求的不断升级，公司有望依托现有头部客户资源优势，进一步深化品类拓展与功能场景覆盖，推动消费电子业务实现持续稳定增长。</w:t>
            </w:r>
          </w:p>
          <w:p w14:paraId="4BEF24AA" w14:textId="6311D756" w:rsidR="00A02719" w:rsidRPr="00A02719" w:rsidRDefault="00A02719" w:rsidP="00A02719">
            <w:pPr>
              <w:pStyle w:val="Style6"/>
              <w:spacing w:line="360" w:lineRule="auto"/>
              <w:ind w:firstLine="482"/>
              <w:rPr>
                <w:rFonts w:ascii="Times New Roman" w:hAnsi="Times New Roman"/>
                <w:b/>
                <w:sz w:val="24"/>
                <w:szCs w:val="24"/>
              </w:rPr>
            </w:pPr>
            <w:r w:rsidRPr="00A02719">
              <w:rPr>
                <w:rFonts w:ascii="Times New Roman" w:hAnsi="Times New Roman" w:hint="eastAsia"/>
                <w:b/>
                <w:sz w:val="24"/>
                <w:szCs w:val="24"/>
              </w:rPr>
              <w:t>4</w:t>
            </w:r>
            <w:r w:rsidRPr="00A02719">
              <w:rPr>
                <w:rFonts w:ascii="Times New Roman" w:hAnsi="Times New Roman" w:hint="eastAsia"/>
                <w:b/>
                <w:sz w:val="24"/>
                <w:szCs w:val="24"/>
              </w:rPr>
              <w:t>、</w:t>
            </w:r>
            <w:r w:rsidR="009F2BED" w:rsidRPr="009F2BED">
              <w:rPr>
                <w:rFonts w:ascii="Times New Roman" w:hAnsi="Times New Roman"/>
                <w:b/>
                <w:sz w:val="24"/>
                <w:szCs w:val="24"/>
              </w:rPr>
              <w:t>公司在汽车领域的应用有哪些？市场潜力</w:t>
            </w:r>
            <w:r w:rsidR="009F2BED">
              <w:rPr>
                <w:rFonts w:ascii="Times New Roman" w:hAnsi="Times New Roman" w:hint="eastAsia"/>
                <w:b/>
                <w:sz w:val="24"/>
                <w:szCs w:val="24"/>
              </w:rPr>
              <w:t>在哪里</w:t>
            </w:r>
            <w:r w:rsidR="009F2BED" w:rsidRPr="009F2BED">
              <w:rPr>
                <w:rFonts w:ascii="Times New Roman" w:hAnsi="Times New Roman"/>
                <w:b/>
                <w:sz w:val="24"/>
                <w:szCs w:val="24"/>
              </w:rPr>
              <w:t>？</w:t>
            </w:r>
          </w:p>
          <w:p w14:paraId="251E8E36" w14:textId="77777777" w:rsidR="001B66FB" w:rsidRDefault="00A02719" w:rsidP="00A02719">
            <w:pPr>
              <w:pStyle w:val="Style6"/>
              <w:spacing w:line="360" w:lineRule="auto"/>
              <w:ind w:firstLine="480"/>
              <w:rPr>
                <w:rFonts w:ascii="Times New Roman" w:hAnsi="Times New Roman"/>
                <w:bCs/>
                <w:sz w:val="24"/>
                <w:szCs w:val="24"/>
              </w:rPr>
            </w:pPr>
            <w:r>
              <w:rPr>
                <w:rFonts w:ascii="Times New Roman" w:hAnsi="Times New Roman" w:hint="eastAsia"/>
                <w:bCs/>
                <w:sz w:val="24"/>
                <w:szCs w:val="24"/>
              </w:rPr>
              <w:t>答：</w:t>
            </w:r>
            <w:r w:rsidR="001B66FB" w:rsidRPr="001B66FB">
              <w:rPr>
                <w:rFonts w:ascii="Times New Roman" w:hAnsi="Times New Roman"/>
                <w:bCs/>
                <w:sz w:val="24"/>
                <w:szCs w:val="24"/>
              </w:rPr>
              <w:t xml:space="preserve">2025 </w:t>
            </w:r>
            <w:r w:rsidR="001B66FB" w:rsidRPr="001B66FB">
              <w:rPr>
                <w:rFonts w:ascii="Times New Roman" w:hAnsi="Times New Roman"/>
                <w:bCs/>
                <w:sz w:val="24"/>
                <w:szCs w:val="24"/>
              </w:rPr>
              <w:t>年，公司汽车领域业务收入实现大幅增长，毛利率水平持续优化。公司纳米镀膜技术已应用于多个新能源品牌汽车部件，业务布局多元：已与头部汽车零部件厂商开展驻厂量产合作，为各大车载传感器及零部件厂商提供来料加工服务，激光雷达领域与行业头部客户深度合作且相关产品已实现量产。目前公司在汽车领域已积累</w:t>
            </w:r>
            <w:r w:rsidR="001B66FB" w:rsidRPr="001B66FB">
              <w:rPr>
                <w:rFonts w:ascii="Times New Roman" w:hAnsi="Times New Roman"/>
                <w:bCs/>
                <w:sz w:val="24"/>
                <w:szCs w:val="24"/>
              </w:rPr>
              <w:t xml:space="preserve"> 30 </w:t>
            </w:r>
            <w:r w:rsidR="001B66FB" w:rsidRPr="001B66FB">
              <w:rPr>
                <w:rFonts w:ascii="Times New Roman" w:hAnsi="Times New Roman"/>
                <w:bCs/>
                <w:sz w:val="24"/>
                <w:szCs w:val="24"/>
              </w:rPr>
              <w:t>余家客户。</w:t>
            </w:r>
          </w:p>
          <w:p w14:paraId="028CC563" w14:textId="5722D7A2" w:rsidR="001B66FB" w:rsidRDefault="001B66FB" w:rsidP="00A02719">
            <w:pPr>
              <w:pStyle w:val="Style6"/>
              <w:spacing w:line="360" w:lineRule="auto"/>
              <w:ind w:firstLine="480"/>
              <w:rPr>
                <w:rFonts w:ascii="Times New Roman" w:hAnsi="Times New Roman"/>
                <w:bCs/>
                <w:sz w:val="24"/>
                <w:szCs w:val="24"/>
              </w:rPr>
            </w:pPr>
            <w:r w:rsidRPr="001B66FB">
              <w:rPr>
                <w:rFonts w:ascii="Times New Roman" w:hAnsi="Times New Roman"/>
                <w:bCs/>
                <w:sz w:val="24"/>
                <w:szCs w:val="24"/>
              </w:rPr>
              <w:t>公司产品在新能源汽车</w:t>
            </w:r>
            <w:r w:rsidRPr="001B66FB">
              <w:rPr>
                <w:rFonts w:ascii="Times New Roman" w:hAnsi="Times New Roman"/>
                <w:bCs/>
                <w:sz w:val="24"/>
                <w:szCs w:val="24"/>
              </w:rPr>
              <w:t xml:space="preserve"> BMS </w:t>
            </w:r>
            <w:r w:rsidRPr="001B66FB">
              <w:rPr>
                <w:rFonts w:ascii="Times New Roman" w:hAnsi="Times New Roman"/>
                <w:bCs/>
                <w:sz w:val="24"/>
                <w:szCs w:val="24"/>
              </w:rPr>
              <w:t>系统、升压充电系统、中控系统、电机热管理系统、传感器、电机、照明系统等核心部件领域具备广阔应用空间。目前已成功落地于压力传感器、汽车中控板、控制板、氛围灯</w:t>
            </w:r>
            <w:r w:rsidRPr="001B66FB">
              <w:rPr>
                <w:rFonts w:ascii="Times New Roman" w:hAnsi="Times New Roman"/>
                <w:bCs/>
                <w:sz w:val="24"/>
                <w:szCs w:val="24"/>
              </w:rPr>
              <w:t xml:space="preserve"> PCBA</w:t>
            </w:r>
            <w:r w:rsidRPr="001B66FB">
              <w:rPr>
                <w:rFonts w:ascii="Times New Roman" w:hAnsi="Times New Roman"/>
                <w:bCs/>
                <w:sz w:val="24"/>
                <w:szCs w:val="24"/>
              </w:rPr>
              <w:t>、变速箱油泵、车载充电机、激光雷达、空调鼓风机</w:t>
            </w:r>
            <w:r w:rsidRPr="001B66FB">
              <w:rPr>
                <w:rFonts w:ascii="Times New Roman" w:hAnsi="Times New Roman"/>
                <w:bCs/>
                <w:sz w:val="24"/>
                <w:szCs w:val="24"/>
              </w:rPr>
              <w:t xml:space="preserve"> PCBA </w:t>
            </w:r>
            <w:r w:rsidRPr="001B66FB">
              <w:rPr>
                <w:rFonts w:ascii="Times New Roman" w:hAnsi="Times New Roman"/>
                <w:bCs/>
                <w:sz w:val="24"/>
                <w:szCs w:val="24"/>
              </w:rPr>
              <w:t>等多个核心部件场景。</w:t>
            </w:r>
            <w:r>
              <w:rPr>
                <w:rFonts w:ascii="Times New Roman" w:hAnsi="Times New Roman" w:hint="eastAsia"/>
                <w:bCs/>
                <w:sz w:val="24"/>
                <w:szCs w:val="24"/>
              </w:rPr>
              <w:t>其中，</w:t>
            </w:r>
            <w:r w:rsidRPr="001B66FB">
              <w:rPr>
                <w:rFonts w:ascii="Times New Roman" w:hAnsi="Times New Roman"/>
                <w:bCs/>
                <w:sz w:val="24"/>
                <w:szCs w:val="24"/>
              </w:rPr>
              <w:t>公司打造的</w:t>
            </w:r>
            <w:r>
              <w:rPr>
                <w:rFonts w:ascii="Times New Roman" w:hAnsi="Times New Roman" w:hint="eastAsia"/>
                <w:bCs/>
                <w:sz w:val="24"/>
                <w:szCs w:val="24"/>
              </w:rPr>
              <w:t>“</w:t>
            </w:r>
            <w:r w:rsidRPr="001B66FB">
              <w:rPr>
                <w:rFonts w:ascii="Times New Roman" w:hAnsi="Times New Roman"/>
                <w:bCs/>
                <w:sz w:val="24"/>
                <w:szCs w:val="24"/>
              </w:rPr>
              <w:t>电子油泵高性能降本防护解决方案</w:t>
            </w:r>
            <w:r>
              <w:rPr>
                <w:rFonts w:ascii="Times New Roman" w:hAnsi="Times New Roman" w:hint="eastAsia"/>
                <w:bCs/>
                <w:sz w:val="24"/>
                <w:szCs w:val="24"/>
              </w:rPr>
              <w:t>”</w:t>
            </w:r>
            <w:r w:rsidRPr="001B66FB">
              <w:rPr>
                <w:rFonts w:ascii="Times New Roman" w:hAnsi="Times New Roman"/>
                <w:bCs/>
                <w:sz w:val="24"/>
                <w:szCs w:val="24"/>
              </w:rPr>
              <w:t>已在头部车企实现规模化应用，相关产线已部署至客户欧洲工厂。</w:t>
            </w:r>
            <w:r>
              <w:rPr>
                <w:rFonts w:ascii="Times New Roman" w:hAnsi="Times New Roman" w:hint="eastAsia"/>
                <w:bCs/>
                <w:sz w:val="24"/>
                <w:szCs w:val="24"/>
              </w:rPr>
              <w:t>未来，</w:t>
            </w:r>
            <w:r w:rsidRPr="001B66FB">
              <w:rPr>
                <w:rFonts w:ascii="Times New Roman" w:hAnsi="Times New Roman"/>
                <w:bCs/>
                <w:sz w:val="24"/>
                <w:szCs w:val="24"/>
              </w:rPr>
              <w:t>汽车领域</w:t>
            </w:r>
            <w:r>
              <w:rPr>
                <w:rFonts w:ascii="Times New Roman" w:hAnsi="Times New Roman" w:hint="eastAsia"/>
                <w:bCs/>
                <w:sz w:val="24"/>
                <w:szCs w:val="24"/>
              </w:rPr>
              <w:t>有望</w:t>
            </w:r>
            <w:r w:rsidRPr="001B66FB">
              <w:rPr>
                <w:rFonts w:ascii="Times New Roman" w:hAnsi="Times New Roman"/>
                <w:bCs/>
                <w:sz w:val="24"/>
                <w:szCs w:val="24"/>
              </w:rPr>
              <w:t>成为公司重要的业绩</w:t>
            </w:r>
            <w:r w:rsidR="00BE3723">
              <w:rPr>
                <w:rFonts w:ascii="Times New Roman" w:hAnsi="Times New Roman" w:hint="eastAsia"/>
                <w:bCs/>
                <w:sz w:val="24"/>
                <w:szCs w:val="24"/>
              </w:rPr>
              <w:t>增长</w:t>
            </w:r>
            <w:r>
              <w:rPr>
                <w:rFonts w:ascii="Times New Roman" w:hAnsi="Times New Roman" w:hint="eastAsia"/>
                <w:bCs/>
                <w:sz w:val="24"/>
                <w:szCs w:val="24"/>
              </w:rPr>
              <w:t>点。</w:t>
            </w:r>
          </w:p>
          <w:p w14:paraId="30856C95" w14:textId="33F98D5A" w:rsidR="00A02719" w:rsidRPr="00A02719" w:rsidRDefault="00A02719" w:rsidP="00A02719">
            <w:pPr>
              <w:pStyle w:val="Style6"/>
              <w:spacing w:line="360" w:lineRule="auto"/>
              <w:ind w:firstLine="482"/>
              <w:rPr>
                <w:rFonts w:ascii="Times New Roman" w:hAnsi="Times New Roman"/>
                <w:b/>
                <w:sz w:val="24"/>
                <w:szCs w:val="24"/>
              </w:rPr>
            </w:pPr>
            <w:r w:rsidRPr="00A02719">
              <w:rPr>
                <w:rFonts w:ascii="Times New Roman" w:hAnsi="Times New Roman" w:hint="eastAsia"/>
                <w:b/>
                <w:sz w:val="24"/>
                <w:szCs w:val="24"/>
              </w:rPr>
              <w:t>5</w:t>
            </w:r>
            <w:r w:rsidRPr="00A02719">
              <w:rPr>
                <w:rFonts w:ascii="Times New Roman" w:hAnsi="Times New Roman" w:hint="eastAsia"/>
                <w:b/>
                <w:sz w:val="24"/>
                <w:szCs w:val="24"/>
              </w:rPr>
              <w:t>、</w:t>
            </w:r>
            <w:r w:rsidR="001B66FB">
              <w:rPr>
                <w:rFonts w:ascii="Times New Roman" w:hAnsi="Times New Roman" w:hint="eastAsia"/>
                <w:b/>
                <w:sz w:val="24"/>
                <w:szCs w:val="24"/>
              </w:rPr>
              <w:t>公司产品可以用于算力</w:t>
            </w:r>
            <w:r w:rsidR="008675CC">
              <w:rPr>
                <w:rFonts w:ascii="Times New Roman" w:hAnsi="Times New Roman" w:hint="eastAsia"/>
                <w:b/>
                <w:sz w:val="24"/>
                <w:szCs w:val="24"/>
              </w:rPr>
              <w:t>服务器领域吗？</w:t>
            </w:r>
          </w:p>
          <w:p w14:paraId="2E8FD080" w14:textId="73DA1AE0" w:rsidR="00E3723F" w:rsidRPr="00E3723F" w:rsidRDefault="00A02719" w:rsidP="00E3723F">
            <w:pPr>
              <w:pStyle w:val="Style6"/>
              <w:spacing w:line="360" w:lineRule="auto"/>
              <w:ind w:firstLine="480"/>
              <w:rPr>
                <w:bCs/>
                <w:sz w:val="24"/>
                <w:szCs w:val="24"/>
              </w:rPr>
            </w:pPr>
            <w:r>
              <w:rPr>
                <w:rFonts w:ascii="Times New Roman" w:hAnsi="Times New Roman" w:hint="eastAsia"/>
                <w:bCs/>
                <w:sz w:val="24"/>
                <w:szCs w:val="24"/>
              </w:rPr>
              <w:t>答：</w:t>
            </w:r>
            <w:r w:rsidR="00E3723F" w:rsidRPr="00E3723F">
              <w:rPr>
                <w:bCs/>
                <w:sz w:val="24"/>
                <w:szCs w:val="24"/>
              </w:rPr>
              <w:t>随着</w:t>
            </w:r>
            <w:r w:rsidR="00E3723F" w:rsidRPr="00E3723F">
              <w:rPr>
                <w:bCs/>
                <w:sz w:val="24"/>
                <w:szCs w:val="24"/>
              </w:rPr>
              <w:t>AI</w:t>
            </w:r>
            <w:r w:rsidR="00E3723F" w:rsidRPr="00E3723F">
              <w:rPr>
                <w:bCs/>
                <w:sz w:val="24"/>
                <w:szCs w:val="24"/>
              </w:rPr>
              <w:t>、大数据技术发展，服务器算力需求爆发，芯片集成度与功率密度持续提升，既对散热性能提出更高要求，也使电子元件更易受高温、潮湿、灰尘侵蚀，影响运行可靠性。液冷已成为服务器散热主流方案，但传统氟化液存在环保问题，矿物油等替代介质易引发电子元件失效，行业亟需兼顾散热与元件防护的解决方案。</w:t>
            </w:r>
          </w:p>
          <w:p w14:paraId="5E3E842F" w14:textId="54A5B33D" w:rsidR="00E3723F" w:rsidRPr="00E3723F" w:rsidRDefault="00E3723F" w:rsidP="00E3723F">
            <w:pPr>
              <w:pStyle w:val="Style6"/>
              <w:spacing w:line="360" w:lineRule="auto"/>
              <w:ind w:firstLine="480"/>
              <w:rPr>
                <w:bCs/>
                <w:sz w:val="24"/>
                <w:szCs w:val="24"/>
              </w:rPr>
            </w:pPr>
            <w:r w:rsidRPr="00E3723F">
              <w:rPr>
                <w:bCs/>
                <w:sz w:val="24"/>
                <w:szCs w:val="24"/>
              </w:rPr>
              <w:t>公司技术团队采用</w:t>
            </w:r>
            <w:r w:rsidRPr="00E3723F">
              <w:rPr>
                <w:bCs/>
                <w:sz w:val="24"/>
                <w:szCs w:val="24"/>
              </w:rPr>
              <w:t xml:space="preserve"> PECVD </w:t>
            </w:r>
            <w:r w:rsidRPr="00E3723F">
              <w:rPr>
                <w:bCs/>
                <w:sz w:val="24"/>
                <w:szCs w:val="24"/>
              </w:rPr>
              <w:t>与</w:t>
            </w:r>
            <w:r w:rsidRPr="00E3723F">
              <w:rPr>
                <w:bCs/>
                <w:sz w:val="24"/>
                <w:szCs w:val="24"/>
              </w:rPr>
              <w:t xml:space="preserve"> CVD </w:t>
            </w:r>
            <w:r w:rsidRPr="00E3723F">
              <w:rPr>
                <w:bCs/>
                <w:sz w:val="24"/>
                <w:szCs w:val="24"/>
              </w:rPr>
              <w:t>耦合真空镀膜技术，对浸没式</w:t>
            </w:r>
            <w:r w:rsidRPr="00E3723F">
              <w:rPr>
                <w:bCs/>
                <w:sz w:val="24"/>
                <w:szCs w:val="24"/>
              </w:rPr>
              <w:t>PCBA</w:t>
            </w:r>
            <w:r w:rsidRPr="00E3723F">
              <w:rPr>
                <w:bCs/>
                <w:sz w:val="24"/>
                <w:szCs w:val="24"/>
              </w:rPr>
              <w:t>等部件进行处理，在元件表面形成无针孔、厚度均匀的透明绝缘涂层；依托纳米材料微观覆形生长特性，可实现</w:t>
            </w:r>
            <w:r w:rsidRPr="00E3723F">
              <w:rPr>
                <w:bCs/>
                <w:sz w:val="24"/>
                <w:szCs w:val="24"/>
              </w:rPr>
              <w:t xml:space="preserve"> 360° </w:t>
            </w:r>
            <w:r w:rsidRPr="00E3723F">
              <w:rPr>
                <w:bCs/>
                <w:sz w:val="24"/>
                <w:szCs w:val="24"/>
              </w:rPr>
              <w:t>无死角均匀防护。</w:t>
            </w:r>
          </w:p>
          <w:p w14:paraId="05C6D257" w14:textId="14F14208" w:rsidR="00D85541" w:rsidRPr="004838DA" w:rsidRDefault="008675CC" w:rsidP="00E3723F">
            <w:pPr>
              <w:pStyle w:val="Style6"/>
              <w:spacing w:line="360" w:lineRule="auto"/>
              <w:ind w:firstLine="480"/>
              <w:rPr>
                <w:rFonts w:ascii="Times New Roman" w:hAnsi="Times New Roman"/>
                <w:sz w:val="24"/>
                <w:szCs w:val="24"/>
              </w:rPr>
            </w:pPr>
            <w:r>
              <w:rPr>
                <w:rFonts w:ascii="Times New Roman" w:hAnsi="Times New Roman" w:hint="eastAsia"/>
                <w:bCs/>
                <w:sz w:val="24"/>
                <w:szCs w:val="24"/>
              </w:rPr>
              <w:t>目前</w:t>
            </w:r>
            <w:r w:rsidRPr="008675CC">
              <w:rPr>
                <w:rFonts w:ascii="Times New Roman" w:hAnsi="Times New Roman"/>
                <w:bCs/>
                <w:sz w:val="24"/>
                <w:szCs w:val="24"/>
              </w:rPr>
              <w:t>，</w:t>
            </w:r>
            <w:r w:rsidR="00E3723F" w:rsidRPr="00E3723F">
              <w:rPr>
                <w:rFonts w:ascii="Times New Roman" w:hAnsi="Times New Roman"/>
                <w:bCs/>
                <w:sz w:val="24"/>
                <w:szCs w:val="24"/>
              </w:rPr>
              <w:t>公司相关技术已在多家客户的服务器电源、算力大板等产品上成功量产。</w:t>
            </w:r>
          </w:p>
        </w:tc>
      </w:tr>
      <w:tr w:rsidR="00FB4C1B" w14:paraId="0E4AC486" w14:textId="77777777">
        <w:trPr>
          <w:trHeight w:val="2538"/>
        </w:trPr>
        <w:tc>
          <w:tcPr>
            <w:tcW w:w="1773" w:type="dxa"/>
            <w:vAlign w:val="center"/>
          </w:tcPr>
          <w:p w14:paraId="42D0C281" w14:textId="77777777" w:rsidR="00FB4C1B" w:rsidRPr="004838DA" w:rsidRDefault="00000000">
            <w:pPr>
              <w:rPr>
                <w:color w:val="000000"/>
                <w:sz w:val="24"/>
                <w:szCs w:val="24"/>
              </w:rPr>
            </w:pPr>
            <w:r w:rsidRPr="004838DA">
              <w:rPr>
                <w:color w:val="000000"/>
                <w:sz w:val="24"/>
                <w:szCs w:val="24"/>
              </w:rPr>
              <w:lastRenderedPageBreak/>
              <w:t>附件清单（如有）</w:t>
            </w:r>
          </w:p>
        </w:tc>
        <w:tc>
          <w:tcPr>
            <w:tcW w:w="8909" w:type="dxa"/>
            <w:vAlign w:val="center"/>
          </w:tcPr>
          <w:p w14:paraId="5DC29E96" w14:textId="77777777" w:rsidR="00FB4C1B" w:rsidRPr="004838DA" w:rsidRDefault="00000000">
            <w:pPr>
              <w:spacing w:line="480" w:lineRule="atLeast"/>
              <w:rPr>
                <w:rFonts w:eastAsiaTheme="minorEastAsia"/>
                <w:color w:val="000000"/>
                <w:sz w:val="24"/>
                <w:szCs w:val="24"/>
              </w:rPr>
            </w:pPr>
            <w:r w:rsidRPr="004838DA">
              <w:rPr>
                <w:rFonts w:eastAsiaTheme="minorEastAsia"/>
                <w:color w:val="000000"/>
                <w:sz w:val="24"/>
                <w:szCs w:val="24"/>
              </w:rPr>
              <w:t>无</w:t>
            </w:r>
          </w:p>
        </w:tc>
      </w:tr>
      <w:tr w:rsidR="00FB4C1B" w14:paraId="4FCEE2D6" w14:textId="77777777">
        <w:trPr>
          <w:trHeight w:val="706"/>
        </w:trPr>
        <w:tc>
          <w:tcPr>
            <w:tcW w:w="1773" w:type="dxa"/>
            <w:vAlign w:val="center"/>
          </w:tcPr>
          <w:p w14:paraId="65620EF6" w14:textId="77777777" w:rsidR="00FB4C1B" w:rsidRPr="004838DA" w:rsidRDefault="00000000">
            <w:pPr>
              <w:spacing w:line="480" w:lineRule="atLeast"/>
              <w:rPr>
                <w:color w:val="000000"/>
                <w:sz w:val="24"/>
                <w:szCs w:val="24"/>
              </w:rPr>
            </w:pPr>
            <w:r w:rsidRPr="004838DA">
              <w:rPr>
                <w:color w:val="000000"/>
                <w:sz w:val="24"/>
                <w:szCs w:val="24"/>
              </w:rPr>
              <w:t>日期</w:t>
            </w:r>
          </w:p>
        </w:tc>
        <w:tc>
          <w:tcPr>
            <w:tcW w:w="8909" w:type="dxa"/>
          </w:tcPr>
          <w:p w14:paraId="7DE4DBBD" w14:textId="6A2A522D" w:rsidR="00FB4C1B" w:rsidRPr="004838DA" w:rsidRDefault="00A02719">
            <w:pPr>
              <w:spacing w:line="480" w:lineRule="atLeast"/>
              <w:rPr>
                <w:rFonts w:eastAsiaTheme="minorEastAsia"/>
                <w:color w:val="000000"/>
                <w:sz w:val="24"/>
                <w:szCs w:val="24"/>
              </w:rPr>
            </w:pPr>
            <w:r w:rsidRPr="004838DA">
              <w:rPr>
                <w:rFonts w:eastAsiaTheme="minorEastAsia"/>
                <w:color w:val="000000"/>
                <w:sz w:val="24"/>
                <w:szCs w:val="24"/>
              </w:rPr>
              <w:t>202</w:t>
            </w:r>
            <w:r>
              <w:rPr>
                <w:rFonts w:eastAsiaTheme="minorEastAsia" w:hint="eastAsia"/>
                <w:color w:val="000000"/>
                <w:sz w:val="24"/>
                <w:szCs w:val="24"/>
              </w:rPr>
              <w:t>6</w:t>
            </w:r>
            <w:r w:rsidRPr="004838DA">
              <w:rPr>
                <w:rFonts w:eastAsiaTheme="minorEastAsia"/>
                <w:color w:val="000000"/>
                <w:sz w:val="24"/>
                <w:szCs w:val="24"/>
              </w:rPr>
              <w:t>年</w:t>
            </w:r>
            <w:r w:rsidR="005D4636">
              <w:rPr>
                <w:rFonts w:eastAsiaTheme="minorEastAsia" w:hint="eastAsia"/>
                <w:color w:val="000000"/>
                <w:sz w:val="24"/>
                <w:szCs w:val="24"/>
              </w:rPr>
              <w:t>6</w:t>
            </w:r>
            <w:r w:rsidRPr="004838DA">
              <w:rPr>
                <w:rFonts w:eastAsiaTheme="minorEastAsia"/>
                <w:color w:val="000000"/>
                <w:sz w:val="24"/>
                <w:szCs w:val="24"/>
              </w:rPr>
              <w:t>月</w:t>
            </w:r>
            <w:r>
              <w:rPr>
                <w:rFonts w:eastAsiaTheme="minorEastAsia" w:hint="eastAsia"/>
                <w:color w:val="000000"/>
                <w:sz w:val="24"/>
                <w:szCs w:val="24"/>
              </w:rPr>
              <w:t>1</w:t>
            </w:r>
            <w:r w:rsidR="005D4636">
              <w:rPr>
                <w:rFonts w:eastAsiaTheme="minorEastAsia" w:hint="eastAsia"/>
                <w:color w:val="000000"/>
                <w:sz w:val="24"/>
                <w:szCs w:val="24"/>
              </w:rPr>
              <w:t>3</w:t>
            </w:r>
            <w:r w:rsidRPr="004838DA">
              <w:rPr>
                <w:rFonts w:eastAsiaTheme="minorEastAsia"/>
                <w:color w:val="000000"/>
                <w:sz w:val="24"/>
                <w:szCs w:val="24"/>
              </w:rPr>
              <w:t>日</w:t>
            </w:r>
          </w:p>
        </w:tc>
      </w:tr>
    </w:tbl>
    <w:p w14:paraId="4EE10B46" w14:textId="77777777" w:rsidR="00FB4C1B" w:rsidRDefault="00FB4C1B"/>
    <w:sectPr w:rsidR="00FB4C1B">
      <w:headerReference w:type="default" r:id="rId7"/>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8115" w14:textId="77777777" w:rsidR="0010129A" w:rsidRDefault="0010129A">
      <w:r>
        <w:separator/>
      </w:r>
    </w:p>
  </w:endnote>
  <w:endnote w:type="continuationSeparator" w:id="0">
    <w:p w14:paraId="2C8D8DD0" w14:textId="77777777" w:rsidR="0010129A" w:rsidRDefault="0010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86E0" w14:textId="77777777" w:rsidR="0010129A" w:rsidRDefault="0010129A">
      <w:r>
        <w:separator/>
      </w:r>
    </w:p>
  </w:footnote>
  <w:footnote w:type="continuationSeparator" w:id="0">
    <w:p w14:paraId="54069AD3" w14:textId="77777777" w:rsidR="0010129A" w:rsidRDefault="0010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1F27" w14:textId="77777777" w:rsidR="00FB4C1B"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35ADC3B4" wp14:editId="66399F9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F05A6"/>
    <w:multiLevelType w:val="hybridMultilevel"/>
    <w:tmpl w:val="6FC2C3B8"/>
    <w:lvl w:ilvl="0" w:tplc="176611F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9399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3967"/>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66648"/>
    <w:rsid w:val="000752B0"/>
    <w:rsid w:val="000A3C4B"/>
    <w:rsid w:val="000A653A"/>
    <w:rsid w:val="000C5506"/>
    <w:rsid w:val="000C79B4"/>
    <w:rsid w:val="000D0C9B"/>
    <w:rsid w:val="000D3DFB"/>
    <w:rsid w:val="000D5592"/>
    <w:rsid w:val="000E2D21"/>
    <w:rsid w:val="0010129A"/>
    <w:rsid w:val="0010345F"/>
    <w:rsid w:val="00103493"/>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8216B"/>
    <w:rsid w:val="00183AEC"/>
    <w:rsid w:val="0019095D"/>
    <w:rsid w:val="00191DE2"/>
    <w:rsid w:val="0019797D"/>
    <w:rsid w:val="001A38A7"/>
    <w:rsid w:val="001A44FB"/>
    <w:rsid w:val="001A6186"/>
    <w:rsid w:val="001B05A1"/>
    <w:rsid w:val="001B66FB"/>
    <w:rsid w:val="001B7D23"/>
    <w:rsid w:val="001C5BE3"/>
    <w:rsid w:val="001D11E4"/>
    <w:rsid w:val="001D764E"/>
    <w:rsid w:val="001E1F7E"/>
    <w:rsid w:val="001F5C5B"/>
    <w:rsid w:val="001F7989"/>
    <w:rsid w:val="00200B3F"/>
    <w:rsid w:val="0020107E"/>
    <w:rsid w:val="002038A0"/>
    <w:rsid w:val="00207409"/>
    <w:rsid w:val="002103C5"/>
    <w:rsid w:val="00211B9E"/>
    <w:rsid w:val="00212EE5"/>
    <w:rsid w:val="00216821"/>
    <w:rsid w:val="00222A09"/>
    <w:rsid w:val="002278B6"/>
    <w:rsid w:val="0023156C"/>
    <w:rsid w:val="002347AE"/>
    <w:rsid w:val="00244A4B"/>
    <w:rsid w:val="00244D03"/>
    <w:rsid w:val="00265B4C"/>
    <w:rsid w:val="00270BE9"/>
    <w:rsid w:val="00270C74"/>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47D2"/>
    <w:rsid w:val="003A7CA5"/>
    <w:rsid w:val="003B05B6"/>
    <w:rsid w:val="003B7F59"/>
    <w:rsid w:val="003C5EBF"/>
    <w:rsid w:val="003D2463"/>
    <w:rsid w:val="003D37D8"/>
    <w:rsid w:val="003D5557"/>
    <w:rsid w:val="003D69BF"/>
    <w:rsid w:val="003E4931"/>
    <w:rsid w:val="003E5B49"/>
    <w:rsid w:val="003E6BD1"/>
    <w:rsid w:val="003F7BE3"/>
    <w:rsid w:val="003F7E60"/>
    <w:rsid w:val="00404EFE"/>
    <w:rsid w:val="00405A06"/>
    <w:rsid w:val="0042288D"/>
    <w:rsid w:val="004274B5"/>
    <w:rsid w:val="004358AB"/>
    <w:rsid w:val="00436C88"/>
    <w:rsid w:val="00463954"/>
    <w:rsid w:val="004657A9"/>
    <w:rsid w:val="00476753"/>
    <w:rsid w:val="00476A41"/>
    <w:rsid w:val="00477873"/>
    <w:rsid w:val="0048152C"/>
    <w:rsid w:val="004838DA"/>
    <w:rsid w:val="0048685D"/>
    <w:rsid w:val="004A35AA"/>
    <w:rsid w:val="004A69D3"/>
    <w:rsid w:val="004B2332"/>
    <w:rsid w:val="004C5AA2"/>
    <w:rsid w:val="004D184E"/>
    <w:rsid w:val="004F18A4"/>
    <w:rsid w:val="004F1C47"/>
    <w:rsid w:val="004F28B1"/>
    <w:rsid w:val="005003D4"/>
    <w:rsid w:val="00515D1C"/>
    <w:rsid w:val="00516A11"/>
    <w:rsid w:val="0051730E"/>
    <w:rsid w:val="00524684"/>
    <w:rsid w:val="00530E7C"/>
    <w:rsid w:val="00540042"/>
    <w:rsid w:val="0054209B"/>
    <w:rsid w:val="005451E8"/>
    <w:rsid w:val="00550569"/>
    <w:rsid w:val="0055280A"/>
    <w:rsid w:val="00553441"/>
    <w:rsid w:val="005564C7"/>
    <w:rsid w:val="00561E59"/>
    <w:rsid w:val="005665E8"/>
    <w:rsid w:val="0057162F"/>
    <w:rsid w:val="00580779"/>
    <w:rsid w:val="00591273"/>
    <w:rsid w:val="00593F36"/>
    <w:rsid w:val="005A09F6"/>
    <w:rsid w:val="005A5AA2"/>
    <w:rsid w:val="005B1584"/>
    <w:rsid w:val="005D2CE4"/>
    <w:rsid w:val="005D3210"/>
    <w:rsid w:val="005D4636"/>
    <w:rsid w:val="005D642D"/>
    <w:rsid w:val="005E4D70"/>
    <w:rsid w:val="005F000A"/>
    <w:rsid w:val="005F10D8"/>
    <w:rsid w:val="005F1A8E"/>
    <w:rsid w:val="005F59AB"/>
    <w:rsid w:val="00602002"/>
    <w:rsid w:val="00603A9F"/>
    <w:rsid w:val="006112DA"/>
    <w:rsid w:val="00615A9D"/>
    <w:rsid w:val="00622631"/>
    <w:rsid w:val="00630D2E"/>
    <w:rsid w:val="006320EA"/>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4744"/>
    <w:rsid w:val="006C58F2"/>
    <w:rsid w:val="006D298B"/>
    <w:rsid w:val="006D6697"/>
    <w:rsid w:val="006E0A68"/>
    <w:rsid w:val="006E2C08"/>
    <w:rsid w:val="006F5217"/>
    <w:rsid w:val="007009EF"/>
    <w:rsid w:val="007026FB"/>
    <w:rsid w:val="007039E4"/>
    <w:rsid w:val="007072EB"/>
    <w:rsid w:val="00721190"/>
    <w:rsid w:val="00736D7C"/>
    <w:rsid w:val="00737251"/>
    <w:rsid w:val="00737D31"/>
    <w:rsid w:val="00740334"/>
    <w:rsid w:val="0074277F"/>
    <w:rsid w:val="00752E92"/>
    <w:rsid w:val="00755E2E"/>
    <w:rsid w:val="00767F29"/>
    <w:rsid w:val="00773CC2"/>
    <w:rsid w:val="00774B78"/>
    <w:rsid w:val="00774BB7"/>
    <w:rsid w:val="00790193"/>
    <w:rsid w:val="0079033B"/>
    <w:rsid w:val="00797A86"/>
    <w:rsid w:val="007A1376"/>
    <w:rsid w:val="007A1790"/>
    <w:rsid w:val="007A223D"/>
    <w:rsid w:val="007A5B29"/>
    <w:rsid w:val="007A7CD8"/>
    <w:rsid w:val="007B6355"/>
    <w:rsid w:val="007B6483"/>
    <w:rsid w:val="007B7BCE"/>
    <w:rsid w:val="007C00F1"/>
    <w:rsid w:val="007C3408"/>
    <w:rsid w:val="007C4AEA"/>
    <w:rsid w:val="007C5948"/>
    <w:rsid w:val="007D1BE1"/>
    <w:rsid w:val="007D1ECA"/>
    <w:rsid w:val="007D39F2"/>
    <w:rsid w:val="008078BF"/>
    <w:rsid w:val="00811DF1"/>
    <w:rsid w:val="00812B0D"/>
    <w:rsid w:val="008148E4"/>
    <w:rsid w:val="00820985"/>
    <w:rsid w:val="00820BF7"/>
    <w:rsid w:val="00841FDD"/>
    <w:rsid w:val="00844333"/>
    <w:rsid w:val="008538C3"/>
    <w:rsid w:val="00854434"/>
    <w:rsid w:val="0085731C"/>
    <w:rsid w:val="00862583"/>
    <w:rsid w:val="0086313F"/>
    <w:rsid w:val="008631CB"/>
    <w:rsid w:val="008675CC"/>
    <w:rsid w:val="0088222E"/>
    <w:rsid w:val="00884876"/>
    <w:rsid w:val="00890B58"/>
    <w:rsid w:val="0089190B"/>
    <w:rsid w:val="00892234"/>
    <w:rsid w:val="0089339F"/>
    <w:rsid w:val="00896BBF"/>
    <w:rsid w:val="00896FF2"/>
    <w:rsid w:val="008A1DD5"/>
    <w:rsid w:val="008B7726"/>
    <w:rsid w:val="008D190C"/>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35E6"/>
    <w:rsid w:val="009B5DC6"/>
    <w:rsid w:val="009B6B2E"/>
    <w:rsid w:val="009C2851"/>
    <w:rsid w:val="009C3894"/>
    <w:rsid w:val="009C4941"/>
    <w:rsid w:val="009C496D"/>
    <w:rsid w:val="009D10E6"/>
    <w:rsid w:val="009D16B8"/>
    <w:rsid w:val="009D6589"/>
    <w:rsid w:val="009E3AEC"/>
    <w:rsid w:val="009F2BED"/>
    <w:rsid w:val="009F4687"/>
    <w:rsid w:val="00A00077"/>
    <w:rsid w:val="00A00B80"/>
    <w:rsid w:val="00A02719"/>
    <w:rsid w:val="00A13ED2"/>
    <w:rsid w:val="00A31764"/>
    <w:rsid w:val="00A320E0"/>
    <w:rsid w:val="00A33DA6"/>
    <w:rsid w:val="00A46BD9"/>
    <w:rsid w:val="00A46DD2"/>
    <w:rsid w:val="00A476A8"/>
    <w:rsid w:val="00A5187C"/>
    <w:rsid w:val="00A809D4"/>
    <w:rsid w:val="00A82F01"/>
    <w:rsid w:val="00A84691"/>
    <w:rsid w:val="00A8610C"/>
    <w:rsid w:val="00A90FEE"/>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226A"/>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E3723"/>
    <w:rsid w:val="00BF69FB"/>
    <w:rsid w:val="00C120DD"/>
    <w:rsid w:val="00C1794E"/>
    <w:rsid w:val="00C22BDC"/>
    <w:rsid w:val="00C22BF4"/>
    <w:rsid w:val="00C30754"/>
    <w:rsid w:val="00C30809"/>
    <w:rsid w:val="00C313FC"/>
    <w:rsid w:val="00C4635E"/>
    <w:rsid w:val="00C6029E"/>
    <w:rsid w:val="00C60C9D"/>
    <w:rsid w:val="00C67A34"/>
    <w:rsid w:val="00C73E2E"/>
    <w:rsid w:val="00C846D3"/>
    <w:rsid w:val="00C84E8D"/>
    <w:rsid w:val="00CB5B74"/>
    <w:rsid w:val="00CB68A7"/>
    <w:rsid w:val="00CB790A"/>
    <w:rsid w:val="00CD764F"/>
    <w:rsid w:val="00CF088D"/>
    <w:rsid w:val="00CF0918"/>
    <w:rsid w:val="00CF1C41"/>
    <w:rsid w:val="00CF6C21"/>
    <w:rsid w:val="00D06D17"/>
    <w:rsid w:val="00D07CD3"/>
    <w:rsid w:val="00D15EBC"/>
    <w:rsid w:val="00D16B36"/>
    <w:rsid w:val="00D178E5"/>
    <w:rsid w:val="00D219E4"/>
    <w:rsid w:val="00D23D46"/>
    <w:rsid w:val="00D318C6"/>
    <w:rsid w:val="00D31C54"/>
    <w:rsid w:val="00D36ABC"/>
    <w:rsid w:val="00D37349"/>
    <w:rsid w:val="00D415F0"/>
    <w:rsid w:val="00D42CDB"/>
    <w:rsid w:val="00D431D5"/>
    <w:rsid w:val="00D47966"/>
    <w:rsid w:val="00D60334"/>
    <w:rsid w:val="00D7003A"/>
    <w:rsid w:val="00D72342"/>
    <w:rsid w:val="00D7586E"/>
    <w:rsid w:val="00D75EEB"/>
    <w:rsid w:val="00D806A8"/>
    <w:rsid w:val="00D8550C"/>
    <w:rsid w:val="00D85541"/>
    <w:rsid w:val="00D91046"/>
    <w:rsid w:val="00D95DBD"/>
    <w:rsid w:val="00DA15A3"/>
    <w:rsid w:val="00DA3FF1"/>
    <w:rsid w:val="00DA4F18"/>
    <w:rsid w:val="00DA7D6A"/>
    <w:rsid w:val="00DB7469"/>
    <w:rsid w:val="00DB798B"/>
    <w:rsid w:val="00DC1A9A"/>
    <w:rsid w:val="00DC4110"/>
    <w:rsid w:val="00DC620D"/>
    <w:rsid w:val="00DC7F32"/>
    <w:rsid w:val="00DD7918"/>
    <w:rsid w:val="00DE2639"/>
    <w:rsid w:val="00DF507D"/>
    <w:rsid w:val="00E02B55"/>
    <w:rsid w:val="00E170CE"/>
    <w:rsid w:val="00E25090"/>
    <w:rsid w:val="00E262E0"/>
    <w:rsid w:val="00E33DB4"/>
    <w:rsid w:val="00E3723F"/>
    <w:rsid w:val="00E41AEE"/>
    <w:rsid w:val="00E43366"/>
    <w:rsid w:val="00E4594D"/>
    <w:rsid w:val="00E51AF9"/>
    <w:rsid w:val="00E560BC"/>
    <w:rsid w:val="00E61AF0"/>
    <w:rsid w:val="00E64523"/>
    <w:rsid w:val="00E65D5E"/>
    <w:rsid w:val="00E70FA9"/>
    <w:rsid w:val="00E71136"/>
    <w:rsid w:val="00E762CA"/>
    <w:rsid w:val="00E86944"/>
    <w:rsid w:val="00E93A62"/>
    <w:rsid w:val="00E94060"/>
    <w:rsid w:val="00EA2A72"/>
    <w:rsid w:val="00EA7201"/>
    <w:rsid w:val="00EB34DD"/>
    <w:rsid w:val="00EB695A"/>
    <w:rsid w:val="00EB7E2B"/>
    <w:rsid w:val="00EC068B"/>
    <w:rsid w:val="00ED521F"/>
    <w:rsid w:val="00ED7898"/>
    <w:rsid w:val="00EE1554"/>
    <w:rsid w:val="00EE62B6"/>
    <w:rsid w:val="00EF121A"/>
    <w:rsid w:val="00EF2A8B"/>
    <w:rsid w:val="00EF367E"/>
    <w:rsid w:val="00EF7017"/>
    <w:rsid w:val="00F04262"/>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87C76"/>
    <w:rsid w:val="00FA43D3"/>
    <w:rsid w:val="00FA770B"/>
    <w:rsid w:val="00FB4C1B"/>
    <w:rsid w:val="00FC22D9"/>
    <w:rsid w:val="00FC405D"/>
    <w:rsid w:val="00FC6529"/>
    <w:rsid w:val="00FD2314"/>
    <w:rsid w:val="00FD48A8"/>
    <w:rsid w:val="00FD4D40"/>
    <w:rsid w:val="00FD6686"/>
    <w:rsid w:val="00FD768A"/>
    <w:rsid w:val="00FE31DB"/>
    <w:rsid w:val="00FE3FFB"/>
    <w:rsid w:val="00FE5E9E"/>
    <w:rsid w:val="00FE7720"/>
    <w:rsid w:val="2BA81C41"/>
    <w:rsid w:val="38990140"/>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F07BA"/>
  <w15:docId w15:val="{B11FAD4A-660B-45D3-B562-EEDF0C9C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qFormat/>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customStyle="1" w:styleId="5">
    <w:name w:val="修订5"/>
    <w:hidden/>
    <w:uiPriority w:val="99"/>
    <w:unhideWhenUsed/>
    <w:qFormat/>
    <w:rPr>
      <w:kern w:val="2"/>
      <w:sz w:val="21"/>
      <w:szCs w:val="21"/>
    </w:rPr>
  </w:style>
  <w:style w:type="paragraph" w:customStyle="1" w:styleId="Style6">
    <w:name w:val="_Style 6"/>
    <w:basedOn w:val="a"/>
    <w:uiPriority w:val="34"/>
    <w:qFormat/>
    <w:rsid w:val="00404EFE"/>
    <w:pPr>
      <w:ind w:firstLineChars="200" w:firstLine="420"/>
    </w:pPr>
    <w:rPr>
      <w:rFonts w:ascii="Calibri" w:hAnsi="Calibri"/>
      <w:szCs w:val="22"/>
    </w:rPr>
  </w:style>
  <w:style w:type="character" w:styleId="af2">
    <w:name w:val="Unresolved Mention"/>
    <w:basedOn w:val="a0"/>
    <w:uiPriority w:val="99"/>
    <w:semiHidden/>
    <w:unhideWhenUsed/>
    <w:rsid w:val="00EF121A"/>
    <w:rPr>
      <w:color w:val="605E5C"/>
      <w:shd w:val="clear" w:color="auto" w:fill="E1DFDD"/>
    </w:rPr>
  </w:style>
  <w:style w:type="paragraph" w:styleId="af3">
    <w:name w:val="Revision"/>
    <w:hidden/>
    <w:uiPriority w:val="99"/>
    <w:unhideWhenUsed/>
    <w:rsid w:val="009C494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柏菁</cp:lastModifiedBy>
  <cp:revision>46</cp:revision>
  <cp:lastPrinted>2025-11-04T09:51:00Z</cp:lastPrinted>
  <dcterms:created xsi:type="dcterms:W3CDTF">2023-05-30T08:00:00Z</dcterms:created>
  <dcterms:modified xsi:type="dcterms:W3CDTF">2026-06-13T12:59:00Z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0791AF2330C245FCAAD2E83E020DBD84_13</vt:lpwstr>
  </property>
  <property fmtid="{D5CDD505-2E9C-101B-9397-08002B2CF9AE}" pid="4" name="KSOTemplateDocerSaveRecord">
    <vt:lpwstr>eyJoZGlkIjoiZjFmZWIzNDg2MmIzZjExOTIzMmViNTBmYTMwYTk0ZWYiLCJ1c2VySWQiOiI0NjEzNzA5NTEifQ==</vt:lpwstr>
  </property>
</Properties>
</file>