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818CAD" w14:textId="77777777" w:rsidR="008A6684" w:rsidRDefault="00E80E40">
      <w:pPr>
        <w:spacing w:line="420" w:lineRule="exact"/>
        <w:rPr>
          <w:rFonts w:eastAsia="宋体"/>
          <w:b/>
          <w:bCs/>
        </w:rPr>
      </w:pPr>
      <w:r>
        <w:rPr>
          <w:rFonts w:hint="eastAsia"/>
          <w:b/>
          <w:bCs/>
        </w:rPr>
        <w:t>证券代码：</w:t>
      </w:r>
      <w:r>
        <w:rPr>
          <w:rFonts w:hint="eastAsia"/>
          <w:b/>
          <w:bCs/>
        </w:rPr>
        <w:t>688627</w:t>
      </w:r>
      <w:r>
        <w:rPr>
          <w:b/>
          <w:bCs/>
        </w:rPr>
        <w:t xml:space="preserve"> </w:t>
      </w:r>
      <w:r>
        <w:rPr>
          <w:rFonts w:hint="eastAsia"/>
          <w:b/>
          <w:bCs/>
        </w:rPr>
        <w:t xml:space="preserve">                                     </w:t>
      </w:r>
      <w:r>
        <w:rPr>
          <w:rFonts w:hint="eastAsia"/>
          <w:b/>
          <w:bCs/>
        </w:rPr>
        <w:t>证券简称：</w:t>
      </w:r>
      <w:proofErr w:type="gramStart"/>
      <w:r>
        <w:rPr>
          <w:rFonts w:hint="eastAsia"/>
          <w:b/>
          <w:bCs/>
        </w:rPr>
        <w:t>精智达</w:t>
      </w:r>
      <w:proofErr w:type="gramEnd"/>
      <w:r>
        <w:rPr>
          <w:rFonts w:hint="eastAsia"/>
          <w:b/>
          <w:bCs/>
        </w:rPr>
        <w:t xml:space="preserve">            </w:t>
      </w:r>
      <w:r>
        <w:rPr>
          <w:b/>
          <w:bCs/>
        </w:rPr>
        <w:t xml:space="preserve">        </w:t>
      </w:r>
      <w:r>
        <w:rPr>
          <w:rFonts w:hint="eastAsia"/>
          <w:b/>
          <w:bCs/>
        </w:rPr>
        <w:t xml:space="preserve">    </w:t>
      </w:r>
    </w:p>
    <w:p w14:paraId="139972A8" w14:textId="77777777" w:rsidR="008A6684" w:rsidRDefault="008A6684">
      <w:pPr>
        <w:spacing w:line="420" w:lineRule="exact"/>
        <w:jc w:val="center"/>
        <w:rPr>
          <w:rFonts w:ascii="黑体" w:eastAsia="黑体" w:hAnsi="黑体"/>
          <w:b/>
          <w:bCs/>
          <w:sz w:val="32"/>
          <w:szCs w:val="32"/>
        </w:rPr>
      </w:pPr>
    </w:p>
    <w:p w14:paraId="43E1B42C" w14:textId="77777777" w:rsidR="008A6684" w:rsidRDefault="00E80E40">
      <w:pPr>
        <w:spacing w:line="420" w:lineRule="exact"/>
        <w:jc w:val="center"/>
        <w:rPr>
          <w:rFonts w:ascii="黑体" w:eastAsia="黑体" w:hAnsi="黑体"/>
          <w:b/>
          <w:bCs/>
          <w:sz w:val="32"/>
          <w:szCs w:val="32"/>
        </w:rPr>
      </w:pPr>
      <w:r>
        <w:rPr>
          <w:rFonts w:ascii="黑体" w:eastAsia="黑体" w:hAnsi="黑体" w:hint="eastAsia"/>
          <w:b/>
          <w:bCs/>
          <w:sz w:val="32"/>
          <w:szCs w:val="32"/>
        </w:rPr>
        <w:t>深圳精智达技术股份有限公司</w:t>
      </w:r>
    </w:p>
    <w:p w14:paraId="695863EC" w14:textId="77777777" w:rsidR="008A6684" w:rsidRDefault="00E80E40">
      <w:pPr>
        <w:spacing w:line="420" w:lineRule="exact"/>
        <w:jc w:val="center"/>
        <w:rPr>
          <w:rFonts w:ascii="黑体" w:eastAsia="黑体" w:hAnsi="黑体"/>
          <w:b/>
          <w:bCs/>
          <w:sz w:val="32"/>
          <w:szCs w:val="32"/>
        </w:rPr>
      </w:pPr>
      <w:r>
        <w:rPr>
          <w:rFonts w:ascii="黑体" w:eastAsia="黑体" w:hAnsi="黑体" w:hint="eastAsia"/>
          <w:b/>
          <w:bCs/>
          <w:sz w:val="32"/>
          <w:szCs w:val="32"/>
        </w:rPr>
        <w:t>投资者关系活动记录表</w:t>
      </w:r>
    </w:p>
    <w:p w14:paraId="179AEA56" w14:textId="77777777" w:rsidR="008A6684" w:rsidRDefault="00E80E40">
      <w:pPr>
        <w:spacing w:line="420" w:lineRule="exact"/>
        <w:rPr>
          <w:b/>
          <w:bCs/>
        </w:rPr>
      </w:pPr>
      <w:r>
        <w:rPr>
          <w:b/>
          <w:bCs/>
        </w:rPr>
        <w:t xml:space="preserve"> </w:t>
      </w:r>
    </w:p>
    <w:tbl>
      <w:tblPr>
        <w:tblW w:w="891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395"/>
        <w:gridCol w:w="6521"/>
      </w:tblGrid>
      <w:tr w:rsidR="008A6684" w14:paraId="6F835E69" w14:textId="77777777">
        <w:trPr>
          <w:trHeight w:val="90"/>
          <w:jc w:val="center"/>
        </w:trPr>
        <w:tc>
          <w:tcPr>
            <w:tcW w:w="2395" w:type="dxa"/>
            <w:tcBorders>
              <w:top w:val="single" w:sz="12" w:space="0" w:color="auto"/>
              <w:left w:val="single" w:sz="12" w:space="0" w:color="auto"/>
              <w:bottom w:val="single" w:sz="6" w:space="0" w:color="auto"/>
              <w:right w:val="single" w:sz="6" w:space="0" w:color="auto"/>
            </w:tcBorders>
            <w:vAlign w:val="center"/>
          </w:tcPr>
          <w:p w14:paraId="41E16428" w14:textId="77777777" w:rsidR="008A6684" w:rsidRDefault="00E80E40">
            <w:pPr>
              <w:spacing w:line="420" w:lineRule="exact"/>
              <w:jc w:val="center"/>
              <w:rPr>
                <w:b/>
                <w:bCs/>
              </w:rPr>
            </w:pPr>
            <w:r>
              <w:rPr>
                <w:b/>
                <w:bCs/>
              </w:rPr>
              <w:t>投资者关系活动类别</w:t>
            </w:r>
          </w:p>
        </w:tc>
        <w:tc>
          <w:tcPr>
            <w:tcW w:w="6521" w:type="dxa"/>
            <w:tcBorders>
              <w:top w:val="single" w:sz="12" w:space="0" w:color="auto"/>
              <w:left w:val="single" w:sz="6" w:space="0" w:color="auto"/>
              <w:bottom w:val="single" w:sz="6" w:space="0" w:color="auto"/>
              <w:right w:val="single" w:sz="12" w:space="0" w:color="auto"/>
            </w:tcBorders>
            <w:vAlign w:val="center"/>
          </w:tcPr>
          <w:p w14:paraId="526BC647" w14:textId="77777777" w:rsidR="008A6684" w:rsidRDefault="00E80E40">
            <w:pPr>
              <w:spacing w:line="420" w:lineRule="exact"/>
              <w:rPr>
                <w:rFonts w:eastAsia="宋体"/>
              </w:rPr>
            </w:pPr>
            <w:r>
              <w:rPr>
                <w:rFonts w:eastAsia="宋体" w:hint="eastAsia"/>
              </w:rPr>
              <w:sym w:font="Wingdings 2" w:char="00A3"/>
            </w:r>
            <w:r>
              <w:rPr>
                <w:rFonts w:eastAsia="宋体" w:hint="eastAsia"/>
              </w:rPr>
              <w:t xml:space="preserve"> </w:t>
            </w:r>
            <w:r>
              <w:rPr>
                <w:rFonts w:eastAsia="宋体" w:hint="eastAsia"/>
              </w:rPr>
              <w:t>特定对象调研</w:t>
            </w:r>
            <w:r>
              <w:rPr>
                <w:rFonts w:eastAsia="宋体" w:hint="eastAsia"/>
              </w:rPr>
              <w:t xml:space="preserve">        </w:t>
            </w:r>
            <w:r>
              <w:rPr>
                <w:rFonts w:eastAsia="宋体" w:hint="eastAsia"/>
              </w:rPr>
              <w:t>□</w:t>
            </w:r>
            <w:r>
              <w:rPr>
                <w:rFonts w:eastAsia="宋体" w:hint="eastAsia"/>
              </w:rPr>
              <w:t xml:space="preserve"> </w:t>
            </w:r>
            <w:r>
              <w:rPr>
                <w:rFonts w:eastAsia="宋体" w:hint="eastAsia"/>
              </w:rPr>
              <w:t>分析师会议</w:t>
            </w:r>
          </w:p>
          <w:p w14:paraId="4B049B66" w14:textId="77777777" w:rsidR="008A6684" w:rsidRDefault="00E80E40">
            <w:pPr>
              <w:spacing w:line="420" w:lineRule="exact"/>
              <w:rPr>
                <w:rFonts w:eastAsia="宋体"/>
              </w:rPr>
            </w:pPr>
            <w:r>
              <w:rPr>
                <w:rFonts w:eastAsia="宋体" w:hint="eastAsia"/>
              </w:rPr>
              <w:t>□</w:t>
            </w:r>
            <w:r>
              <w:rPr>
                <w:rFonts w:eastAsia="宋体" w:hint="eastAsia"/>
              </w:rPr>
              <w:t xml:space="preserve"> </w:t>
            </w:r>
            <w:r>
              <w:rPr>
                <w:rFonts w:eastAsia="宋体" w:hint="eastAsia"/>
              </w:rPr>
              <w:t>媒体采访</w:t>
            </w:r>
            <w:r>
              <w:rPr>
                <w:rFonts w:eastAsia="宋体" w:hint="eastAsia"/>
              </w:rPr>
              <w:t xml:space="preserve">            </w:t>
            </w:r>
            <w:r>
              <w:rPr>
                <w:rFonts w:eastAsia="宋体" w:hint="eastAsia"/>
              </w:rPr>
              <w:sym w:font="Wingdings 2" w:char="00A3"/>
            </w:r>
            <w:r>
              <w:rPr>
                <w:rFonts w:eastAsia="宋体" w:hint="eastAsia"/>
              </w:rPr>
              <w:t xml:space="preserve"> </w:t>
            </w:r>
            <w:r>
              <w:rPr>
                <w:rFonts w:eastAsia="宋体" w:hint="eastAsia"/>
              </w:rPr>
              <w:t>业绩说明会</w:t>
            </w:r>
          </w:p>
          <w:p w14:paraId="262A2F44" w14:textId="0721020F" w:rsidR="008A6684" w:rsidRDefault="00E80E40">
            <w:pPr>
              <w:spacing w:line="420" w:lineRule="exact"/>
              <w:rPr>
                <w:rFonts w:eastAsia="宋体"/>
              </w:rPr>
            </w:pPr>
            <w:r>
              <w:rPr>
                <w:rFonts w:eastAsia="宋体" w:hint="eastAsia"/>
              </w:rPr>
              <w:t>□</w:t>
            </w:r>
            <w:r>
              <w:rPr>
                <w:rFonts w:eastAsia="宋体" w:hint="eastAsia"/>
              </w:rPr>
              <w:t xml:space="preserve"> </w:t>
            </w:r>
            <w:r>
              <w:rPr>
                <w:rFonts w:eastAsia="宋体" w:hint="eastAsia"/>
              </w:rPr>
              <w:t>新闻发布会</w:t>
            </w:r>
            <w:r>
              <w:rPr>
                <w:rFonts w:eastAsia="宋体" w:hint="eastAsia"/>
              </w:rPr>
              <w:t xml:space="preserve">          </w:t>
            </w:r>
            <w:r w:rsidR="007763E6">
              <w:rPr>
                <w:rFonts w:ascii="Segoe UI Symbol" w:eastAsia="宋体" w:hAnsi="Segoe UI Symbol" w:cs="Segoe UI Symbol"/>
              </w:rPr>
              <w:t>☑</w:t>
            </w:r>
            <w:r>
              <w:rPr>
                <w:rFonts w:eastAsia="宋体" w:hint="eastAsia"/>
              </w:rPr>
              <w:t xml:space="preserve"> </w:t>
            </w:r>
            <w:r>
              <w:rPr>
                <w:rFonts w:eastAsia="宋体" w:hint="eastAsia"/>
              </w:rPr>
              <w:t>路演活动</w:t>
            </w:r>
          </w:p>
          <w:p w14:paraId="63C9EBFF" w14:textId="77777777" w:rsidR="008A6684" w:rsidRDefault="00E80E40">
            <w:pPr>
              <w:tabs>
                <w:tab w:val="center" w:pos="3152"/>
              </w:tabs>
              <w:spacing w:line="420" w:lineRule="exact"/>
              <w:rPr>
                <w:rFonts w:eastAsia="宋体"/>
              </w:rPr>
            </w:pPr>
            <w:r>
              <w:rPr>
                <w:rFonts w:eastAsia="宋体" w:hint="eastAsia"/>
              </w:rPr>
              <w:sym w:font="Wingdings 2" w:char="00A3"/>
            </w:r>
            <w:r>
              <w:rPr>
                <w:rFonts w:eastAsia="宋体" w:hint="eastAsia"/>
              </w:rPr>
              <w:t xml:space="preserve"> </w:t>
            </w:r>
            <w:r>
              <w:rPr>
                <w:rFonts w:eastAsia="宋体" w:hint="eastAsia"/>
              </w:rPr>
              <w:t>现场调研</w:t>
            </w:r>
            <w:r>
              <w:rPr>
                <w:rFonts w:eastAsia="宋体" w:hint="eastAsia"/>
              </w:rPr>
              <w:t xml:space="preserve">            </w:t>
            </w:r>
            <w:r>
              <w:rPr>
                <w:rFonts w:eastAsia="宋体" w:hint="eastAsia"/>
              </w:rPr>
              <w:sym w:font="Wingdings 2" w:char="00A3"/>
            </w:r>
            <w:r>
              <w:rPr>
                <w:rFonts w:eastAsia="宋体" w:hint="eastAsia"/>
              </w:rPr>
              <w:t xml:space="preserve"> </w:t>
            </w:r>
            <w:r>
              <w:rPr>
                <w:rFonts w:eastAsia="宋体" w:hint="eastAsia"/>
              </w:rPr>
              <w:t>电话会议</w:t>
            </w:r>
          </w:p>
          <w:p w14:paraId="0EC9AC45" w14:textId="01ED91D6" w:rsidR="008A6684" w:rsidRDefault="00313EE3">
            <w:pPr>
              <w:spacing w:line="420" w:lineRule="exact"/>
              <w:rPr>
                <w:rFonts w:eastAsia="宋体"/>
              </w:rPr>
            </w:pPr>
            <w:r>
              <w:rPr>
                <w:rFonts w:ascii="Segoe UI Symbol" w:eastAsia="宋体" w:hAnsi="Segoe UI Symbol" w:cs="Segoe UI Symbol"/>
              </w:rPr>
              <w:t>☑</w:t>
            </w:r>
            <w:r>
              <w:rPr>
                <w:rFonts w:eastAsia="宋体" w:hint="eastAsia"/>
              </w:rPr>
              <w:t xml:space="preserve"> </w:t>
            </w:r>
            <w:r>
              <w:rPr>
                <w:rFonts w:eastAsia="宋体" w:hint="eastAsia"/>
              </w:rPr>
              <w:t>其他：券商策略会</w:t>
            </w:r>
          </w:p>
        </w:tc>
      </w:tr>
      <w:tr w:rsidR="008A6684" w14:paraId="4A079B60" w14:textId="77777777">
        <w:trPr>
          <w:trHeight w:val="3120"/>
          <w:jc w:val="center"/>
        </w:trPr>
        <w:tc>
          <w:tcPr>
            <w:tcW w:w="2395" w:type="dxa"/>
            <w:tcBorders>
              <w:top w:val="single" w:sz="6" w:space="0" w:color="auto"/>
              <w:left w:val="single" w:sz="12" w:space="0" w:color="auto"/>
              <w:bottom w:val="single" w:sz="6" w:space="0" w:color="auto"/>
              <w:right w:val="single" w:sz="6" w:space="0" w:color="auto"/>
            </w:tcBorders>
            <w:vAlign w:val="center"/>
          </w:tcPr>
          <w:p w14:paraId="530C3301" w14:textId="77777777" w:rsidR="008A6684" w:rsidRDefault="00E80E40">
            <w:pPr>
              <w:spacing w:line="420" w:lineRule="exact"/>
              <w:jc w:val="center"/>
              <w:rPr>
                <w:b/>
                <w:bCs/>
              </w:rPr>
            </w:pPr>
            <w:r>
              <w:rPr>
                <w:b/>
                <w:bCs/>
              </w:rPr>
              <w:t>参与单位</w:t>
            </w:r>
          </w:p>
        </w:tc>
        <w:tc>
          <w:tcPr>
            <w:tcW w:w="6521" w:type="dxa"/>
            <w:tcBorders>
              <w:top w:val="single" w:sz="6" w:space="0" w:color="auto"/>
              <w:left w:val="single" w:sz="6" w:space="0" w:color="auto"/>
              <w:bottom w:val="single" w:sz="6" w:space="0" w:color="auto"/>
              <w:right w:val="single" w:sz="12" w:space="0" w:color="auto"/>
            </w:tcBorders>
            <w:vAlign w:val="center"/>
          </w:tcPr>
          <w:p w14:paraId="076F6684" w14:textId="616201B6" w:rsidR="008A6684" w:rsidRPr="00FD78A4" w:rsidRDefault="00E80E40" w:rsidP="00332C31">
            <w:pPr>
              <w:spacing w:line="480" w:lineRule="exact"/>
              <w:rPr>
                <w:rFonts w:eastAsia="宋体"/>
              </w:rPr>
            </w:pPr>
            <w:r w:rsidRPr="00FD78A4">
              <w:rPr>
                <w:rFonts w:eastAsia="宋体"/>
              </w:rPr>
              <w:t>尚融资本</w:t>
            </w:r>
            <w:r w:rsidRPr="00FD78A4">
              <w:rPr>
                <w:rFonts w:eastAsia="宋体" w:hint="eastAsia"/>
              </w:rPr>
              <w:t>、</w:t>
            </w:r>
            <w:r w:rsidRPr="00FD78A4">
              <w:rPr>
                <w:rFonts w:eastAsia="宋体"/>
              </w:rPr>
              <w:t>浙江伟星资产</w:t>
            </w:r>
            <w:r w:rsidRPr="00FD78A4">
              <w:rPr>
                <w:rFonts w:eastAsia="宋体" w:hint="eastAsia"/>
              </w:rPr>
              <w:t>、</w:t>
            </w:r>
            <w:r w:rsidRPr="00FD78A4">
              <w:rPr>
                <w:rFonts w:eastAsia="宋体"/>
              </w:rPr>
              <w:t>鞍钢集团资本</w:t>
            </w:r>
            <w:r w:rsidRPr="00FD78A4">
              <w:rPr>
                <w:rFonts w:eastAsia="宋体" w:hint="eastAsia"/>
              </w:rPr>
              <w:t>、</w:t>
            </w:r>
            <w:r w:rsidRPr="00FD78A4">
              <w:rPr>
                <w:rFonts w:eastAsia="宋体"/>
              </w:rPr>
              <w:t>湖北省铁路发展基金</w:t>
            </w:r>
            <w:r w:rsidRPr="00FD78A4">
              <w:rPr>
                <w:rFonts w:eastAsia="宋体" w:hint="eastAsia"/>
              </w:rPr>
              <w:t>、</w:t>
            </w:r>
            <w:r w:rsidRPr="00FD78A4">
              <w:rPr>
                <w:rFonts w:eastAsia="宋体"/>
              </w:rPr>
              <w:t>深圳市前海东华投资</w:t>
            </w:r>
            <w:r w:rsidRPr="00FD78A4">
              <w:rPr>
                <w:rFonts w:eastAsia="宋体" w:hint="eastAsia"/>
              </w:rPr>
              <w:t>、</w:t>
            </w:r>
            <w:r w:rsidRPr="00FD78A4">
              <w:rPr>
                <w:rFonts w:eastAsia="宋体"/>
              </w:rPr>
              <w:t>南昌产</w:t>
            </w:r>
            <w:proofErr w:type="gramStart"/>
            <w:r w:rsidRPr="00FD78A4">
              <w:rPr>
                <w:rFonts w:eastAsia="宋体"/>
              </w:rPr>
              <w:t>投投资</w:t>
            </w:r>
            <w:proofErr w:type="gramEnd"/>
            <w:r w:rsidRPr="00FD78A4">
              <w:rPr>
                <w:rFonts w:eastAsia="宋体"/>
              </w:rPr>
              <w:t>基金</w:t>
            </w:r>
            <w:r w:rsidRPr="00FD78A4">
              <w:rPr>
                <w:rFonts w:eastAsia="宋体" w:hint="eastAsia"/>
              </w:rPr>
              <w:t>、</w:t>
            </w:r>
            <w:r w:rsidRPr="00FD78A4">
              <w:rPr>
                <w:rFonts w:eastAsia="宋体"/>
              </w:rPr>
              <w:t>山东省绿色资本</w:t>
            </w:r>
            <w:r w:rsidRPr="00FD78A4">
              <w:rPr>
                <w:rFonts w:eastAsia="宋体" w:hint="eastAsia"/>
              </w:rPr>
              <w:t>、</w:t>
            </w:r>
            <w:proofErr w:type="gramStart"/>
            <w:r w:rsidRPr="00FD78A4">
              <w:rPr>
                <w:rFonts w:eastAsia="宋体"/>
              </w:rPr>
              <w:t>江西金控投资</w:t>
            </w:r>
            <w:proofErr w:type="gramEnd"/>
            <w:r w:rsidRPr="00FD78A4">
              <w:rPr>
                <w:rFonts w:eastAsia="宋体" w:hint="eastAsia"/>
              </w:rPr>
              <w:t>、</w:t>
            </w:r>
            <w:r w:rsidRPr="00FD78A4">
              <w:rPr>
                <w:rFonts w:eastAsia="宋体"/>
              </w:rPr>
              <w:t>西部证券</w:t>
            </w:r>
            <w:r w:rsidRPr="00FD78A4">
              <w:rPr>
                <w:rFonts w:eastAsia="宋体" w:hint="eastAsia"/>
              </w:rPr>
              <w:t>、</w:t>
            </w:r>
            <w:r w:rsidRPr="00FD78A4">
              <w:rPr>
                <w:rFonts w:eastAsia="宋体"/>
              </w:rPr>
              <w:t>深圳中金</w:t>
            </w:r>
            <w:proofErr w:type="gramStart"/>
            <w:r w:rsidRPr="00FD78A4">
              <w:rPr>
                <w:rFonts w:eastAsia="宋体"/>
              </w:rPr>
              <w:t>岭南金</w:t>
            </w:r>
            <w:proofErr w:type="gramEnd"/>
            <w:r w:rsidRPr="00FD78A4">
              <w:rPr>
                <w:rFonts w:eastAsia="宋体"/>
              </w:rPr>
              <w:t>汇资本</w:t>
            </w:r>
            <w:r w:rsidRPr="00FD78A4">
              <w:rPr>
                <w:rFonts w:eastAsia="宋体" w:hint="eastAsia"/>
              </w:rPr>
              <w:t>、</w:t>
            </w:r>
            <w:proofErr w:type="gramStart"/>
            <w:r w:rsidRPr="00FD78A4">
              <w:rPr>
                <w:rFonts w:eastAsia="宋体"/>
              </w:rPr>
              <w:t>黑龙江辰能资本</w:t>
            </w:r>
            <w:proofErr w:type="gramEnd"/>
            <w:r w:rsidRPr="00FD78A4">
              <w:rPr>
                <w:rFonts w:eastAsia="宋体" w:hint="eastAsia"/>
              </w:rPr>
              <w:t>、</w:t>
            </w:r>
            <w:r w:rsidRPr="00FD78A4">
              <w:rPr>
                <w:rFonts w:eastAsia="宋体"/>
              </w:rPr>
              <w:t>广州开投智</w:t>
            </w:r>
            <w:proofErr w:type="gramStart"/>
            <w:r w:rsidRPr="00FD78A4">
              <w:rPr>
                <w:rFonts w:eastAsia="宋体"/>
              </w:rPr>
              <w:t>造产业</w:t>
            </w:r>
            <w:proofErr w:type="gramEnd"/>
            <w:r w:rsidRPr="00FD78A4">
              <w:rPr>
                <w:rFonts w:eastAsia="宋体"/>
              </w:rPr>
              <w:t>投资</w:t>
            </w:r>
            <w:r w:rsidRPr="00FD78A4">
              <w:rPr>
                <w:rFonts w:eastAsia="宋体" w:hint="eastAsia"/>
              </w:rPr>
              <w:t>、</w:t>
            </w:r>
            <w:r w:rsidRPr="00FD78A4">
              <w:rPr>
                <w:rFonts w:eastAsia="宋体"/>
              </w:rPr>
              <w:t>第一创业证券</w:t>
            </w:r>
            <w:r w:rsidRPr="00FD78A4">
              <w:rPr>
                <w:rFonts w:eastAsia="宋体" w:hint="eastAsia"/>
              </w:rPr>
              <w:t>、</w:t>
            </w:r>
            <w:proofErr w:type="gramStart"/>
            <w:r w:rsidRPr="00FD78A4">
              <w:rPr>
                <w:rFonts w:eastAsia="宋体"/>
              </w:rPr>
              <w:t>华西银</w:t>
            </w:r>
            <w:proofErr w:type="gramEnd"/>
            <w:r w:rsidRPr="00FD78A4">
              <w:rPr>
                <w:rFonts w:eastAsia="宋体"/>
              </w:rPr>
              <w:t>峰投资</w:t>
            </w:r>
            <w:r w:rsidRPr="00FD78A4">
              <w:rPr>
                <w:rFonts w:eastAsia="宋体" w:hint="eastAsia"/>
              </w:rPr>
              <w:t>、</w:t>
            </w:r>
            <w:r w:rsidRPr="00FD78A4">
              <w:rPr>
                <w:rFonts w:eastAsia="宋体"/>
              </w:rPr>
              <w:t>财信证券</w:t>
            </w:r>
            <w:r w:rsidRPr="00FD78A4">
              <w:rPr>
                <w:rFonts w:eastAsia="宋体" w:hint="eastAsia"/>
              </w:rPr>
              <w:t>、</w:t>
            </w:r>
            <w:r w:rsidRPr="00FD78A4">
              <w:rPr>
                <w:rFonts w:eastAsia="宋体"/>
              </w:rPr>
              <w:t>深圳市达</w:t>
            </w:r>
            <w:proofErr w:type="gramStart"/>
            <w:r w:rsidRPr="00FD78A4">
              <w:rPr>
                <w:rFonts w:eastAsia="宋体"/>
              </w:rPr>
              <w:t>晨财智创业</w:t>
            </w:r>
            <w:proofErr w:type="gramEnd"/>
            <w:r w:rsidRPr="00FD78A4">
              <w:rPr>
                <w:rFonts w:eastAsia="宋体"/>
              </w:rPr>
              <w:t>投资</w:t>
            </w:r>
            <w:r w:rsidRPr="00FD78A4">
              <w:rPr>
                <w:rFonts w:eastAsia="宋体" w:hint="eastAsia"/>
              </w:rPr>
              <w:t>、</w:t>
            </w:r>
            <w:r w:rsidRPr="00FD78A4">
              <w:rPr>
                <w:rFonts w:eastAsia="宋体"/>
              </w:rPr>
              <w:t>深圳望</w:t>
            </w:r>
            <w:proofErr w:type="gramStart"/>
            <w:r w:rsidRPr="00FD78A4">
              <w:rPr>
                <w:rFonts w:eastAsia="宋体"/>
              </w:rPr>
              <w:t>睿</w:t>
            </w:r>
            <w:proofErr w:type="gramEnd"/>
            <w:r w:rsidRPr="00FD78A4">
              <w:rPr>
                <w:rFonts w:eastAsia="宋体"/>
              </w:rPr>
              <w:t>私募创业投资基金</w:t>
            </w:r>
            <w:r w:rsidRPr="00FD78A4">
              <w:rPr>
                <w:rFonts w:eastAsia="宋体" w:hint="eastAsia"/>
              </w:rPr>
              <w:t>、</w:t>
            </w:r>
            <w:r w:rsidRPr="00FD78A4">
              <w:rPr>
                <w:rFonts w:eastAsia="宋体"/>
              </w:rPr>
              <w:t>上海</w:t>
            </w:r>
            <w:proofErr w:type="gramStart"/>
            <w:r w:rsidRPr="00FD78A4">
              <w:rPr>
                <w:rFonts w:eastAsia="宋体"/>
              </w:rPr>
              <w:t>虢</w:t>
            </w:r>
            <w:proofErr w:type="gramEnd"/>
            <w:r w:rsidRPr="00FD78A4">
              <w:rPr>
                <w:rFonts w:eastAsia="宋体"/>
              </w:rPr>
              <w:t>盛私募基金</w:t>
            </w:r>
            <w:r w:rsidRPr="00FD78A4">
              <w:rPr>
                <w:rFonts w:eastAsia="宋体" w:hint="eastAsia"/>
              </w:rPr>
              <w:t>、</w:t>
            </w:r>
            <w:r w:rsidRPr="00FD78A4">
              <w:rPr>
                <w:rFonts w:eastAsia="宋体"/>
              </w:rPr>
              <w:t>深圳市中</w:t>
            </w:r>
            <w:proofErr w:type="gramStart"/>
            <w:r w:rsidRPr="00FD78A4">
              <w:rPr>
                <w:rFonts w:eastAsia="宋体"/>
              </w:rPr>
              <w:t>科蓝讯</w:t>
            </w:r>
            <w:proofErr w:type="gramEnd"/>
            <w:r w:rsidRPr="00FD78A4">
              <w:rPr>
                <w:rFonts w:eastAsia="宋体"/>
              </w:rPr>
              <w:t>科技</w:t>
            </w:r>
            <w:r w:rsidR="00AD7E29" w:rsidRPr="00FD78A4">
              <w:rPr>
                <w:rFonts w:eastAsia="宋体" w:hint="eastAsia"/>
              </w:rPr>
              <w:t>、红土创业、</w:t>
            </w:r>
            <w:proofErr w:type="gramStart"/>
            <w:r w:rsidR="00AD7E29" w:rsidRPr="00FD78A4">
              <w:rPr>
                <w:rFonts w:eastAsia="宋体"/>
              </w:rPr>
              <w:t>国投瑞银</w:t>
            </w:r>
            <w:proofErr w:type="gramEnd"/>
            <w:r w:rsidR="00AD7E29" w:rsidRPr="00FD78A4">
              <w:rPr>
                <w:rFonts w:eastAsia="宋体" w:hint="eastAsia"/>
              </w:rPr>
              <w:t>、</w:t>
            </w:r>
            <w:proofErr w:type="gramStart"/>
            <w:r w:rsidR="00313EE3" w:rsidRPr="00FD78A4">
              <w:rPr>
                <w:rFonts w:eastAsia="宋体"/>
              </w:rPr>
              <w:t>恒毅持盈</w:t>
            </w:r>
            <w:proofErr w:type="gramEnd"/>
            <w:r w:rsidR="00313EE3" w:rsidRPr="00FD78A4">
              <w:rPr>
                <w:rFonts w:eastAsia="宋体"/>
              </w:rPr>
              <w:t>（深圳）私募、</w:t>
            </w:r>
            <w:proofErr w:type="gramStart"/>
            <w:r w:rsidR="00313EE3" w:rsidRPr="00FD78A4">
              <w:rPr>
                <w:rFonts w:eastAsia="宋体"/>
              </w:rPr>
              <w:t>信达澳亚基</w:t>
            </w:r>
            <w:proofErr w:type="gramEnd"/>
            <w:r w:rsidR="00313EE3" w:rsidRPr="00FD78A4">
              <w:rPr>
                <w:rFonts w:eastAsia="宋体"/>
              </w:rPr>
              <w:t>金、深圳</w:t>
            </w:r>
            <w:proofErr w:type="gramStart"/>
            <w:r w:rsidR="00313EE3" w:rsidRPr="00FD78A4">
              <w:rPr>
                <w:rFonts w:eastAsia="宋体"/>
              </w:rPr>
              <w:t>国源信达</w:t>
            </w:r>
            <w:proofErr w:type="gramEnd"/>
            <w:r w:rsidR="00313EE3" w:rsidRPr="00FD78A4">
              <w:rPr>
                <w:rFonts w:eastAsia="宋体"/>
              </w:rPr>
              <w:t>资本、申万宏源、万和证券、恒生前海基金、上海宝弘景资产、惠升基金、深圳前海佳</w:t>
            </w:r>
            <w:proofErr w:type="gramStart"/>
            <w:r w:rsidR="00313EE3" w:rsidRPr="00FD78A4">
              <w:rPr>
                <w:rFonts w:eastAsia="宋体"/>
              </w:rPr>
              <w:t>世</w:t>
            </w:r>
            <w:proofErr w:type="gramEnd"/>
            <w:r w:rsidR="00313EE3" w:rsidRPr="00FD78A4">
              <w:rPr>
                <w:rFonts w:eastAsia="宋体"/>
              </w:rPr>
              <w:t>财富、广发证券、</w:t>
            </w:r>
            <w:r w:rsidR="00313EE3" w:rsidRPr="00FD78A4">
              <w:rPr>
                <w:rFonts w:eastAsia="宋体"/>
              </w:rPr>
              <w:t>Point72</w:t>
            </w:r>
            <w:r w:rsidR="00313EE3" w:rsidRPr="00FD78A4">
              <w:rPr>
                <w:rFonts w:eastAsia="宋体"/>
              </w:rPr>
              <w:t>、长盛基金、长城基金、</w:t>
            </w:r>
            <w:proofErr w:type="spellStart"/>
            <w:r w:rsidR="00313EE3" w:rsidRPr="00FD78A4">
              <w:rPr>
                <w:rFonts w:eastAsia="宋体"/>
              </w:rPr>
              <w:t>Oberweis</w:t>
            </w:r>
            <w:proofErr w:type="spellEnd"/>
            <w:r w:rsidR="00313EE3" w:rsidRPr="00FD78A4">
              <w:rPr>
                <w:rFonts w:eastAsia="宋体"/>
              </w:rPr>
              <w:t xml:space="preserve"> Asset Management Inc</w:t>
            </w:r>
            <w:r w:rsidR="00313EE3" w:rsidRPr="00FD78A4">
              <w:rPr>
                <w:rFonts w:eastAsia="宋体"/>
              </w:rPr>
              <w:t>、</w:t>
            </w:r>
            <w:proofErr w:type="gramStart"/>
            <w:r w:rsidR="00313EE3" w:rsidRPr="00FD78A4">
              <w:rPr>
                <w:rFonts w:eastAsia="宋体"/>
              </w:rPr>
              <w:t>创金合</w:t>
            </w:r>
            <w:proofErr w:type="gramEnd"/>
            <w:r w:rsidR="00313EE3" w:rsidRPr="00FD78A4">
              <w:rPr>
                <w:rFonts w:eastAsia="宋体"/>
              </w:rPr>
              <w:t>信、深圳市嘉亿资产、</w:t>
            </w:r>
            <w:proofErr w:type="gramStart"/>
            <w:r w:rsidR="00313EE3" w:rsidRPr="00FD78A4">
              <w:rPr>
                <w:rFonts w:eastAsia="宋体"/>
              </w:rPr>
              <w:t>远东宏</w:t>
            </w:r>
            <w:proofErr w:type="gramEnd"/>
            <w:r w:rsidR="00313EE3" w:rsidRPr="00FD78A4">
              <w:rPr>
                <w:rFonts w:eastAsia="宋体"/>
              </w:rPr>
              <w:t>信、前海开源资产、金圆资本管理、深圳市港垚实业、</w:t>
            </w:r>
            <w:proofErr w:type="gramStart"/>
            <w:r w:rsidR="00313EE3" w:rsidRPr="00FD78A4">
              <w:rPr>
                <w:rFonts w:eastAsia="宋体"/>
              </w:rPr>
              <w:t>百嘉基金</w:t>
            </w:r>
            <w:proofErr w:type="gramEnd"/>
            <w:r w:rsidR="00313EE3" w:rsidRPr="00FD78A4">
              <w:rPr>
                <w:rFonts w:eastAsia="宋体"/>
              </w:rPr>
              <w:t>、顶石资本、深圳市高新投集团、长青藤资产、天演论（深圳）投资、越</w:t>
            </w:r>
            <w:proofErr w:type="gramStart"/>
            <w:r w:rsidR="00313EE3" w:rsidRPr="00FD78A4">
              <w:rPr>
                <w:rFonts w:eastAsia="宋体"/>
              </w:rPr>
              <w:t>秀产业</w:t>
            </w:r>
            <w:proofErr w:type="gramEnd"/>
            <w:r w:rsidR="00313EE3" w:rsidRPr="00FD78A4">
              <w:rPr>
                <w:rFonts w:eastAsia="宋体"/>
              </w:rPr>
              <w:t>基金、前海宝创投资、国信证券、龙</w:t>
            </w:r>
            <w:proofErr w:type="gramStart"/>
            <w:r w:rsidR="00313EE3" w:rsidRPr="00FD78A4">
              <w:rPr>
                <w:rFonts w:eastAsia="宋体"/>
              </w:rPr>
              <w:t>蟠</w:t>
            </w:r>
            <w:proofErr w:type="gramEnd"/>
            <w:r w:rsidR="00313EE3" w:rsidRPr="00FD78A4">
              <w:rPr>
                <w:rFonts w:eastAsia="宋体"/>
              </w:rPr>
              <w:t>科技、</w:t>
            </w:r>
            <w:proofErr w:type="gramStart"/>
            <w:r w:rsidR="00313EE3" w:rsidRPr="00FD78A4">
              <w:rPr>
                <w:rFonts w:eastAsia="宋体"/>
              </w:rPr>
              <w:t>上海中域投资</w:t>
            </w:r>
            <w:proofErr w:type="gramEnd"/>
            <w:r w:rsidR="00313EE3" w:rsidRPr="00FD78A4">
              <w:rPr>
                <w:rFonts w:eastAsia="宋体"/>
              </w:rPr>
              <w:t>、</w:t>
            </w:r>
            <w:proofErr w:type="gramStart"/>
            <w:r w:rsidR="00313EE3" w:rsidRPr="00FD78A4">
              <w:rPr>
                <w:rFonts w:eastAsia="宋体"/>
              </w:rPr>
              <w:t>源乘投资</w:t>
            </w:r>
            <w:proofErr w:type="gramEnd"/>
            <w:r w:rsidR="00313EE3" w:rsidRPr="00FD78A4">
              <w:rPr>
                <w:rFonts w:eastAsia="宋体"/>
              </w:rPr>
              <w:t>、善思投资、淳厚基金、国新投资、永安国富资产、</w:t>
            </w:r>
            <w:proofErr w:type="gramStart"/>
            <w:r w:rsidR="00313EE3" w:rsidRPr="00FD78A4">
              <w:rPr>
                <w:rFonts w:eastAsia="宋体"/>
              </w:rPr>
              <w:t>江西潮望投资</w:t>
            </w:r>
            <w:proofErr w:type="gramEnd"/>
            <w:r w:rsidR="00313EE3" w:rsidRPr="00FD78A4">
              <w:rPr>
                <w:rFonts w:eastAsia="宋体"/>
              </w:rPr>
              <w:t>、上海</w:t>
            </w:r>
            <w:proofErr w:type="gramStart"/>
            <w:r w:rsidR="00313EE3" w:rsidRPr="00FD78A4">
              <w:rPr>
                <w:rFonts w:eastAsia="宋体"/>
              </w:rPr>
              <w:t>淳</w:t>
            </w:r>
            <w:proofErr w:type="gramEnd"/>
            <w:r w:rsidR="00313EE3" w:rsidRPr="00FD78A4">
              <w:rPr>
                <w:rFonts w:eastAsia="宋体"/>
              </w:rPr>
              <w:t>阳私募基金</w:t>
            </w:r>
          </w:p>
        </w:tc>
      </w:tr>
      <w:tr w:rsidR="008A6684" w14:paraId="49D9A368" w14:textId="77777777">
        <w:trPr>
          <w:trHeight w:val="580"/>
          <w:jc w:val="center"/>
        </w:trPr>
        <w:tc>
          <w:tcPr>
            <w:tcW w:w="2395" w:type="dxa"/>
            <w:tcBorders>
              <w:top w:val="single" w:sz="6" w:space="0" w:color="auto"/>
              <w:left w:val="single" w:sz="12" w:space="0" w:color="auto"/>
              <w:bottom w:val="single" w:sz="6" w:space="0" w:color="auto"/>
              <w:right w:val="single" w:sz="6" w:space="0" w:color="auto"/>
            </w:tcBorders>
            <w:vAlign w:val="center"/>
          </w:tcPr>
          <w:p w14:paraId="5E362AC9" w14:textId="77777777" w:rsidR="008A6684" w:rsidRDefault="00E80E40">
            <w:pPr>
              <w:spacing w:line="420" w:lineRule="exact"/>
              <w:jc w:val="center"/>
              <w:rPr>
                <w:rFonts w:eastAsia="宋体"/>
                <w:b/>
                <w:bCs/>
              </w:rPr>
            </w:pPr>
            <w:r>
              <w:rPr>
                <w:rFonts w:eastAsia="宋体" w:hint="eastAsia"/>
                <w:b/>
                <w:bCs/>
              </w:rPr>
              <w:t>时间</w:t>
            </w:r>
          </w:p>
        </w:tc>
        <w:tc>
          <w:tcPr>
            <w:tcW w:w="6521" w:type="dxa"/>
            <w:tcBorders>
              <w:top w:val="single" w:sz="6" w:space="0" w:color="auto"/>
              <w:left w:val="single" w:sz="6" w:space="0" w:color="auto"/>
              <w:bottom w:val="single" w:sz="6" w:space="0" w:color="auto"/>
              <w:right w:val="single" w:sz="12" w:space="0" w:color="auto"/>
            </w:tcBorders>
            <w:vAlign w:val="center"/>
          </w:tcPr>
          <w:p w14:paraId="2B3EA2F6" w14:textId="1C8A7A40" w:rsidR="008A6684" w:rsidRDefault="00E80E40">
            <w:pPr>
              <w:spacing w:line="420" w:lineRule="exact"/>
              <w:rPr>
                <w:rFonts w:eastAsia="宋体"/>
              </w:rPr>
            </w:pPr>
            <w:r>
              <w:rPr>
                <w:rFonts w:eastAsia="宋体" w:hint="eastAsia"/>
              </w:rPr>
              <w:t>2026</w:t>
            </w:r>
            <w:r>
              <w:rPr>
                <w:rFonts w:eastAsia="宋体" w:hint="eastAsia"/>
              </w:rPr>
              <w:t>年</w:t>
            </w:r>
            <w:r>
              <w:rPr>
                <w:rFonts w:eastAsia="宋体" w:hint="eastAsia"/>
              </w:rPr>
              <w:t>6</w:t>
            </w:r>
            <w:r>
              <w:rPr>
                <w:rFonts w:eastAsia="宋体" w:hint="eastAsia"/>
              </w:rPr>
              <w:t>月</w:t>
            </w:r>
            <w:r>
              <w:rPr>
                <w:rFonts w:eastAsia="宋体" w:hint="eastAsia"/>
              </w:rPr>
              <w:t>10</w:t>
            </w:r>
            <w:r>
              <w:rPr>
                <w:rFonts w:eastAsia="宋体" w:hint="eastAsia"/>
              </w:rPr>
              <w:t>日</w:t>
            </w:r>
            <w:r w:rsidR="00AD7E29">
              <w:rPr>
                <w:rFonts w:eastAsia="宋体" w:hint="eastAsia"/>
              </w:rPr>
              <w:t>-6</w:t>
            </w:r>
            <w:r w:rsidR="00AD7E29">
              <w:rPr>
                <w:rFonts w:eastAsia="宋体" w:hint="eastAsia"/>
              </w:rPr>
              <w:t>月</w:t>
            </w:r>
            <w:r w:rsidR="00AD7E29">
              <w:rPr>
                <w:rFonts w:eastAsia="宋体" w:hint="eastAsia"/>
              </w:rPr>
              <w:t>11</w:t>
            </w:r>
            <w:r w:rsidR="00AD7E29">
              <w:rPr>
                <w:rFonts w:eastAsia="宋体" w:hint="eastAsia"/>
              </w:rPr>
              <w:t>日</w:t>
            </w:r>
          </w:p>
        </w:tc>
      </w:tr>
      <w:tr w:rsidR="008A6684" w14:paraId="32470E57" w14:textId="77777777">
        <w:trPr>
          <w:trHeight w:val="720"/>
          <w:jc w:val="center"/>
        </w:trPr>
        <w:tc>
          <w:tcPr>
            <w:tcW w:w="2395" w:type="dxa"/>
            <w:tcBorders>
              <w:top w:val="single" w:sz="6" w:space="0" w:color="auto"/>
              <w:left w:val="single" w:sz="12" w:space="0" w:color="auto"/>
              <w:bottom w:val="single" w:sz="6" w:space="0" w:color="auto"/>
              <w:right w:val="single" w:sz="6" w:space="0" w:color="auto"/>
            </w:tcBorders>
            <w:vAlign w:val="center"/>
          </w:tcPr>
          <w:p w14:paraId="79B9D202" w14:textId="77777777" w:rsidR="008A6684" w:rsidRDefault="00E80E40">
            <w:pPr>
              <w:spacing w:line="420" w:lineRule="exact"/>
              <w:jc w:val="center"/>
              <w:rPr>
                <w:rFonts w:eastAsia="宋体"/>
                <w:b/>
                <w:bCs/>
              </w:rPr>
            </w:pPr>
            <w:r>
              <w:rPr>
                <w:rFonts w:eastAsia="宋体" w:hint="eastAsia"/>
                <w:b/>
                <w:bCs/>
              </w:rPr>
              <w:t>地点</w:t>
            </w:r>
          </w:p>
        </w:tc>
        <w:tc>
          <w:tcPr>
            <w:tcW w:w="6521" w:type="dxa"/>
            <w:tcBorders>
              <w:top w:val="single" w:sz="6" w:space="0" w:color="auto"/>
              <w:left w:val="single" w:sz="6" w:space="0" w:color="auto"/>
              <w:bottom w:val="single" w:sz="6" w:space="0" w:color="auto"/>
              <w:right w:val="single" w:sz="12" w:space="0" w:color="auto"/>
            </w:tcBorders>
            <w:vAlign w:val="center"/>
          </w:tcPr>
          <w:p w14:paraId="1AC85D4E" w14:textId="7782CC1A" w:rsidR="008A6684" w:rsidRDefault="00E80E40">
            <w:pPr>
              <w:spacing w:line="420" w:lineRule="exact"/>
              <w:jc w:val="left"/>
              <w:rPr>
                <w:rFonts w:eastAsia="宋体"/>
              </w:rPr>
            </w:pPr>
            <w:r>
              <w:rPr>
                <w:rFonts w:eastAsia="宋体" w:hint="eastAsia"/>
              </w:rPr>
              <w:t>公司会议室</w:t>
            </w:r>
            <w:r w:rsidR="00AF56EB">
              <w:rPr>
                <w:rFonts w:eastAsia="宋体" w:hint="eastAsia"/>
              </w:rPr>
              <w:t>、</w:t>
            </w:r>
            <w:r w:rsidR="00FC5A62">
              <w:rPr>
                <w:rFonts w:eastAsia="宋体" w:hint="eastAsia"/>
              </w:rPr>
              <w:t>深圳东海朗廷酒店</w:t>
            </w:r>
          </w:p>
        </w:tc>
      </w:tr>
      <w:tr w:rsidR="008A6684" w14:paraId="13218405" w14:textId="77777777">
        <w:trPr>
          <w:trHeight w:val="1538"/>
          <w:jc w:val="center"/>
        </w:trPr>
        <w:tc>
          <w:tcPr>
            <w:tcW w:w="2395" w:type="dxa"/>
            <w:tcBorders>
              <w:top w:val="single" w:sz="6" w:space="0" w:color="auto"/>
              <w:left w:val="single" w:sz="12" w:space="0" w:color="auto"/>
              <w:bottom w:val="single" w:sz="6" w:space="0" w:color="auto"/>
              <w:right w:val="single" w:sz="6" w:space="0" w:color="auto"/>
            </w:tcBorders>
            <w:vAlign w:val="center"/>
          </w:tcPr>
          <w:p w14:paraId="13664D93" w14:textId="77777777" w:rsidR="008A6684" w:rsidRDefault="00E80E40">
            <w:pPr>
              <w:spacing w:line="420" w:lineRule="exact"/>
              <w:jc w:val="center"/>
              <w:rPr>
                <w:rFonts w:eastAsia="宋体"/>
                <w:b/>
                <w:bCs/>
              </w:rPr>
            </w:pPr>
            <w:r>
              <w:rPr>
                <w:rFonts w:eastAsia="宋体" w:hint="eastAsia"/>
                <w:b/>
                <w:bCs/>
              </w:rPr>
              <w:lastRenderedPageBreak/>
              <w:t>接待人员姓名</w:t>
            </w:r>
          </w:p>
        </w:tc>
        <w:tc>
          <w:tcPr>
            <w:tcW w:w="6521" w:type="dxa"/>
            <w:tcBorders>
              <w:top w:val="single" w:sz="6" w:space="0" w:color="auto"/>
              <w:left w:val="single" w:sz="6" w:space="0" w:color="auto"/>
              <w:bottom w:val="single" w:sz="6" w:space="0" w:color="auto"/>
              <w:right w:val="single" w:sz="12" w:space="0" w:color="auto"/>
            </w:tcBorders>
            <w:vAlign w:val="center"/>
          </w:tcPr>
          <w:p w14:paraId="5ACD2433" w14:textId="646D77B6" w:rsidR="008A6684" w:rsidRDefault="00E80E40">
            <w:pPr>
              <w:widowControl/>
              <w:jc w:val="left"/>
              <w:rPr>
                <w:rFonts w:eastAsia="宋体" w:cs="宋体" w:hint="eastAsia"/>
                <w:color w:val="000000"/>
                <w:kern w:val="0"/>
                <w:lang w:bidi="ar"/>
              </w:rPr>
            </w:pPr>
            <w:r>
              <w:rPr>
                <w:rFonts w:eastAsia="宋体" w:cs="宋体" w:hint="eastAsia"/>
                <w:color w:val="000000"/>
                <w:kern w:val="0"/>
                <w:lang w:bidi="ar"/>
              </w:rPr>
              <w:t>董事会秘书：彭娟</w:t>
            </w:r>
          </w:p>
        </w:tc>
      </w:tr>
      <w:tr w:rsidR="008A6684" w14:paraId="13A6422F" w14:textId="77777777">
        <w:trPr>
          <w:trHeight w:val="657"/>
          <w:jc w:val="center"/>
        </w:trPr>
        <w:tc>
          <w:tcPr>
            <w:tcW w:w="2395" w:type="dxa"/>
            <w:tcBorders>
              <w:top w:val="single" w:sz="6" w:space="0" w:color="auto"/>
              <w:left w:val="single" w:sz="12" w:space="0" w:color="auto"/>
              <w:bottom w:val="single" w:sz="6" w:space="0" w:color="auto"/>
              <w:right w:val="single" w:sz="6" w:space="0" w:color="auto"/>
            </w:tcBorders>
            <w:vAlign w:val="center"/>
          </w:tcPr>
          <w:p w14:paraId="4C6FB4BE" w14:textId="77777777" w:rsidR="008A6684" w:rsidRDefault="00E80E40">
            <w:pPr>
              <w:spacing w:line="360" w:lineRule="auto"/>
              <w:jc w:val="center"/>
              <w:rPr>
                <w:rFonts w:eastAsia="宋体"/>
                <w:b/>
                <w:bCs/>
              </w:rPr>
            </w:pPr>
            <w:r>
              <w:rPr>
                <w:rFonts w:eastAsia="宋体" w:hint="eastAsia"/>
                <w:b/>
                <w:bCs/>
              </w:rPr>
              <w:t>投资者关系活动主要内容介绍</w:t>
            </w:r>
          </w:p>
        </w:tc>
        <w:tc>
          <w:tcPr>
            <w:tcW w:w="6521" w:type="dxa"/>
            <w:tcBorders>
              <w:top w:val="single" w:sz="6" w:space="0" w:color="auto"/>
              <w:left w:val="single" w:sz="6" w:space="0" w:color="auto"/>
              <w:bottom w:val="single" w:sz="6" w:space="0" w:color="auto"/>
              <w:right w:val="single" w:sz="12" w:space="0" w:color="auto"/>
            </w:tcBorders>
            <w:vAlign w:val="center"/>
          </w:tcPr>
          <w:p w14:paraId="5F608C91" w14:textId="77777777" w:rsidR="008A6684" w:rsidRPr="00FD78A4" w:rsidRDefault="00E80E40" w:rsidP="00332C31">
            <w:pPr>
              <w:pStyle w:val="a"/>
              <w:spacing w:line="480" w:lineRule="exact"/>
              <w:ind w:left="0"/>
            </w:pPr>
            <w:r w:rsidRPr="00FD78A4">
              <w:rPr>
                <w:rFonts w:hint="eastAsia"/>
              </w:rPr>
              <w:t xml:space="preserve">    </w:t>
            </w:r>
            <w:r w:rsidRPr="00FD78A4">
              <w:rPr>
                <w:rFonts w:hint="eastAsia"/>
              </w:rPr>
              <w:t>一、请公司介绍半导体测试领域当前</w:t>
            </w:r>
            <w:r w:rsidRPr="00FD78A4">
              <w:t>发展趋势</w:t>
            </w:r>
            <w:r w:rsidRPr="00FD78A4">
              <w:rPr>
                <w:rFonts w:hint="eastAsia"/>
              </w:rPr>
              <w:t>？</w:t>
            </w:r>
          </w:p>
          <w:p w14:paraId="69E757DC" w14:textId="726B2C29" w:rsidR="008A6684" w:rsidRPr="00FD78A4" w:rsidRDefault="00E80E40" w:rsidP="00332C31">
            <w:pPr>
              <w:spacing w:line="480" w:lineRule="exact"/>
              <w:ind w:firstLineChars="200" w:firstLine="480"/>
            </w:pPr>
            <w:r w:rsidRPr="00FD78A4">
              <w:t>当前半导体产业正经历深刻变革，人工智能、高带宽存储芯片等新兴领域推动</w:t>
            </w:r>
            <w:r w:rsidRPr="00FD78A4">
              <w:t>2.5D/3D</w:t>
            </w:r>
            <w:r w:rsidRPr="00FD78A4">
              <w:t>封装、</w:t>
            </w:r>
            <w:proofErr w:type="spellStart"/>
            <w:r w:rsidRPr="00FD78A4">
              <w:t>Chiplet</w:t>
            </w:r>
            <w:proofErr w:type="spellEnd"/>
            <w:r w:rsidRPr="00FD78A4">
              <w:t>等先进封装技术的快速发展，芯片内部结构日趋复杂，性能水平持续提升，相应对半导体测试设备的技术水平提出更高要求。目前，作为</w:t>
            </w:r>
            <w:r w:rsidRPr="00FD78A4">
              <w:t>AI</w:t>
            </w:r>
            <w:r w:rsidRPr="00FD78A4">
              <w:t>和</w:t>
            </w:r>
            <w:r w:rsidRPr="00FD78A4">
              <w:t>HPC</w:t>
            </w:r>
            <w:r w:rsidRPr="00FD78A4">
              <w:t>芯片中关键部分的</w:t>
            </w:r>
            <w:r w:rsidRPr="00FD78A4">
              <w:t>HBM</w:t>
            </w:r>
            <w:r w:rsidRPr="00FD78A4">
              <w:t>的测试逻辑已发生根本性变化。由于</w:t>
            </w:r>
            <w:r w:rsidRPr="00FD78A4">
              <w:t>HBM</w:t>
            </w:r>
            <w:r w:rsidRPr="00FD78A4">
              <w:t>堆叠层数高且与</w:t>
            </w:r>
            <w:r w:rsidRPr="00FD78A4">
              <w:t>GPU</w:t>
            </w:r>
            <w:r w:rsidRPr="00FD78A4">
              <w:t>深度绑定，测试模式已从传统的</w:t>
            </w:r>
            <w:r w:rsidRPr="00FD78A4">
              <w:t>“</w:t>
            </w:r>
            <w:r w:rsidRPr="00FD78A4">
              <w:t>抽样测试</w:t>
            </w:r>
            <w:r w:rsidRPr="00FD78A4">
              <w:t>”</w:t>
            </w:r>
            <w:r w:rsidRPr="00FD78A4">
              <w:t>转向</w:t>
            </w:r>
            <w:r w:rsidRPr="00FD78A4">
              <w:t>“</w:t>
            </w:r>
            <w:r w:rsidRPr="00FD78A4">
              <w:t>全深度测试</w:t>
            </w:r>
            <w:r w:rsidRPr="00FD78A4">
              <w:t>”</w:t>
            </w:r>
            <w:r w:rsidRPr="00FD78A4">
              <w:t>，这导致测试时间大幅延长，从而推高了测试设备的需求量。</w:t>
            </w:r>
            <w:r w:rsidRPr="00FD78A4">
              <w:t>HBM</w:t>
            </w:r>
            <w:r w:rsidRPr="00FD78A4">
              <w:t>的复杂性和高价值属性使得存储测试设备需求呈现出技术升级和测试密度提升所带来的结构性增长机会。为了更好满足客户对高端半导体测试设备日益增长的市场需求，公司需要持续提升高端半导体测试设备</w:t>
            </w:r>
            <w:r w:rsidRPr="00FD78A4">
              <w:t>的产业化能力，进一步提升</w:t>
            </w:r>
            <w:r w:rsidR="0004255E" w:rsidRPr="00FD78A4">
              <w:rPr>
                <w:rFonts w:hint="eastAsia"/>
              </w:rPr>
              <w:t>“</w:t>
            </w:r>
            <w:r w:rsidRPr="00FD78A4">
              <w:t>设备平台</w:t>
            </w:r>
            <w:r w:rsidRPr="00FD78A4">
              <w:t>+</w:t>
            </w:r>
            <w:r w:rsidRPr="00FD78A4">
              <w:t>解决方案</w:t>
            </w:r>
            <w:r w:rsidR="0004255E" w:rsidRPr="00FD78A4">
              <w:rPr>
                <w:rFonts w:hint="eastAsia"/>
              </w:rPr>
              <w:t>”</w:t>
            </w:r>
            <w:r w:rsidRPr="00FD78A4">
              <w:t>的综合服务能力，巩固并提升公司在半导体测试设备领域的竞争力。</w:t>
            </w:r>
          </w:p>
          <w:p w14:paraId="3F97662D" w14:textId="77777777" w:rsidR="008A6684" w:rsidRPr="00FD78A4" w:rsidRDefault="008A6684" w:rsidP="00332C31">
            <w:pPr>
              <w:spacing w:line="480" w:lineRule="exact"/>
            </w:pPr>
          </w:p>
          <w:p w14:paraId="37FFD7B3" w14:textId="74D709EC" w:rsidR="008A6684" w:rsidRPr="00FD78A4" w:rsidRDefault="00E80E40" w:rsidP="00332C31">
            <w:pPr>
              <w:pStyle w:val="a"/>
              <w:spacing w:line="480" w:lineRule="exact"/>
              <w:ind w:left="0"/>
            </w:pPr>
            <w:r w:rsidRPr="00FD78A4">
              <w:rPr>
                <w:rFonts w:hint="eastAsia"/>
              </w:rPr>
              <w:t xml:space="preserve">    </w:t>
            </w:r>
            <w:r w:rsidRPr="00FD78A4">
              <w:rPr>
                <w:rFonts w:hint="eastAsia"/>
              </w:rPr>
              <w:t>二、请公司介绍当前市场拓展情况及后续规划？</w:t>
            </w:r>
          </w:p>
          <w:p w14:paraId="5C525701" w14:textId="0DE5FEB8" w:rsidR="008A6684" w:rsidRPr="00FD78A4" w:rsidRDefault="00E80E40" w:rsidP="00332C31">
            <w:pPr>
              <w:spacing w:line="480" w:lineRule="exact"/>
              <w:ind w:firstLineChars="200" w:firstLine="480"/>
              <w:rPr>
                <w:rFonts w:eastAsia="宋体"/>
              </w:rPr>
            </w:pPr>
            <w:r w:rsidRPr="00FD78A4">
              <w:rPr>
                <w:rFonts w:eastAsia="宋体"/>
              </w:rPr>
              <w:t>半导体设备行业属于典型的技术密集型行业，国外龙头厂商凭借先发优势和持续高强度的研发投入已经形成一定的技术优势。公司作为专注于半导体测试检测设备及系统解决方案的创新企业，以实现关键设备自主可控为核心目标，着力构建系统化全站点服务能力，在产品和技术方面具备较强的竞争优势</w:t>
            </w:r>
            <w:r w:rsidRPr="00FD78A4">
              <w:rPr>
                <w:rFonts w:eastAsia="宋体" w:hint="eastAsia"/>
              </w:rPr>
              <w:t>。公司</w:t>
            </w:r>
            <w:r w:rsidRPr="00FD78A4">
              <w:rPr>
                <w:rFonts w:eastAsia="宋体"/>
              </w:rPr>
              <w:t>与国内头部半导体存储厂商建立了紧密稳定的业务合作关系</w:t>
            </w:r>
            <w:r w:rsidR="0004255E" w:rsidRPr="00FD78A4">
              <w:rPr>
                <w:rFonts w:eastAsia="宋体" w:hint="eastAsia"/>
              </w:rPr>
              <w:t>，</w:t>
            </w:r>
            <w:r w:rsidRPr="00FD78A4">
              <w:rPr>
                <w:rFonts w:eastAsia="宋体"/>
              </w:rPr>
              <w:t>公司核心产品已应用于国内</w:t>
            </w:r>
            <w:r w:rsidRPr="00FD78A4">
              <w:rPr>
                <w:rFonts w:eastAsia="宋体"/>
              </w:rPr>
              <w:t>头部半导体厂商及其供应链，在市场上具有较强的竞争力，助力客户在</w:t>
            </w:r>
            <w:r w:rsidRPr="00FD78A4">
              <w:rPr>
                <w:rFonts w:eastAsia="宋体"/>
              </w:rPr>
              <w:lastRenderedPageBreak/>
              <w:t>降低测试成本、逐步实现供应链国产替代的同时提升生产质量，获得了客户的广泛认可。</w:t>
            </w:r>
            <w:r w:rsidRPr="00FD78A4">
              <w:rPr>
                <w:rFonts w:eastAsia="宋体" w:hint="eastAsia"/>
              </w:rPr>
              <w:t>此外，公司本次</w:t>
            </w:r>
            <w:proofErr w:type="gramStart"/>
            <w:r w:rsidRPr="00FD78A4">
              <w:rPr>
                <w:rFonts w:eastAsia="宋体" w:hint="eastAsia"/>
              </w:rPr>
              <w:t>募投项目</w:t>
            </w:r>
            <w:proofErr w:type="gramEnd"/>
            <w:r w:rsidRPr="00FD78A4">
              <w:rPr>
                <w:rFonts w:eastAsia="宋体" w:hint="eastAsia"/>
              </w:rPr>
              <w:t>立足于公司现有的核心技术体系，</w:t>
            </w:r>
            <w:proofErr w:type="gramStart"/>
            <w:r w:rsidRPr="00FD78A4">
              <w:rPr>
                <w:rFonts w:eastAsia="宋体" w:hint="eastAsia"/>
              </w:rPr>
              <w:t>践行</w:t>
            </w:r>
            <w:proofErr w:type="gramEnd"/>
            <w:r w:rsidRPr="00FD78A4">
              <w:rPr>
                <w:rFonts w:eastAsia="宋体" w:hint="eastAsia"/>
              </w:rPr>
              <w:t>“量产一代、在</w:t>
            </w:r>
            <w:proofErr w:type="gramStart"/>
            <w:r w:rsidRPr="00FD78A4">
              <w:rPr>
                <w:rFonts w:eastAsia="宋体" w:hint="eastAsia"/>
              </w:rPr>
              <w:t>研</w:t>
            </w:r>
            <w:proofErr w:type="gramEnd"/>
            <w:r w:rsidRPr="00FD78A4">
              <w:rPr>
                <w:rFonts w:eastAsia="宋体" w:hint="eastAsia"/>
              </w:rPr>
              <w:t>一代、预研一代”的可持续研发节奏，持续加强研发投入，夯实并持续推动核心技术发展，以满足下游客户在半导体测试领域的多样化、复杂化需求，进一步推动我国高端半导体存储测试设备的国产化进程。</w:t>
            </w:r>
          </w:p>
          <w:p w14:paraId="4FEF2B41" w14:textId="77777777" w:rsidR="008A6684" w:rsidRPr="00FD78A4" w:rsidRDefault="008A6684" w:rsidP="00332C31">
            <w:pPr>
              <w:spacing w:line="480" w:lineRule="exact"/>
              <w:rPr>
                <w:rFonts w:eastAsia="宋体"/>
              </w:rPr>
            </w:pPr>
          </w:p>
          <w:p w14:paraId="3F4F47B5" w14:textId="77777777" w:rsidR="008A6684" w:rsidRPr="00FD78A4" w:rsidRDefault="00E80E40" w:rsidP="00332C31">
            <w:pPr>
              <w:pStyle w:val="a"/>
              <w:spacing w:line="480" w:lineRule="exact"/>
              <w:ind w:left="0"/>
            </w:pPr>
            <w:r w:rsidRPr="00FD78A4">
              <w:rPr>
                <w:rFonts w:hint="eastAsia"/>
              </w:rPr>
              <w:t xml:space="preserve">    </w:t>
            </w:r>
            <w:r w:rsidRPr="00FD78A4">
              <w:rPr>
                <w:rFonts w:hint="eastAsia"/>
              </w:rPr>
              <w:t>三、请公司介绍在</w:t>
            </w:r>
            <w:r w:rsidRPr="00FD78A4">
              <w:t>存储测试领域产品布局</w:t>
            </w:r>
            <w:r w:rsidRPr="00FD78A4">
              <w:rPr>
                <w:rFonts w:hint="eastAsia"/>
              </w:rPr>
              <w:t>及技术优势？</w:t>
            </w:r>
          </w:p>
          <w:p w14:paraId="16E95F96" w14:textId="77777777" w:rsidR="008A6684" w:rsidRPr="00FD78A4" w:rsidRDefault="00E80E40" w:rsidP="00332C31">
            <w:pPr>
              <w:spacing w:line="480" w:lineRule="exact"/>
              <w:ind w:firstLineChars="200" w:firstLine="480"/>
              <w:rPr>
                <w:rFonts w:eastAsia="宋体"/>
              </w:rPr>
            </w:pPr>
            <w:r w:rsidRPr="00FD78A4">
              <w:rPr>
                <w:rFonts w:eastAsia="宋体"/>
              </w:rPr>
              <w:t>在产品布局方面，公司以</w:t>
            </w:r>
            <w:r w:rsidRPr="00FD78A4">
              <w:rPr>
                <w:rFonts w:eastAsia="宋体"/>
              </w:rPr>
              <w:t>DRAM</w:t>
            </w:r>
            <w:r w:rsidRPr="00FD78A4">
              <w:rPr>
                <w:rFonts w:eastAsia="宋体"/>
              </w:rPr>
              <w:t>测试设备产品线为基础纵向延伸分选机、</w:t>
            </w:r>
            <w:proofErr w:type="gramStart"/>
            <w:r w:rsidRPr="00FD78A4">
              <w:rPr>
                <w:rFonts w:eastAsia="宋体"/>
              </w:rPr>
              <w:t>探针台</w:t>
            </w:r>
            <w:proofErr w:type="gramEnd"/>
            <w:r w:rsidRPr="00FD78A4">
              <w:rPr>
                <w:rFonts w:eastAsia="宋体"/>
              </w:rPr>
              <w:t>等设备构建完整测试链，同步强化</w:t>
            </w:r>
            <w:r w:rsidRPr="00FD78A4">
              <w:rPr>
                <w:rFonts w:eastAsia="宋体"/>
              </w:rPr>
              <w:t>HBM</w:t>
            </w:r>
            <w:r w:rsidRPr="00FD78A4">
              <w:rPr>
                <w:rFonts w:eastAsia="宋体"/>
              </w:rPr>
              <w:t>及先进封装技术研究</w:t>
            </w:r>
            <w:r w:rsidRPr="00FD78A4">
              <w:rPr>
                <w:rFonts w:eastAsia="宋体" w:hint="eastAsia"/>
              </w:rPr>
              <w:t>；</w:t>
            </w:r>
            <w:r w:rsidRPr="00FD78A4">
              <w:rPr>
                <w:rFonts w:eastAsia="宋体"/>
              </w:rPr>
              <w:t>依托</w:t>
            </w:r>
            <w:r w:rsidRPr="00FD78A4">
              <w:rPr>
                <w:rFonts w:eastAsia="宋体"/>
              </w:rPr>
              <w:t>DRAM</w:t>
            </w:r>
            <w:r w:rsidRPr="00FD78A4">
              <w:rPr>
                <w:rFonts w:eastAsia="宋体"/>
              </w:rPr>
              <w:t>技术储备横向拓展至</w:t>
            </w:r>
            <w:r w:rsidRPr="00FD78A4">
              <w:rPr>
                <w:rFonts w:eastAsia="宋体"/>
              </w:rPr>
              <w:t>NAND</w:t>
            </w:r>
            <w:r w:rsidRPr="00FD78A4">
              <w:rPr>
                <w:rFonts w:eastAsia="宋体" w:hint="eastAsia"/>
              </w:rPr>
              <w:t xml:space="preserve"> </w:t>
            </w:r>
            <w:r w:rsidRPr="00FD78A4">
              <w:rPr>
                <w:rFonts w:eastAsia="宋体"/>
              </w:rPr>
              <w:t>FLASH</w:t>
            </w:r>
            <w:r w:rsidRPr="00FD78A4">
              <w:rPr>
                <w:rFonts w:eastAsia="宋体"/>
              </w:rPr>
              <w:t>等存储测试领域，实现产品与技术的立体化布局。同时，依托公司在半导体存储测试设备领域成熟的产业化能力，助力研发成果的高效转化与精准落地，实现技术研发与市场需求的无缝衔接。在技术储备方面，公司持续致力于研发创新，以构建半导体领域的系统化测试检测设备平台为核心目标。目前，公司已积累了全</w:t>
            </w:r>
            <w:proofErr w:type="gramStart"/>
            <w:r w:rsidRPr="00FD78A4">
              <w:rPr>
                <w:rFonts w:eastAsia="宋体"/>
              </w:rPr>
              <w:t>栈</w:t>
            </w:r>
            <w:proofErr w:type="gramEnd"/>
            <w:r w:rsidRPr="00FD78A4">
              <w:rPr>
                <w:rFonts w:eastAsia="宋体"/>
              </w:rPr>
              <w:t>关键技术模块，包括电子系统设计、软件算法、精密机械自动化等。各技术模块相互支撑，共</w:t>
            </w:r>
            <w:r w:rsidRPr="00FD78A4">
              <w:rPr>
                <w:rFonts w:eastAsia="宋体"/>
              </w:rPr>
              <w:t>同构建了适配半导体测试、晶圆检测等场景的</w:t>
            </w:r>
            <w:proofErr w:type="gramStart"/>
            <w:r w:rsidRPr="00FD78A4">
              <w:rPr>
                <w:rFonts w:eastAsia="宋体"/>
              </w:rPr>
              <w:t>完整技术</w:t>
            </w:r>
            <w:proofErr w:type="gramEnd"/>
            <w:r w:rsidRPr="00FD78A4">
              <w:rPr>
                <w:rFonts w:eastAsia="宋体"/>
              </w:rPr>
              <w:t>平台，能够满足半导体测试领域的多样化需求，核心技术整体水平在国内处于领先地位，为公司在存储测试领域的研发创新提供了坚实技术支撑。</w:t>
            </w:r>
          </w:p>
          <w:p w14:paraId="1D2C6918" w14:textId="77777777" w:rsidR="008A6684" w:rsidRPr="00FD78A4" w:rsidRDefault="008A6684" w:rsidP="00332C31">
            <w:pPr>
              <w:spacing w:line="480" w:lineRule="exact"/>
              <w:rPr>
                <w:rFonts w:eastAsia="宋体"/>
                <w:b/>
                <w:bCs/>
              </w:rPr>
            </w:pPr>
          </w:p>
          <w:p w14:paraId="7BD3DC8F" w14:textId="338CED10" w:rsidR="008A6684" w:rsidRPr="00FD78A4" w:rsidRDefault="00E80E40" w:rsidP="00332C31">
            <w:pPr>
              <w:pStyle w:val="a"/>
              <w:spacing w:line="480" w:lineRule="exact"/>
              <w:ind w:left="0"/>
            </w:pPr>
            <w:r w:rsidRPr="00FD78A4">
              <w:rPr>
                <w:rFonts w:hint="eastAsia"/>
              </w:rPr>
              <w:t xml:space="preserve">    </w:t>
            </w:r>
            <w:r w:rsidRPr="00FD78A4">
              <w:rPr>
                <w:rFonts w:hint="eastAsia"/>
              </w:rPr>
              <w:t>四、</w:t>
            </w:r>
            <w:r w:rsidRPr="00FD78A4">
              <w:rPr>
                <w:rFonts w:ascii="宋体" w:hAnsi="宋体" w:cs="宋体"/>
              </w:rPr>
              <w:t>请问公司如何</w:t>
            </w:r>
            <w:r w:rsidRPr="00FD78A4">
              <w:rPr>
                <w:rFonts w:ascii="宋体" w:hAnsi="宋体" w:cs="宋体" w:hint="eastAsia"/>
              </w:rPr>
              <w:t>实现</w:t>
            </w:r>
            <w:r w:rsidRPr="00FD78A4">
              <w:rPr>
                <w:rFonts w:ascii="宋体" w:hAnsi="宋体" w:cs="宋体"/>
              </w:rPr>
              <w:t>高端半导体测试领域的自主可控及供应链安全？</w:t>
            </w:r>
          </w:p>
          <w:p w14:paraId="727F1E08" w14:textId="5CEB06AD" w:rsidR="00332C31" w:rsidRPr="00FD78A4" w:rsidRDefault="00E80E40" w:rsidP="0004255E">
            <w:pPr>
              <w:pStyle w:val="a"/>
              <w:numPr>
                <w:ilvl w:val="0"/>
                <w:numId w:val="0"/>
              </w:numPr>
              <w:spacing w:line="480" w:lineRule="exact"/>
              <w:ind w:firstLineChars="200" w:firstLine="480"/>
              <w:rPr>
                <w:rFonts w:hint="eastAsia"/>
                <w:b w:val="0"/>
                <w:bCs w:val="0"/>
              </w:rPr>
            </w:pPr>
            <w:r w:rsidRPr="00FD78A4">
              <w:rPr>
                <w:b w:val="0"/>
                <w:bCs w:val="0"/>
              </w:rPr>
              <w:t>半导体测试设备核心主控芯片是决定测试精度、测试效率和测试功能覆盖的关键核心部件。核心主控芯片的自主可控是构建高性能半导体测试设备核心竞争力的基石。核心主</w:t>
            </w:r>
            <w:r w:rsidRPr="00FD78A4">
              <w:rPr>
                <w:rFonts w:asciiTheme="minorEastAsia" w:eastAsiaTheme="minorEastAsia" w:hAnsiTheme="minorEastAsia"/>
                <w:b w:val="0"/>
                <w:bCs w:val="0"/>
              </w:rPr>
              <w:lastRenderedPageBreak/>
              <w:t>控芯片的自主可控不仅是突破高端技术壁垒、保障供应</w:t>
            </w:r>
            <w:proofErr w:type="gramStart"/>
            <w:r w:rsidRPr="00FD78A4">
              <w:rPr>
                <w:rFonts w:asciiTheme="minorEastAsia" w:eastAsiaTheme="minorEastAsia" w:hAnsiTheme="minorEastAsia"/>
                <w:b w:val="0"/>
                <w:bCs w:val="0"/>
              </w:rPr>
              <w:t>链安全</w:t>
            </w:r>
            <w:proofErr w:type="gramEnd"/>
            <w:r w:rsidRPr="00FD78A4">
              <w:rPr>
                <w:rFonts w:asciiTheme="minorEastAsia" w:eastAsiaTheme="minorEastAsia" w:hAnsiTheme="minorEastAsia"/>
                <w:b w:val="0"/>
                <w:bCs w:val="0"/>
              </w:rPr>
              <w:t>的必要条件，更是降低测试成本、提升测试效率与市场竞</w:t>
            </w:r>
            <w:r w:rsidRPr="00FD78A4">
              <w:rPr>
                <w:b w:val="0"/>
                <w:bCs w:val="0"/>
              </w:rPr>
              <w:t>争力</w:t>
            </w:r>
            <w:r w:rsidRPr="00FD78A4">
              <w:rPr>
                <w:b w:val="0"/>
                <w:bCs w:val="0"/>
              </w:rPr>
              <w:t>的关键路径。</w:t>
            </w:r>
            <w:r w:rsidRPr="00FD78A4">
              <w:rPr>
                <w:b w:val="0"/>
                <w:bCs w:val="0"/>
              </w:rPr>
              <w:t>ASIC</w:t>
            </w:r>
            <w:r w:rsidRPr="00FD78A4">
              <w:rPr>
                <w:b w:val="0"/>
                <w:bCs w:val="0"/>
              </w:rPr>
              <w:t>芯片具有高集成度、高测试速度、高测试精度、高可靠性和稳定性等特点，但芯片开发周期相对较长，具有较高的技术壁垒。国外龙头厂商的高端半导体测试设备主控芯片均采用专用</w:t>
            </w:r>
            <w:r w:rsidRPr="00FD78A4">
              <w:rPr>
                <w:b w:val="0"/>
                <w:bCs w:val="0"/>
              </w:rPr>
              <w:t>ASIC</w:t>
            </w:r>
            <w:r w:rsidRPr="00FD78A4">
              <w:rPr>
                <w:b w:val="0"/>
                <w:bCs w:val="0"/>
              </w:rPr>
              <w:t>芯片架构，以保证测试设备性能水平和稳定性。公司以实现高端半导体测试设备及关键核心部件自主可控为目标，通过自</w:t>
            </w:r>
            <w:proofErr w:type="gramStart"/>
            <w:r w:rsidRPr="00FD78A4">
              <w:rPr>
                <w:b w:val="0"/>
                <w:bCs w:val="0"/>
              </w:rPr>
              <w:t>研</w:t>
            </w:r>
            <w:proofErr w:type="gramEnd"/>
            <w:r w:rsidRPr="00FD78A4">
              <w:rPr>
                <w:b w:val="0"/>
                <w:bCs w:val="0"/>
              </w:rPr>
              <w:t>高端半导体测试系统的核心主控芯片，实现关键核心技术突破，是公司重要的长期战略举措。</w:t>
            </w:r>
          </w:p>
        </w:tc>
      </w:tr>
      <w:tr w:rsidR="008A6684" w14:paraId="75A6AA33" w14:textId="77777777">
        <w:trPr>
          <w:trHeight w:val="90"/>
          <w:jc w:val="center"/>
        </w:trPr>
        <w:tc>
          <w:tcPr>
            <w:tcW w:w="2395" w:type="dxa"/>
            <w:tcBorders>
              <w:top w:val="single" w:sz="6" w:space="0" w:color="auto"/>
              <w:left w:val="single" w:sz="12" w:space="0" w:color="auto"/>
              <w:bottom w:val="single" w:sz="6" w:space="0" w:color="auto"/>
              <w:right w:val="single" w:sz="6" w:space="0" w:color="auto"/>
            </w:tcBorders>
            <w:vAlign w:val="center"/>
          </w:tcPr>
          <w:p w14:paraId="0663E77A" w14:textId="77777777" w:rsidR="008A6684" w:rsidRDefault="00E80E40">
            <w:pPr>
              <w:spacing w:line="420" w:lineRule="exact"/>
              <w:jc w:val="center"/>
              <w:rPr>
                <w:rFonts w:eastAsia="宋体"/>
                <w:b/>
                <w:bCs/>
              </w:rPr>
            </w:pPr>
            <w:r>
              <w:rPr>
                <w:rFonts w:eastAsia="宋体" w:hint="eastAsia"/>
                <w:b/>
                <w:bCs/>
              </w:rPr>
              <w:lastRenderedPageBreak/>
              <w:t>关于本次活动是否涉及应当披露重大信息的说明</w:t>
            </w:r>
          </w:p>
        </w:tc>
        <w:tc>
          <w:tcPr>
            <w:tcW w:w="6521" w:type="dxa"/>
            <w:tcBorders>
              <w:top w:val="single" w:sz="6" w:space="0" w:color="auto"/>
              <w:left w:val="single" w:sz="6" w:space="0" w:color="auto"/>
              <w:bottom w:val="single" w:sz="6" w:space="0" w:color="auto"/>
              <w:right w:val="single" w:sz="12" w:space="0" w:color="auto"/>
            </w:tcBorders>
            <w:vAlign w:val="center"/>
          </w:tcPr>
          <w:p w14:paraId="409C9573" w14:textId="77777777" w:rsidR="008A6684" w:rsidRDefault="00E80E40">
            <w:pPr>
              <w:spacing w:line="420" w:lineRule="exact"/>
              <w:jc w:val="left"/>
              <w:rPr>
                <w:rFonts w:eastAsia="宋体"/>
              </w:rPr>
            </w:pPr>
            <w:r>
              <w:rPr>
                <w:rFonts w:eastAsia="宋体" w:hint="eastAsia"/>
              </w:rPr>
              <w:t>本次活动不涉及应当披露重大信息。</w:t>
            </w:r>
          </w:p>
        </w:tc>
      </w:tr>
      <w:tr w:rsidR="008A6684" w14:paraId="36242F42" w14:textId="77777777">
        <w:trPr>
          <w:trHeight w:val="549"/>
          <w:jc w:val="center"/>
        </w:trPr>
        <w:tc>
          <w:tcPr>
            <w:tcW w:w="2395" w:type="dxa"/>
            <w:tcBorders>
              <w:top w:val="single" w:sz="6" w:space="0" w:color="auto"/>
              <w:left w:val="single" w:sz="12" w:space="0" w:color="auto"/>
              <w:bottom w:val="single" w:sz="6" w:space="0" w:color="auto"/>
              <w:right w:val="single" w:sz="6" w:space="0" w:color="auto"/>
            </w:tcBorders>
            <w:vAlign w:val="center"/>
          </w:tcPr>
          <w:p w14:paraId="32A3ED58" w14:textId="77777777" w:rsidR="008A6684" w:rsidRDefault="00E80E40">
            <w:pPr>
              <w:spacing w:line="420" w:lineRule="exact"/>
              <w:jc w:val="center"/>
              <w:rPr>
                <w:rFonts w:eastAsia="宋体"/>
                <w:b/>
                <w:bCs/>
              </w:rPr>
            </w:pPr>
            <w:r>
              <w:rPr>
                <w:rFonts w:eastAsia="宋体" w:hint="eastAsia"/>
                <w:b/>
                <w:bCs/>
              </w:rPr>
              <w:t>附件清单（如有）</w:t>
            </w:r>
          </w:p>
        </w:tc>
        <w:tc>
          <w:tcPr>
            <w:tcW w:w="6521" w:type="dxa"/>
            <w:tcBorders>
              <w:top w:val="single" w:sz="6" w:space="0" w:color="auto"/>
              <w:left w:val="single" w:sz="6" w:space="0" w:color="auto"/>
              <w:bottom w:val="single" w:sz="6" w:space="0" w:color="auto"/>
              <w:right w:val="single" w:sz="12" w:space="0" w:color="auto"/>
            </w:tcBorders>
            <w:vAlign w:val="center"/>
          </w:tcPr>
          <w:p w14:paraId="04D424C4" w14:textId="77777777" w:rsidR="008A6684" w:rsidRDefault="00E80E40">
            <w:pPr>
              <w:spacing w:line="420" w:lineRule="exact"/>
              <w:jc w:val="left"/>
              <w:rPr>
                <w:rFonts w:eastAsia="宋体"/>
              </w:rPr>
            </w:pPr>
            <w:r>
              <w:rPr>
                <w:rFonts w:eastAsia="宋体" w:hint="eastAsia"/>
              </w:rPr>
              <w:t>无</w:t>
            </w:r>
          </w:p>
        </w:tc>
      </w:tr>
      <w:tr w:rsidR="008A6684" w14:paraId="46A02144" w14:textId="77777777">
        <w:trPr>
          <w:trHeight w:val="360"/>
          <w:jc w:val="center"/>
        </w:trPr>
        <w:tc>
          <w:tcPr>
            <w:tcW w:w="2395" w:type="dxa"/>
            <w:tcBorders>
              <w:top w:val="single" w:sz="6" w:space="0" w:color="auto"/>
              <w:left w:val="single" w:sz="12" w:space="0" w:color="auto"/>
              <w:bottom w:val="single" w:sz="12" w:space="0" w:color="auto"/>
              <w:right w:val="single" w:sz="6" w:space="0" w:color="auto"/>
            </w:tcBorders>
            <w:vAlign w:val="center"/>
          </w:tcPr>
          <w:p w14:paraId="029ED5D9" w14:textId="77777777" w:rsidR="008A6684" w:rsidRDefault="00E80E40">
            <w:pPr>
              <w:spacing w:line="420" w:lineRule="exact"/>
              <w:jc w:val="center"/>
              <w:rPr>
                <w:rFonts w:eastAsia="宋体"/>
                <w:b/>
                <w:bCs/>
              </w:rPr>
            </w:pPr>
            <w:r>
              <w:rPr>
                <w:rFonts w:eastAsia="宋体" w:hint="eastAsia"/>
                <w:b/>
                <w:bCs/>
              </w:rPr>
              <w:t>日期</w:t>
            </w:r>
          </w:p>
        </w:tc>
        <w:tc>
          <w:tcPr>
            <w:tcW w:w="6521" w:type="dxa"/>
            <w:tcBorders>
              <w:top w:val="single" w:sz="6" w:space="0" w:color="auto"/>
              <w:left w:val="single" w:sz="6" w:space="0" w:color="auto"/>
              <w:bottom w:val="single" w:sz="12" w:space="0" w:color="auto"/>
              <w:right w:val="single" w:sz="12" w:space="0" w:color="auto"/>
            </w:tcBorders>
            <w:vAlign w:val="center"/>
          </w:tcPr>
          <w:p w14:paraId="552FEA2F" w14:textId="733D61ED" w:rsidR="008A6684" w:rsidRDefault="00E80E40">
            <w:pPr>
              <w:spacing w:line="420" w:lineRule="exact"/>
              <w:jc w:val="left"/>
              <w:rPr>
                <w:rFonts w:eastAsia="宋体"/>
              </w:rPr>
            </w:pPr>
            <w:r>
              <w:rPr>
                <w:rFonts w:eastAsia="宋体" w:hint="eastAsia"/>
              </w:rPr>
              <w:t>2026</w:t>
            </w:r>
            <w:r>
              <w:rPr>
                <w:rFonts w:eastAsia="宋体" w:hint="eastAsia"/>
              </w:rPr>
              <w:t>年</w:t>
            </w:r>
            <w:r>
              <w:rPr>
                <w:rFonts w:eastAsia="宋体" w:hint="eastAsia"/>
              </w:rPr>
              <w:t>6</w:t>
            </w:r>
            <w:r>
              <w:rPr>
                <w:rFonts w:eastAsia="宋体" w:hint="eastAsia"/>
              </w:rPr>
              <w:t>月</w:t>
            </w:r>
            <w:r>
              <w:rPr>
                <w:rFonts w:eastAsia="宋体" w:hint="eastAsia"/>
              </w:rPr>
              <w:t>1</w:t>
            </w:r>
            <w:r w:rsidR="00313EE3">
              <w:rPr>
                <w:rFonts w:eastAsia="宋体" w:hint="eastAsia"/>
              </w:rPr>
              <w:t>2</w:t>
            </w:r>
            <w:r>
              <w:rPr>
                <w:rFonts w:eastAsia="宋体" w:hint="eastAsia"/>
              </w:rPr>
              <w:t>日</w:t>
            </w:r>
          </w:p>
        </w:tc>
      </w:tr>
    </w:tbl>
    <w:p w14:paraId="41F4E317" w14:textId="77777777" w:rsidR="008A6684" w:rsidRDefault="00E80E40">
      <w:pPr>
        <w:spacing w:line="460" w:lineRule="exact"/>
      </w:pPr>
      <w:r>
        <w:rPr>
          <w:rFonts w:ascii="宋体" w:eastAsia="宋体" w:hAnsi="宋体" w:hint="eastAsia"/>
        </w:rPr>
        <w:t xml:space="preserve"> </w:t>
      </w:r>
    </w:p>
    <w:sectPr w:rsidR="008A66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9F8D1" w14:textId="77777777" w:rsidR="00E80E40" w:rsidRDefault="00E80E40" w:rsidP="009C51C0">
      <w:r>
        <w:separator/>
      </w:r>
    </w:p>
  </w:endnote>
  <w:endnote w:type="continuationSeparator" w:id="0">
    <w:p w14:paraId="5AB5A0A6" w14:textId="77777777" w:rsidR="00E80E40" w:rsidRDefault="00E80E40" w:rsidP="009C51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40BA1E" w14:textId="77777777" w:rsidR="00E80E40" w:rsidRDefault="00E80E40" w:rsidP="009C51C0">
      <w:r>
        <w:separator/>
      </w:r>
    </w:p>
  </w:footnote>
  <w:footnote w:type="continuationSeparator" w:id="0">
    <w:p w14:paraId="6FC150CE" w14:textId="77777777" w:rsidR="00E80E40" w:rsidRDefault="00E80E40" w:rsidP="009C51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1606D"/>
    <w:multiLevelType w:val="multilevel"/>
    <w:tmpl w:val="5A81606D"/>
    <w:lvl w:ilvl="0">
      <w:start w:val="1"/>
      <w:numFmt w:val="japaneseCounting"/>
      <w:pStyle w:val="a"/>
      <w:lvlText w:val="%1、"/>
      <w:lvlJc w:val="left"/>
      <w:pPr>
        <w:ind w:left="500" w:hanging="50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WI3MGNiNmZiNjU0MWRhMzA3MGM4NThlMjUxOTM1ZTYifQ=="/>
  </w:docVars>
  <w:rsids>
    <w:rsidRoot w:val="009A3F50"/>
    <w:rsid w:val="0000102A"/>
    <w:rsid w:val="00007163"/>
    <w:rsid w:val="000143ED"/>
    <w:rsid w:val="0002308E"/>
    <w:rsid w:val="0003425C"/>
    <w:rsid w:val="00040CF0"/>
    <w:rsid w:val="0004255E"/>
    <w:rsid w:val="0006583E"/>
    <w:rsid w:val="000722BA"/>
    <w:rsid w:val="000809C6"/>
    <w:rsid w:val="00091D0D"/>
    <w:rsid w:val="000B11FB"/>
    <w:rsid w:val="00116D03"/>
    <w:rsid w:val="00180FF6"/>
    <w:rsid w:val="001930D7"/>
    <w:rsid w:val="001B6AB3"/>
    <w:rsid w:val="001D6B0A"/>
    <w:rsid w:val="001F36A3"/>
    <w:rsid w:val="00224F18"/>
    <w:rsid w:val="00244AAC"/>
    <w:rsid w:val="002570D5"/>
    <w:rsid w:val="0026588F"/>
    <w:rsid w:val="002A6741"/>
    <w:rsid w:val="002C18CD"/>
    <w:rsid w:val="00313EE3"/>
    <w:rsid w:val="003148A1"/>
    <w:rsid w:val="003162BD"/>
    <w:rsid w:val="00332C31"/>
    <w:rsid w:val="0036083A"/>
    <w:rsid w:val="003A55FD"/>
    <w:rsid w:val="003B079D"/>
    <w:rsid w:val="003C084D"/>
    <w:rsid w:val="003C167C"/>
    <w:rsid w:val="003D42F8"/>
    <w:rsid w:val="00434D79"/>
    <w:rsid w:val="00436082"/>
    <w:rsid w:val="00475FCF"/>
    <w:rsid w:val="004D0354"/>
    <w:rsid w:val="004D2008"/>
    <w:rsid w:val="004D61A5"/>
    <w:rsid w:val="004E3CEB"/>
    <w:rsid w:val="004F4433"/>
    <w:rsid w:val="00580FCE"/>
    <w:rsid w:val="005B434E"/>
    <w:rsid w:val="006404FB"/>
    <w:rsid w:val="00673D2E"/>
    <w:rsid w:val="006B59DB"/>
    <w:rsid w:val="007521FC"/>
    <w:rsid w:val="007563BB"/>
    <w:rsid w:val="007763E6"/>
    <w:rsid w:val="007926C1"/>
    <w:rsid w:val="007C1A30"/>
    <w:rsid w:val="007E40A4"/>
    <w:rsid w:val="0081021E"/>
    <w:rsid w:val="008160D6"/>
    <w:rsid w:val="0083161E"/>
    <w:rsid w:val="008332BF"/>
    <w:rsid w:val="00896610"/>
    <w:rsid w:val="008A6684"/>
    <w:rsid w:val="008A74F2"/>
    <w:rsid w:val="009208D3"/>
    <w:rsid w:val="009330A7"/>
    <w:rsid w:val="009419FB"/>
    <w:rsid w:val="00995811"/>
    <w:rsid w:val="009A262A"/>
    <w:rsid w:val="009A3F50"/>
    <w:rsid w:val="009B2C69"/>
    <w:rsid w:val="009C51C0"/>
    <w:rsid w:val="00A05657"/>
    <w:rsid w:val="00AD6F00"/>
    <w:rsid w:val="00AD7E29"/>
    <w:rsid w:val="00AF56EB"/>
    <w:rsid w:val="00B10762"/>
    <w:rsid w:val="00B22F5F"/>
    <w:rsid w:val="00B40704"/>
    <w:rsid w:val="00B41E01"/>
    <w:rsid w:val="00B478BB"/>
    <w:rsid w:val="00B573F8"/>
    <w:rsid w:val="00B61A3F"/>
    <w:rsid w:val="00BE5C51"/>
    <w:rsid w:val="00BF3D13"/>
    <w:rsid w:val="00C04C42"/>
    <w:rsid w:val="00C2151A"/>
    <w:rsid w:val="00C37DE3"/>
    <w:rsid w:val="00C422FB"/>
    <w:rsid w:val="00C7271F"/>
    <w:rsid w:val="00C75254"/>
    <w:rsid w:val="00CA0A4C"/>
    <w:rsid w:val="00CA0BCB"/>
    <w:rsid w:val="00CB2A01"/>
    <w:rsid w:val="00CC585E"/>
    <w:rsid w:val="00D24809"/>
    <w:rsid w:val="00D24C73"/>
    <w:rsid w:val="00D3361D"/>
    <w:rsid w:val="00D461BC"/>
    <w:rsid w:val="00D648DB"/>
    <w:rsid w:val="00DF04ED"/>
    <w:rsid w:val="00E04124"/>
    <w:rsid w:val="00E216FE"/>
    <w:rsid w:val="00E21E3A"/>
    <w:rsid w:val="00E40E9A"/>
    <w:rsid w:val="00E80E40"/>
    <w:rsid w:val="00EA778F"/>
    <w:rsid w:val="00ED1B49"/>
    <w:rsid w:val="00EE2EA8"/>
    <w:rsid w:val="00F97AA7"/>
    <w:rsid w:val="00FC0493"/>
    <w:rsid w:val="00FC5A62"/>
    <w:rsid w:val="00FC68A5"/>
    <w:rsid w:val="00FD78A4"/>
    <w:rsid w:val="011E3D92"/>
    <w:rsid w:val="02D432A2"/>
    <w:rsid w:val="03015719"/>
    <w:rsid w:val="03BF4636"/>
    <w:rsid w:val="03E51F28"/>
    <w:rsid w:val="04B9539C"/>
    <w:rsid w:val="04D07A99"/>
    <w:rsid w:val="06672F9A"/>
    <w:rsid w:val="07F76FDC"/>
    <w:rsid w:val="0883674A"/>
    <w:rsid w:val="0892083F"/>
    <w:rsid w:val="094620D8"/>
    <w:rsid w:val="097C1F9D"/>
    <w:rsid w:val="09CA2D09"/>
    <w:rsid w:val="09D750A5"/>
    <w:rsid w:val="0B0C7351"/>
    <w:rsid w:val="0B440899"/>
    <w:rsid w:val="0BBA4FFF"/>
    <w:rsid w:val="0BBE064B"/>
    <w:rsid w:val="0BF57DE5"/>
    <w:rsid w:val="0C8606C3"/>
    <w:rsid w:val="0CD1735C"/>
    <w:rsid w:val="0CDF5E60"/>
    <w:rsid w:val="0D053EEB"/>
    <w:rsid w:val="0D194B6D"/>
    <w:rsid w:val="0DF50570"/>
    <w:rsid w:val="0E0109D3"/>
    <w:rsid w:val="0E4B1F3E"/>
    <w:rsid w:val="0E5055E0"/>
    <w:rsid w:val="0E8F62FB"/>
    <w:rsid w:val="0F7D25CB"/>
    <w:rsid w:val="0FB86718"/>
    <w:rsid w:val="0FFE24A1"/>
    <w:rsid w:val="10246863"/>
    <w:rsid w:val="10346D7C"/>
    <w:rsid w:val="106A6FF4"/>
    <w:rsid w:val="110357B4"/>
    <w:rsid w:val="1166258B"/>
    <w:rsid w:val="118714DF"/>
    <w:rsid w:val="118C4D48"/>
    <w:rsid w:val="11A025A1"/>
    <w:rsid w:val="1211524D"/>
    <w:rsid w:val="12850115"/>
    <w:rsid w:val="12A92AF0"/>
    <w:rsid w:val="12CF7B44"/>
    <w:rsid w:val="13525B1D"/>
    <w:rsid w:val="13940AFE"/>
    <w:rsid w:val="14A5684C"/>
    <w:rsid w:val="151B6448"/>
    <w:rsid w:val="154716B1"/>
    <w:rsid w:val="15A73A04"/>
    <w:rsid w:val="166013F8"/>
    <w:rsid w:val="168D3A3C"/>
    <w:rsid w:val="17313EC8"/>
    <w:rsid w:val="174720B3"/>
    <w:rsid w:val="17926790"/>
    <w:rsid w:val="187C6F87"/>
    <w:rsid w:val="18A63BCA"/>
    <w:rsid w:val="18D86AC4"/>
    <w:rsid w:val="19630A84"/>
    <w:rsid w:val="19A14B4E"/>
    <w:rsid w:val="19AB71E7"/>
    <w:rsid w:val="19D93400"/>
    <w:rsid w:val="19DC1649"/>
    <w:rsid w:val="1A3B37AF"/>
    <w:rsid w:val="1A472154"/>
    <w:rsid w:val="1AC704E3"/>
    <w:rsid w:val="1AE14356"/>
    <w:rsid w:val="1BB2184F"/>
    <w:rsid w:val="1C47468D"/>
    <w:rsid w:val="1CF7548B"/>
    <w:rsid w:val="1D077862"/>
    <w:rsid w:val="1D3C5874"/>
    <w:rsid w:val="1D814A16"/>
    <w:rsid w:val="1DF443A0"/>
    <w:rsid w:val="1E2935D2"/>
    <w:rsid w:val="1E396614"/>
    <w:rsid w:val="1E761259"/>
    <w:rsid w:val="1F6966C8"/>
    <w:rsid w:val="1FEC5FF4"/>
    <w:rsid w:val="201523AC"/>
    <w:rsid w:val="202C40EB"/>
    <w:rsid w:val="20B87907"/>
    <w:rsid w:val="221F0D41"/>
    <w:rsid w:val="22C75BE0"/>
    <w:rsid w:val="2422439F"/>
    <w:rsid w:val="247212EF"/>
    <w:rsid w:val="249B37C8"/>
    <w:rsid w:val="24E3748B"/>
    <w:rsid w:val="2556645E"/>
    <w:rsid w:val="25766125"/>
    <w:rsid w:val="26834513"/>
    <w:rsid w:val="26F95E44"/>
    <w:rsid w:val="27BD6C9C"/>
    <w:rsid w:val="27CB43C4"/>
    <w:rsid w:val="28071479"/>
    <w:rsid w:val="285C5774"/>
    <w:rsid w:val="2A8041BE"/>
    <w:rsid w:val="2ABE3D6C"/>
    <w:rsid w:val="2B836D64"/>
    <w:rsid w:val="2C177723"/>
    <w:rsid w:val="2C3761A3"/>
    <w:rsid w:val="2C743D62"/>
    <w:rsid w:val="2CA62D0A"/>
    <w:rsid w:val="2E0A72C8"/>
    <w:rsid w:val="2E5167EE"/>
    <w:rsid w:val="2E662F01"/>
    <w:rsid w:val="2E6E7857"/>
    <w:rsid w:val="2FC01D17"/>
    <w:rsid w:val="2FC455D7"/>
    <w:rsid w:val="30316D8E"/>
    <w:rsid w:val="30C33764"/>
    <w:rsid w:val="31254850"/>
    <w:rsid w:val="319A0963"/>
    <w:rsid w:val="31DE6AA2"/>
    <w:rsid w:val="321626E0"/>
    <w:rsid w:val="3276224D"/>
    <w:rsid w:val="32F3657D"/>
    <w:rsid w:val="33414684"/>
    <w:rsid w:val="34951FE2"/>
    <w:rsid w:val="34A55F9D"/>
    <w:rsid w:val="35354896"/>
    <w:rsid w:val="355C77BE"/>
    <w:rsid w:val="35C61D5E"/>
    <w:rsid w:val="35D46B3A"/>
    <w:rsid w:val="35F07D9F"/>
    <w:rsid w:val="362B4280"/>
    <w:rsid w:val="37050429"/>
    <w:rsid w:val="37667C65"/>
    <w:rsid w:val="378974B0"/>
    <w:rsid w:val="38141F91"/>
    <w:rsid w:val="38C70290"/>
    <w:rsid w:val="393F076E"/>
    <w:rsid w:val="399A3BE1"/>
    <w:rsid w:val="3A595C16"/>
    <w:rsid w:val="3A687850"/>
    <w:rsid w:val="3B257393"/>
    <w:rsid w:val="3B3E000B"/>
    <w:rsid w:val="3C1001A0"/>
    <w:rsid w:val="3C2974B3"/>
    <w:rsid w:val="3CEF24AB"/>
    <w:rsid w:val="3EBC63BD"/>
    <w:rsid w:val="402266F3"/>
    <w:rsid w:val="40345770"/>
    <w:rsid w:val="412C1E99"/>
    <w:rsid w:val="41967399"/>
    <w:rsid w:val="41A970CC"/>
    <w:rsid w:val="42E156C9"/>
    <w:rsid w:val="433B01F8"/>
    <w:rsid w:val="43D7658C"/>
    <w:rsid w:val="442432D6"/>
    <w:rsid w:val="444C3D3F"/>
    <w:rsid w:val="45FE72BB"/>
    <w:rsid w:val="46454EEA"/>
    <w:rsid w:val="465D66D7"/>
    <w:rsid w:val="46F838C7"/>
    <w:rsid w:val="477B2FAE"/>
    <w:rsid w:val="47A02844"/>
    <w:rsid w:val="47C3256A"/>
    <w:rsid w:val="47D92AF8"/>
    <w:rsid w:val="48912668"/>
    <w:rsid w:val="49155047"/>
    <w:rsid w:val="493A123D"/>
    <w:rsid w:val="49492F43"/>
    <w:rsid w:val="4A7E276D"/>
    <w:rsid w:val="4AE118F5"/>
    <w:rsid w:val="4C0F7417"/>
    <w:rsid w:val="4C7C4C4C"/>
    <w:rsid w:val="4C8C6177"/>
    <w:rsid w:val="4D9C4153"/>
    <w:rsid w:val="4DAB41CC"/>
    <w:rsid w:val="4DF23BA9"/>
    <w:rsid w:val="4EEE25C2"/>
    <w:rsid w:val="4F1D6A04"/>
    <w:rsid w:val="4F6C34E7"/>
    <w:rsid w:val="50A0169A"/>
    <w:rsid w:val="5156444F"/>
    <w:rsid w:val="54C47921"/>
    <w:rsid w:val="5546203F"/>
    <w:rsid w:val="55F73341"/>
    <w:rsid w:val="56424FA2"/>
    <w:rsid w:val="567A6E1F"/>
    <w:rsid w:val="56D976B4"/>
    <w:rsid w:val="573C40E7"/>
    <w:rsid w:val="575E22AF"/>
    <w:rsid w:val="58A35C5E"/>
    <w:rsid w:val="5A3A490E"/>
    <w:rsid w:val="5B8028DC"/>
    <w:rsid w:val="5BFA60FE"/>
    <w:rsid w:val="5C0F1DCA"/>
    <w:rsid w:val="5CB62246"/>
    <w:rsid w:val="5D02548B"/>
    <w:rsid w:val="5DE80B25"/>
    <w:rsid w:val="5E61553A"/>
    <w:rsid w:val="5EAF096B"/>
    <w:rsid w:val="5F993E84"/>
    <w:rsid w:val="618E4F17"/>
    <w:rsid w:val="6249141B"/>
    <w:rsid w:val="6288306E"/>
    <w:rsid w:val="62992202"/>
    <w:rsid w:val="63027F93"/>
    <w:rsid w:val="63780255"/>
    <w:rsid w:val="63984453"/>
    <w:rsid w:val="639D5F0D"/>
    <w:rsid w:val="63B70D7D"/>
    <w:rsid w:val="646031C3"/>
    <w:rsid w:val="649B069F"/>
    <w:rsid w:val="65D73958"/>
    <w:rsid w:val="66AB64F3"/>
    <w:rsid w:val="6916161A"/>
    <w:rsid w:val="694035C3"/>
    <w:rsid w:val="69FA5E67"/>
    <w:rsid w:val="6B5A6FBD"/>
    <w:rsid w:val="6BEE37AA"/>
    <w:rsid w:val="6C705F6D"/>
    <w:rsid w:val="6C845EBC"/>
    <w:rsid w:val="6CF51267"/>
    <w:rsid w:val="6D35260A"/>
    <w:rsid w:val="6DA50B0D"/>
    <w:rsid w:val="6DBC6B1F"/>
    <w:rsid w:val="6E1B015A"/>
    <w:rsid w:val="6E6C2863"/>
    <w:rsid w:val="6ED32D5B"/>
    <w:rsid w:val="6F993A2D"/>
    <w:rsid w:val="705D3AD4"/>
    <w:rsid w:val="707D334E"/>
    <w:rsid w:val="70C64A2C"/>
    <w:rsid w:val="70D50A94"/>
    <w:rsid w:val="70EF7378"/>
    <w:rsid w:val="710C57F1"/>
    <w:rsid w:val="714F4CEB"/>
    <w:rsid w:val="718C3C42"/>
    <w:rsid w:val="727F4C6A"/>
    <w:rsid w:val="72CB03A1"/>
    <w:rsid w:val="730833A3"/>
    <w:rsid w:val="73B07597"/>
    <w:rsid w:val="7645046A"/>
    <w:rsid w:val="76EE7A05"/>
    <w:rsid w:val="76EF2683"/>
    <w:rsid w:val="776A3F82"/>
    <w:rsid w:val="77EA73B3"/>
    <w:rsid w:val="783C3AEF"/>
    <w:rsid w:val="78551933"/>
    <w:rsid w:val="7A633FE0"/>
    <w:rsid w:val="7B3C1668"/>
    <w:rsid w:val="7B6E3FBF"/>
    <w:rsid w:val="7B94453A"/>
    <w:rsid w:val="7C0E7550"/>
    <w:rsid w:val="7C22507F"/>
    <w:rsid w:val="7C7D510B"/>
    <w:rsid w:val="7CAD6D69"/>
    <w:rsid w:val="7D0A7011"/>
    <w:rsid w:val="7D621902"/>
    <w:rsid w:val="7E6A3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FB9598"/>
  <w15:docId w15:val="{164103F8-234D-49FF-B55F-C914F6204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Body Text" w:semiHidden="1" w:uiPriority="99"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uiPriority w:val="1"/>
    <w:qFormat/>
    <w:pPr>
      <w:widowControl w:val="0"/>
      <w:jc w:val="both"/>
    </w:pPr>
    <w:rPr>
      <w:rFonts w:eastAsiaTheme="minorEastAsia"/>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autoRedefine/>
    <w:qFormat/>
    <w:pPr>
      <w:jc w:val="left"/>
    </w:pPr>
  </w:style>
  <w:style w:type="paragraph" w:styleId="a6">
    <w:name w:val="Body Text"/>
    <w:basedOn w:val="a0"/>
    <w:autoRedefine/>
    <w:uiPriority w:val="99"/>
    <w:semiHidden/>
    <w:unhideWhenUsed/>
    <w:qFormat/>
    <w:pPr>
      <w:kinsoku w:val="0"/>
      <w:autoSpaceDE w:val="0"/>
      <w:autoSpaceDN w:val="0"/>
      <w:adjustRightInd w:val="0"/>
      <w:snapToGrid w:val="0"/>
      <w:jc w:val="left"/>
      <w:textAlignment w:val="baseline"/>
    </w:pPr>
    <w:rPr>
      <w:rFonts w:ascii="楷体" w:eastAsia="楷体" w:hAnsi="楷体"/>
      <w:color w:val="000000"/>
      <w:kern w:val="0"/>
    </w:rPr>
  </w:style>
  <w:style w:type="paragraph" w:styleId="a7">
    <w:name w:val="Balloon Text"/>
    <w:basedOn w:val="a0"/>
    <w:link w:val="a8"/>
    <w:autoRedefine/>
    <w:qFormat/>
    <w:rPr>
      <w:sz w:val="18"/>
      <w:szCs w:val="18"/>
    </w:rPr>
  </w:style>
  <w:style w:type="paragraph" w:styleId="a9">
    <w:name w:val="footer"/>
    <w:basedOn w:val="a0"/>
    <w:link w:val="aa"/>
    <w:autoRedefine/>
    <w:qFormat/>
    <w:pPr>
      <w:tabs>
        <w:tab w:val="center" w:pos="4153"/>
        <w:tab w:val="right" w:pos="8306"/>
      </w:tabs>
      <w:snapToGrid w:val="0"/>
      <w:jc w:val="left"/>
    </w:pPr>
    <w:rPr>
      <w:sz w:val="18"/>
      <w:szCs w:val="18"/>
    </w:rPr>
  </w:style>
  <w:style w:type="paragraph" w:styleId="ab">
    <w:name w:val="header"/>
    <w:basedOn w:val="a0"/>
    <w:link w:val="ac"/>
    <w:autoRedefine/>
    <w:qFormat/>
    <w:pPr>
      <w:pBdr>
        <w:bottom w:val="single" w:sz="6" w:space="1" w:color="auto"/>
      </w:pBdr>
      <w:tabs>
        <w:tab w:val="center" w:pos="4153"/>
        <w:tab w:val="right" w:pos="8306"/>
      </w:tabs>
      <w:snapToGrid w:val="0"/>
      <w:jc w:val="center"/>
    </w:pPr>
    <w:rPr>
      <w:sz w:val="18"/>
      <w:szCs w:val="18"/>
    </w:rPr>
  </w:style>
  <w:style w:type="paragraph" w:styleId="ad">
    <w:name w:val="Normal (Web)"/>
    <w:basedOn w:val="a0"/>
    <w:autoRedefine/>
    <w:uiPriority w:val="99"/>
    <w:semiHidden/>
    <w:unhideWhenUsed/>
    <w:qFormat/>
    <w:pPr>
      <w:spacing w:beforeAutospacing="1" w:afterAutospacing="1"/>
      <w:jc w:val="left"/>
    </w:pPr>
    <w:rPr>
      <w:rFonts w:ascii="Calibri" w:eastAsia="宋体" w:hAnsi="Calibri"/>
      <w:kern w:val="0"/>
    </w:rPr>
  </w:style>
  <w:style w:type="paragraph" w:styleId="ae">
    <w:name w:val="annotation subject"/>
    <w:basedOn w:val="a4"/>
    <w:next w:val="a4"/>
    <w:link w:val="af"/>
    <w:autoRedefine/>
    <w:qFormat/>
    <w:rPr>
      <w:b/>
      <w:bCs/>
    </w:rPr>
  </w:style>
  <w:style w:type="character" w:styleId="af0">
    <w:name w:val="Strong"/>
    <w:basedOn w:val="a1"/>
    <w:qFormat/>
    <w:rPr>
      <w:b/>
    </w:rPr>
  </w:style>
  <w:style w:type="character" w:styleId="af1">
    <w:name w:val="Hyperlink"/>
    <w:basedOn w:val="a1"/>
    <w:autoRedefine/>
    <w:uiPriority w:val="99"/>
    <w:unhideWhenUsed/>
    <w:qFormat/>
    <w:rPr>
      <w:color w:val="0000FF"/>
      <w:u w:val="single"/>
    </w:rPr>
  </w:style>
  <w:style w:type="character" w:styleId="af2">
    <w:name w:val="annotation reference"/>
    <w:basedOn w:val="a1"/>
    <w:autoRedefine/>
    <w:qFormat/>
    <w:rPr>
      <w:sz w:val="21"/>
      <w:szCs w:val="21"/>
    </w:rPr>
  </w:style>
  <w:style w:type="paragraph" w:styleId="a">
    <w:name w:val="List Paragraph"/>
    <w:basedOn w:val="a0"/>
    <w:autoRedefine/>
    <w:uiPriority w:val="34"/>
    <w:qFormat/>
    <w:pPr>
      <w:numPr>
        <w:numId w:val="1"/>
      </w:numPr>
      <w:spacing w:line="360" w:lineRule="auto"/>
    </w:pPr>
    <w:rPr>
      <w:rFonts w:eastAsia="宋体"/>
      <w:b/>
      <w:bCs/>
    </w:rPr>
  </w:style>
  <w:style w:type="paragraph" w:customStyle="1" w:styleId="005">
    <w:name w:val="005正文"/>
    <w:basedOn w:val="a0"/>
    <w:autoRedefine/>
    <w:qFormat/>
    <w:pPr>
      <w:spacing w:beforeLines="50" w:before="50" w:line="360" w:lineRule="auto"/>
      <w:ind w:firstLineChars="200" w:firstLine="200"/>
    </w:pPr>
  </w:style>
  <w:style w:type="character" w:customStyle="1" w:styleId="ac">
    <w:name w:val="页眉 字符"/>
    <w:basedOn w:val="a1"/>
    <w:link w:val="ab"/>
    <w:autoRedefine/>
    <w:qFormat/>
    <w:rPr>
      <w:rFonts w:eastAsiaTheme="minorEastAsia"/>
      <w:kern w:val="2"/>
      <w:sz w:val="18"/>
      <w:szCs w:val="18"/>
    </w:rPr>
  </w:style>
  <w:style w:type="character" w:customStyle="1" w:styleId="aa">
    <w:name w:val="页脚 字符"/>
    <w:basedOn w:val="a1"/>
    <w:link w:val="a9"/>
    <w:autoRedefine/>
    <w:qFormat/>
    <w:rPr>
      <w:rFonts w:eastAsiaTheme="minorEastAsia"/>
      <w:kern w:val="2"/>
      <w:sz w:val="18"/>
      <w:szCs w:val="18"/>
    </w:rPr>
  </w:style>
  <w:style w:type="character" w:customStyle="1" w:styleId="a8">
    <w:name w:val="批注框文本 字符"/>
    <w:basedOn w:val="a1"/>
    <w:link w:val="a7"/>
    <w:autoRedefine/>
    <w:qFormat/>
    <w:rPr>
      <w:rFonts w:eastAsiaTheme="minorEastAsia"/>
      <w:kern w:val="2"/>
      <w:sz w:val="18"/>
      <w:szCs w:val="18"/>
    </w:rPr>
  </w:style>
  <w:style w:type="character" w:customStyle="1" w:styleId="a5">
    <w:name w:val="批注文字 字符"/>
    <w:basedOn w:val="a1"/>
    <w:link w:val="a4"/>
    <w:autoRedefine/>
    <w:qFormat/>
    <w:rPr>
      <w:rFonts w:eastAsiaTheme="minorEastAsia"/>
      <w:kern w:val="2"/>
      <w:sz w:val="24"/>
      <w:szCs w:val="24"/>
    </w:rPr>
  </w:style>
  <w:style w:type="character" w:customStyle="1" w:styleId="af">
    <w:name w:val="批注主题 字符"/>
    <w:basedOn w:val="a5"/>
    <w:link w:val="ae"/>
    <w:autoRedefine/>
    <w:qFormat/>
    <w:rPr>
      <w:rFonts w:eastAsiaTheme="minorEastAsia"/>
      <w:b/>
      <w:bCs/>
      <w:kern w:val="2"/>
      <w:sz w:val="24"/>
      <w:szCs w:val="24"/>
    </w:rPr>
  </w:style>
  <w:style w:type="paragraph" w:customStyle="1" w:styleId="1">
    <w:name w:val="修订1"/>
    <w:hidden/>
    <w:uiPriority w:val="99"/>
    <w:semiHidden/>
    <w:qFormat/>
    <w:rPr>
      <w:rFonts w:eastAsiaTheme="minorEastAsia"/>
      <w:kern w:val="2"/>
      <w:sz w:val="24"/>
      <w:szCs w:val="24"/>
    </w:rPr>
  </w:style>
  <w:style w:type="paragraph" w:customStyle="1" w:styleId="2">
    <w:name w:val="修订2"/>
    <w:hidden/>
    <w:uiPriority w:val="99"/>
    <w:semiHidden/>
    <w:qFormat/>
    <w:rPr>
      <w:rFonts w:eastAsiaTheme="minorEastAsia"/>
      <w:kern w:val="2"/>
      <w:sz w:val="24"/>
      <w:szCs w:val="24"/>
    </w:rPr>
  </w:style>
  <w:style w:type="paragraph" w:styleId="af3">
    <w:name w:val="Revision"/>
    <w:hidden/>
    <w:uiPriority w:val="99"/>
    <w:unhideWhenUsed/>
    <w:rsid w:val="009C51C0"/>
    <w:rPr>
      <w:rFonts w:eastAsiaTheme="minorEastAsia"/>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621</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jzd</cp:lastModifiedBy>
  <cp:revision>38</cp:revision>
  <dcterms:created xsi:type="dcterms:W3CDTF">2025-09-02T06:48:00Z</dcterms:created>
  <dcterms:modified xsi:type="dcterms:W3CDTF">2026-06-12T06:26:00Z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6BC76B4619EB4B3585073614DFCC9C32_12</vt:lpwstr>
  </property>
  <property fmtid="{D5CDD505-2E9C-101B-9397-08002B2CF9AE}" pid="4" name="KSOTemplateDocerSaveRecord">
    <vt:lpwstr>eyJoZGlkIjoiNDgxMDExMDU3MmE0MjNkYTlkNmZjOGRhYjE5MTRhYTIiLCJ1c2VySWQiOiIzNDQzMTM4MzgifQ==</vt:lpwstr>
  </property>
</Properties>
</file>