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9F8D0" w14:textId="4D75C430" w:rsidR="00053498" w:rsidRDefault="00000000">
      <w:pPr>
        <w:jc w:val="both"/>
      </w:pPr>
      <w:r>
        <w:t>证券代码：</w:t>
      </w:r>
      <w:r>
        <w:t>688818</w:t>
      </w:r>
      <w:r>
        <w:tab/>
      </w:r>
      <w:r w:rsidR="00564B47">
        <w:rPr>
          <w:rFonts w:hint="eastAsia"/>
        </w:rPr>
        <w:t xml:space="preserve"> </w:t>
      </w:r>
      <w:r w:rsidR="00564B47">
        <w:tab/>
      </w:r>
      <w:r w:rsidR="00564B47">
        <w:tab/>
      </w:r>
      <w:r w:rsidR="00564B47">
        <w:tab/>
      </w:r>
      <w:r w:rsidR="00564B47">
        <w:tab/>
      </w:r>
      <w:r w:rsidR="00564B47">
        <w:tab/>
      </w:r>
      <w:r w:rsidR="00564B47">
        <w:tab/>
      </w:r>
      <w:r w:rsidR="00564B47">
        <w:tab/>
      </w:r>
      <w:r w:rsidR="00564B47">
        <w:tab/>
      </w:r>
      <w:r w:rsidR="00564B47">
        <w:tab/>
      </w:r>
      <w:r w:rsidR="00564B47">
        <w:tab/>
      </w:r>
      <w:r w:rsidR="00564B47">
        <w:tab/>
      </w:r>
      <w:r>
        <w:t>证券简称：电科蓝天</w:t>
      </w:r>
    </w:p>
    <w:p w14:paraId="5A2AFE74" w14:textId="77777777" w:rsidR="00053498" w:rsidRDefault="00000000">
      <w:pPr>
        <w:spacing w:before="200" w:after="100"/>
        <w:jc w:val="center"/>
      </w:pPr>
      <w:r>
        <w:rPr>
          <w:rFonts w:eastAsia="黑体"/>
          <w:b/>
          <w:sz w:val="36"/>
        </w:rPr>
        <w:t>中电科蓝天科技股份有限公司</w:t>
      </w:r>
    </w:p>
    <w:p w14:paraId="3E709F80" w14:textId="77777777" w:rsidR="00053498" w:rsidRDefault="00000000">
      <w:pPr>
        <w:spacing w:after="100"/>
        <w:jc w:val="center"/>
      </w:pPr>
      <w:r>
        <w:rPr>
          <w:rFonts w:eastAsia="黑体"/>
          <w:b/>
          <w:sz w:val="36"/>
        </w:rPr>
        <w:t>投资者关系活动记录表</w:t>
      </w:r>
    </w:p>
    <w:p w14:paraId="01A3D8E8" w14:textId="04725B59" w:rsidR="00053498" w:rsidRDefault="00000000">
      <w:pPr>
        <w:spacing w:after="200"/>
        <w:jc w:val="right"/>
      </w:pPr>
      <w:r>
        <w:t>编号：</w:t>
      </w:r>
      <w:r>
        <w:t>IR-REC-20260</w:t>
      </w:r>
      <w:r w:rsidR="00935E3B">
        <w:rPr>
          <w:rFonts w:hint="eastAsia"/>
        </w:rPr>
        <w:t>6</w:t>
      </w:r>
      <w:r>
        <w:t>15</w:t>
      </w:r>
    </w:p>
    <w:tbl>
      <w:tblPr>
        <w:tblW w:w="5000" w:type="pc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1608"/>
        <w:gridCol w:w="7438"/>
      </w:tblGrid>
      <w:tr w:rsidR="00053498" w14:paraId="2B0A5C2D" w14:textId="77777777" w:rsidTr="00582156">
        <w:tc>
          <w:tcPr>
            <w:tcW w:w="1608" w:type="dxa"/>
            <w:vAlign w:val="center"/>
          </w:tcPr>
          <w:p w14:paraId="05C4E2E0" w14:textId="77777777" w:rsidR="00053498" w:rsidRDefault="00000000">
            <w:pPr>
              <w:spacing w:before="60" w:after="60"/>
              <w:jc w:val="center"/>
            </w:pPr>
            <w:r>
              <w:t>投资者关系活</w:t>
            </w:r>
          </w:p>
          <w:p w14:paraId="6D404D64" w14:textId="77777777" w:rsidR="00053498" w:rsidRDefault="00000000">
            <w:pPr>
              <w:spacing w:after="60"/>
              <w:jc w:val="center"/>
            </w:pPr>
            <w:r>
              <w:t>动类别</w:t>
            </w:r>
          </w:p>
        </w:tc>
        <w:tc>
          <w:tcPr>
            <w:tcW w:w="7438" w:type="dxa"/>
            <w:vAlign w:val="center"/>
          </w:tcPr>
          <w:p w14:paraId="56E5EC7F" w14:textId="77777777" w:rsidR="00053498" w:rsidRDefault="00000000">
            <w:pPr>
              <w:tabs>
                <w:tab w:val="left" w:pos="3600"/>
              </w:tabs>
              <w:spacing w:before="40" w:after="40" w:line="320" w:lineRule="auto"/>
            </w:pPr>
            <w:r>
              <w:t>□</w:t>
            </w:r>
            <w:r>
              <w:t>特定对象调研</w:t>
            </w:r>
            <w:r>
              <w:tab/>
              <w:t>□</w:t>
            </w:r>
            <w:r>
              <w:t>分析师会议</w:t>
            </w:r>
          </w:p>
          <w:p w14:paraId="4DAEA5C5" w14:textId="77777777" w:rsidR="00053498" w:rsidRDefault="00000000">
            <w:pPr>
              <w:tabs>
                <w:tab w:val="left" w:pos="3600"/>
              </w:tabs>
              <w:spacing w:before="40" w:after="40" w:line="320" w:lineRule="auto"/>
            </w:pPr>
            <w:r>
              <w:t>□</w:t>
            </w:r>
            <w:r>
              <w:t>媒体采访</w:t>
            </w:r>
            <w:r>
              <w:tab/>
              <w:t>□</w:t>
            </w:r>
            <w:r>
              <w:t>业绩说明会</w:t>
            </w:r>
          </w:p>
          <w:p w14:paraId="401A440B" w14:textId="77777777" w:rsidR="00053498" w:rsidRDefault="00000000">
            <w:pPr>
              <w:tabs>
                <w:tab w:val="left" w:pos="3600"/>
              </w:tabs>
              <w:spacing w:before="40" w:after="40" w:line="320" w:lineRule="auto"/>
            </w:pPr>
            <w:r>
              <w:t>□</w:t>
            </w:r>
            <w:r>
              <w:t>新闻发布会</w:t>
            </w:r>
            <w:r>
              <w:tab/>
              <w:t>□</w:t>
            </w:r>
            <w:r>
              <w:t>路演活动</w:t>
            </w:r>
          </w:p>
          <w:p w14:paraId="4AB12CCB" w14:textId="77777777" w:rsidR="00053498" w:rsidRDefault="00000000">
            <w:pPr>
              <w:tabs>
                <w:tab w:val="left" w:pos="3600"/>
              </w:tabs>
              <w:spacing w:before="40" w:after="40" w:line="320" w:lineRule="auto"/>
            </w:pPr>
            <w:r>
              <w:t>□</w:t>
            </w:r>
            <w:r>
              <w:t>现场参观</w:t>
            </w:r>
            <w:r>
              <w:tab/>
              <w:t>√</w:t>
            </w:r>
            <w:r>
              <w:t>券商策略会</w:t>
            </w:r>
          </w:p>
          <w:p w14:paraId="0A103693" w14:textId="77777777" w:rsidR="00053498" w:rsidRDefault="00000000">
            <w:pPr>
              <w:tabs>
                <w:tab w:val="left" w:pos="3600"/>
              </w:tabs>
              <w:spacing w:before="40" w:after="40" w:line="320" w:lineRule="auto"/>
            </w:pPr>
            <w:r>
              <w:t>□</w:t>
            </w:r>
            <w:r>
              <w:t>其他</w:t>
            </w:r>
          </w:p>
        </w:tc>
      </w:tr>
      <w:tr w:rsidR="00053498" w14:paraId="216188EB" w14:textId="77777777" w:rsidTr="00582156">
        <w:tc>
          <w:tcPr>
            <w:tcW w:w="1608" w:type="dxa"/>
            <w:vAlign w:val="center"/>
          </w:tcPr>
          <w:p w14:paraId="477EFBB8" w14:textId="77777777" w:rsidR="00053498" w:rsidRDefault="00000000">
            <w:pPr>
              <w:spacing w:before="60" w:after="60"/>
              <w:jc w:val="center"/>
            </w:pPr>
            <w:r>
              <w:t>参与单位名称</w:t>
            </w:r>
          </w:p>
        </w:tc>
        <w:tc>
          <w:tcPr>
            <w:tcW w:w="7438" w:type="dxa"/>
            <w:vAlign w:val="center"/>
          </w:tcPr>
          <w:p w14:paraId="6D8BA5B9" w14:textId="6A19F172" w:rsidR="00053498" w:rsidRDefault="00AC12F4">
            <w:pPr>
              <w:spacing w:before="60" w:after="60"/>
            </w:pPr>
            <w:r>
              <w:rPr>
                <w:rFonts w:hint="eastAsia"/>
              </w:rPr>
              <w:t>宝盈基金</w:t>
            </w:r>
            <w:r>
              <w:t>、</w:t>
            </w:r>
            <w:r>
              <w:rPr>
                <w:rFonts w:hint="eastAsia"/>
              </w:rPr>
              <w:t>长城基金</w:t>
            </w:r>
            <w:r w:rsidR="00935E3B">
              <w:rPr>
                <w:rFonts w:hint="eastAsia"/>
              </w:rPr>
              <w:t>、</w:t>
            </w:r>
            <w:r w:rsidR="00D129FD">
              <w:rPr>
                <w:rFonts w:hint="eastAsia"/>
              </w:rPr>
              <w:t>国金证券、利多方舟、沁闻投资、松山创投、民沣资产、</w:t>
            </w:r>
            <w:r w:rsidR="004164B9">
              <w:rPr>
                <w:rFonts w:hint="eastAsia"/>
              </w:rPr>
              <w:t>圆信永丰基金、光大保德信基金、博衍基金、金元顺安基金、渤海人寿、华夏久盈、宝弘资</w:t>
            </w:r>
            <w:r w:rsidR="00255222">
              <w:rPr>
                <w:rFonts w:hint="eastAsia"/>
              </w:rPr>
              <w:t>产</w:t>
            </w:r>
            <w:r w:rsidR="004164B9">
              <w:rPr>
                <w:rFonts w:hint="eastAsia"/>
              </w:rPr>
              <w:t>、银河基金、通乾投资、瀛赐基金、润义投资、</w:t>
            </w:r>
            <w:r w:rsidR="00255222">
              <w:rPr>
                <w:rFonts w:hint="eastAsia"/>
              </w:rPr>
              <w:t>朱雀基金、惠升基金、尚颀资本、中银基金、开源证券、旭乘投资、森锦投资、东吴证券、工银安盛、博时基金、鑫融长弘、国泰海通、恒越基金、宁波宝隽、兴银基金、中银资管、鹏石基金、天瑞万合、国寿资产等</w:t>
            </w:r>
          </w:p>
        </w:tc>
      </w:tr>
      <w:tr w:rsidR="00053498" w14:paraId="68828D03" w14:textId="77777777" w:rsidTr="00582156">
        <w:tc>
          <w:tcPr>
            <w:tcW w:w="1608" w:type="dxa"/>
            <w:vAlign w:val="center"/>
          </w:tcPr>
          <w:p w14:paraId="35CE69A0" w14:textId="77777777" w:rsidR="00053498" w:rsidRDefault="00000000">
            <w:pPr>
              <w:spacing w:before="60" w:after="60"/>
              <w:jc w:val="center"/>
            </w:pPr>
            <w:r>
              <w:t>时间</w:t>
            </w:r>
          </w:p>
        </w:tc>
        <w:tc>
          <w:tcPr>
            <w:tcW w:w="7438" w:type="dxa"/>
            <w:vAlign w:val="center"/>
          </w:tcPr>
          <w:p w14:paraId="4AB6F930" w14:textId="252B017D" w:rsidR="00053498" w:rsidRDefault="00000000">
            <w:pPr>
              <w:spacing w:before="60" w:after="60"/>
            </w:pPr>
            <w:r>
              <w:t>2026</w:t>
            </w:r>
            <w:r>
              <w:t>年</w:t>
            </w:r>
            <w:r w:rsidR="00AC12F4">
              <w:rPr>
                <w:rFonts w:hint="eastAsia"/>
              </w:rPr>
              <w:t>6</w:t>
            </w:r>
            <w:r>
              <w:t>月</w:t>
            </w:r>
            <w:r>
              <w:t>3</w:t>
            </w:r>
            <w:r>
              <w:t>日</w:t>
            </w:r>
            <w:r>
              <w:t>-2026</w:t>
            </w:r>
            <w:r>
              <w:t>年</w:t>
            </w:r>
            <w:r w:rsidR="00AC12F4">
              <w:rPr>
                <w:rFonts w:hint="eastAsia"/>
              </w:rPr>
              <w:t>6</w:t>
            </w:r>
            <w:r>
              <w:t>月</w:t>
            </w:r>
            <w:r w:rsidR="00935E3B">
              <w:rPr>
                <w:rFonts w:hint="eastAsia"/>
              </w:rPr>
              <w:t>12</w:t>
            </w:r>
            <w:r>
              <w:t>日</w:t>
            </w:r>
          </w:p>
        </w:tc>
      </w:tr>
      <w:tr w:rsidR="00582156" w14:paraId="5153F17F" w14:textId="77777777" w:rsidTr="00582156">
        <w:tc>
          <w:tcPr>
            <w:tcW w:w="1608" w:type="dxa"/>
            <w:vAlign w:val="center"/>
          </w:tcPr>
          <w:p w14:paraId="54E51EA8" w14:textId="30DB4BDD" w:rsidR="00582156" w:rsidRDefault="00582156">
            <w:pPr>
              <w:spacing w:before="60" w:after="60"/>
              <w:jc w:val="center"/>
            </w:pPr>
            <w:r>
              <w:rPr>
                <w:rFonts w:hint="eastAsia"/>
              </w:rPr>
              <w:t>地点</w:t>
            </w:r>
          </w:p>
        </w:tc>
        <w:tc>
          <w:tcPr>
            <w:tcW w:w="7438" w:type="dxa"/>
            <w:vAlign w:val="center"/>
          </w:tcPr>
          <w:p w14:paraId="74D60392" w14:textId="0C41300A" w:rsidR="00582156" w:rsidRDefault="00AC12F4">
            <w:pPr>
              <w:spacing w:before="60" w:after="60"/>
            </w:pPr>
            <w:r>
              <w:rPr>
                <w:rFonts w:hint="eastAsia"/>
              </w:rPr>
              <w:t>昆明洲际</w:t>
            </w:r>
            <w:r w:rsidR="00935E3B">
              <w:rPr>
                <w:rFonts w:hint="eastAsia"/>
              </w:rPr>
              <w:t>酒店、上海浦东香格里拉酒店、上海浦东文华东方酒店、上海丽晶酒店</w:t>
            </w:r>
          </w:p>
        </w:tc>
      </w:tr>
      <w:tr w:rsidR="00053498" w14:paraId="14237789" w14:textId="77777777" w:rsidTr="00582156">
        <w:tc>
          <w:tcPr>
            <w:tcW w:w="1608" w:type="dxa"/>
            <w:vAlign w:val="center"/>
          </w:tcPr>
          <w:p w14:paraId="73689F7A" w14:textId="77777777" w:rsidR="00053498" w:rsidRDefault="00000000">
            <w:pPr>
              <w:spacing w:before="60" w:after="60"/>
              <w:jc w:val="center"/>
            </w:pPr>
            <w:r>
              <w:t>参与方式</w:t>
            </w:r>
          </w:p>
        </w:tc>
        <w:tc>
          <w:tcPr>
            <w:tcW w:w="7438" w:type="dxa"/>
            <w:vAlign w:val="center"/>
          </w:tcPr>
          <w:p w14:paraId="0FBB0109" w14:textId="77777777" w:rsidR="00053498" w:rsidRDefault="00000000">
            <w:pPr>
              <w:spacing w:before="60" w:after="60"/>
            </w:pPr>
            <w:r>
              <w:t>现场</w:t>
            </w:r>
          </w:p>
        </w:tc>
      </w:tr>
      <w:tr w:rsidR="00053498" w14:paraId="6C1F359D" w14:textId="77777777" w:rsidTr="00582156">
        <w:tc>
          <w:tcPr>
            <w:tcW w:w="1608" w:type="dxa"/>
            <w:vAlign w:val="center"/>
          </w:tcPr>
          <w:p w14:paraId="2FAD7E44" w14:textId="77777777" w:rsidR="00053498" w:rsidRDefault="00000000">
            <w:pPr>
              <w:spacing w:before="60" w:after="60"/>
              <w:jc w:val="center"/>
            </w:pPr>
            <w:r>
              <w:t>上市公司接待</w:t>
            </w:r>
          </w:p>
          <w:p w14:paraId="2DD1B2B9" w14:textId="77777777" w:rsidR="00053498" w:rsidRDefault="00000000">
            <w:pPr>
              <w:spacing w:before="60" w:after="60"/>
              <w:jc w:val="center"/>
            </w:pPr>
            <w:r>
              <w:t>人员姓名</w:t>
            </w:r>
          </w:p>
        </w:tc>
        <w:tc>
          <w:tcPr>
            <w:tcW w:w="7438" w:type="dxa"/>
            <w:vAlign w:val="center"/>
          </w:tcPr>
          <w:p w14:paraId="13C44888" w14:textId="0E0010F6" w:rsidR="00053498" w:rsidRDefault="00000000">
            <w:pPr>
              <w:spacing w:before="60" w:after="60"/>
            </w:pPr>
            <w:r>
              <w:t xml:space="preserve">IR </w:t>
            </w:r>
            <w:r>
              <w:t>刘逸明</w:t>
            </w:r>
          </w:p>
        </w:tc>
      </w:tr>
      <w:tr w:rsidR="00053498" w14:paraId="6B67368F" w14:textId="77777777" w:rsidTr="00582156">
        <w:tc>
          <w:tcPr>
            <w:tcW w:w="1608" w:type="dxa"/>
            <w:vAlign w:val="center"/>
          </w:tcPr>
          <w:p w14:paraId="0458A852" w14:textId="77777777" w:rsidR="00053498" w:rsidRDefault="00000000">
            <w:pPr>
              <w:spacing w:before="60"/>
              <w:jc w:val="center"/>
            </w:pPr>
            <w:r>
              <w:t>投资者关系活</w:t>
            </w:r>
          </w:p>
          <w:p w14:paraId="583E1500" w14:textId="77777777" w:rsidR="00053498" w:rsidRDefault="00000000">
            <w:pPr>
              <w:spacing w:after="60"/>
              <w:jc w:val="center"/>
            </w:pPr>
            <w:r>
              <w:t>动主要内容介</w:t>
            </w:r>
          </w:p>
          <w:p w14:paraId="60B87837" w14:textId="77777777" w:rsidR="00053498" w:rsidRDefault="00000000">
            <w:pPr>
              <w:spacing w:after="60"/>
              <w:jc w:val="center"/>
            </w:pPr>
            <w:r>
              <w:t>绍</w:t>
            </w:r>
          </w:p>
        </w:tc>
        <w:tc>
          <w:tcPr>
            <w:tcW w:w="7438" w:type="dxa"/>
          </w:tcPr>
          <w:p w14:paraId="35A4FEF9" w14:textId="77777777" w:rsidR="00935E3B" w:rsidRDefault="00935E3B" w:rsidP="00935E3B">
            <w:pPr>
              <w:spacing w:before="80" w:after="40"/>
              <w:ind w:firstLine="480"/>
              <w:jc w:val="both"/>
            </w:pPr>
            <w:r>
              <w:t>Q</w:t>
            </w:r>
            <w:r>
              <w:rPr>
                <w:rFonts w:hint="eastAsia"/>
              </w:rPr>
              <w:t>1</w:t>
            </w:r>
            <w:r>
              <w:t>：</w:t>
            </w:r>
            <w:r>
              <w:rPr>
                <w:rFonts w:hint="eastAsia"/>
              </w:rPr>
              <w:t>公司在商业航天电源领域主要有什么业务和产品</w:t>
            </w:r>
            <w:r>
              <w:t>？</w:t>
            </w:r>
          </w:p>
          <w:p w14:paraId="15D65EB1" w14:textId="77777777" w:rsidR="00935E3B" w:rsidRDefault="00935E3B" w:rsidP="00935E3B">
            <w:pPr>
              <w:spacing w:before="40" w:after="80"/>
              <w:ind w:firstLine="480"/>
              <w:jc w:val="both"/>
            </w:pPr>
            <w:r>
              <w:t>A</w:t>
            </w:r>
            <w:r>
              <w:rPr>
                <w:rFonts w:hint="eastAsia"/>
              </w:rPr>
              <w:t>1</w:t>
            </w:r>
            <w:r>
              <w:t>：</w:t>
            </w:r>
            <w:r>
              <w:rPr>
                <w:rFonts w:hint="eastAsia"/>
              </w:rPr>
              <w:t>公司</w:t>
            </w:r>
            <w:r w:rsidRPr="00935E3B">
              <w:t>为商业航天项目提供宇航电源系统，涵盖太阳电池阵、锂离子蓄电池组及电源控制设备等核心产品</w:t>
            </w:r>
            <w:r>
              <w:t>。</w:t>
            </w:r>
          </w:p>
          <w:p w14:paraId="56BFA74F" w14:textId="3BCDFA95" w:rsidR="00053498" w:rsidRDefault="00000000" w:rsidP="00CD6232">
            <w:pPr>
              <w:spacing w:before="80" w:after="40"/>
              <w:ind w:firstLine="480"/>
              <w:jc w:val="both"/>
            </w:pPr>
            <w:r>
              <w:lastRenderedPageBreak/>
              <w:t>Q</w:t>
            </w:r>
            <w:r w:rsidR="00935E3B">
              <w:rPr>
                <w:rFonts w:hint="eastAsia"/>
              </w:rPr>
              <w:t>2</w:t>
            </w:r>
            <w:r>
              <w:t>：公司</w:t>
            </w:r>
            <w:r w:rsidR="00935E3B">
              <w:rPr>
                <w:rFonts w:hint="eastAsia"/>
              </w:rPr>
              <w:t>在</w:t>
            </w:r>
            <w:r>
              <w:t>宇航电源领域市场份额如何？</w:t>
            </w:r>
          </w:p>
          <w:p w14:paraId="11826C53" w14:textId="07BD2884" w:rsidR="00053498" w:rsidRDefault="00000000" w:rsidP="00CD6232">
            <w:pPr>
              <w:spacing w:before="40" w:after="80"/>
              <w:ind w:firstLine="480"/>
              <w:jc w:val="both"/>
            </w:pPr>
            <w:r>
              <w:t>A</w:t>
            </w:r>
            <w:r w:rsidR="00935E3B">
              <w:rPr>
                <w:rFonts w:hint="eastAsia"/>
              </w:rPr>
              <w:t>2</w:t>
            </w:r>
            <w:r>
              <w:t>：公司是国内宇航电源的核心供应商，</w:t>
            </w:r>
            <w:r w:rsidR="00191C37">
              <w:rPr>
                <w:rFonts w:hint="eastAsia"/>
              </w:rPr>
              <w:t>2024</w:t>
            </w:r>
            <w:r w:rsidR="00191C37">
              <w:rPr>
                <w:rFonts w:hint="eastAsia"/>
              </w:rPr>
              <w:t>年</w:t>
            </w:r>
            <w:r>
              <w:t>宇航电源产品在国内市场覆盖率超过</w:t>
            </w:r>
            <w:r>
              <w:t>50%</w:t>
            </w:r>
            <w:r>
              <w:t>。</w:t>
            </w:r>
          </w:p>
          <w:p w14:paraId="2A7AA12E" w14:textId="5BAB33F3" w:rsidR="00935E3B" w:rsidRDefault="00935E3B" w:rsidP="00CD6232">
            <w:pPr>
              <w:spacing w:before="40" w:after="80"/>
              <w:ind w:firstLine="480"/>
              <w:jc w:val="both"/>
            </w:pPr>
            <w:r>
              <w:rPr>
                <w:rFonts w:hint="eastAsia"/>
              </w:rPr>
              <w:t>Q3</w:t>
            </w:r>
            <w:r>
              <w:rPr>
                <w:rFonts w:hint="eastAsia"/>
              </w:rPr>
              <w:t>：公司在商业航天电源领域有什么竞争对手？</w:t>
            </w:r>
          </w:p>
          <w:p w14:paraId="2F8BAF9E" w14:textId="37E486C7" w:rsidR="00935E3B" w:rsidRDefault="00935E3B" w:rsidP="00935E3B">
            <w:pPr>
              <w:spacing w:before="40" w:after="80"/>
              <w:ind w:firstLine="480"/>
              <w:jc w:val="both"/>
              <w:rPr>
                <w:rFonts w:hint="eastAsia"/>
              </w:rPr>
            </w:pPr>
            <w:r>
              <w:rPr>
                <w:rFonts w:hint="eastAsia"/>
              </w:rPr>
              <w:t>A3</w:t>
            </w:r>
            <w:r>
              <w:rPr>
                <w:rFonts w:hint="eastAsia"/>
              </w:rPr>
              <w:t>：</w:t>
            </w:r>
            <w:r>
              <w:rPr>
                <w:rFonts w:hint="eastAsia"/>
              </w:rPr>
              <w:t>除</w:t>
            </w:r>
            <w:r>
              <w:rPr>
                <w:rFonts w:hint="eastAsia"/>
              </w:rPr>
              <w:t>公司</w:t>
            </w:r>
            <w:r>
              <w:rPr>
                <w:rFonts w:hint="eastAsia"/>
              </w:rPr>
              <w:t>外，商业航天宇航电源供应商还包括上海空间电源研究所（</w:t>
            </w:r>
            <w:r>
              <w:rPr>
                <w:rFonts w:hint="eastAsia"/>
              </w:rPr>
              <w:t>811</w:t>
            </w:r>
            <w:r>
              <w:rPr>
                <w:rFonts w:hint="eastAsia"/>
              </w:rPr>
              <w:t>所）、山东航天电子技术研究所（</w:t>
            </w:r>
            <w:r>
              <w:rPr>
                <w:rFonts w:hint="eastAsia"/>
              </w:rPr>
              <w:t>513</w:t>
            </w:r>
            <w:r>
              <w:rPr>
                <w:rFonts w:hint="eastAsia"/>
              </w:rPr>
              <w:t>所）、苏州馥昶空间技术有限公司、深圳市魔方卫星科技有限公司、中山德华芯片技术有限公司、深圳市航天新源科技有限公司等。</w:t>
            </w:r>
          </w:p>
          <w:p w14:paraId="3ECEF6BF" w14:textId="1C8F9DBB" w:rsidR="004F1FCB" w:rsidRDefault="004F1FCB" w:rsidP="004F1FCB">
            <w:pPr>
              <w:spacing w:before="80" w:after="40"/>
              <w:ind w:firstLine="480"/>
              <w:jc w:val="both"/>
            </w:pPr>
            <w:r>
              <w:t>Q</w:t>
            </w:r>
            <w:r>
              <w:rPr>
                <w:rFonts w:hint="eastAsia"/>
              </w:rPr>
              <w:t>4</w:t>
            </w:r>
            <w:r>
              <w:rPr>
                <w:rFonts w:hint="eastAsia"/>
              </w:rPr>
              <w:t>：公司与星网和垣信</w:t>
            </w:r>
            <w:r>
              <w:rPr>
                <w:rFonts w:hint="eastAsia"/>
              </w:rPr>
              <w:t>都</w:t>
            </w:r>
            <w:r>
              <w:rPr>
                <w:rFonts w:hint="eastAsia"/>
              </w:rPr>
              <w:t>有合作吗</w:t>
            </w:r>
            <w:r>
              <w:t>？</w:t>
            </w:r>
          </w:p>
          <w:p w14:paraId="2F2879A2" w14:textId="0BFB70F5" w:rsidR="004F1FCB" w:rsidRDefault="004F1FCB" w:rsidP="004F1FCB">
            <w:pPr>
              <w:spacing w:before="80" w:after="40"/>
              <w:ind w:firstLine="480"/>
              <w:jc w:val="both"/>
            </w:pPr>
            <w:r>
              <w:t>A</w:t>
            </w:r>
            <w:r>
              <w:rPr>
                <w:rFonts w:hint="eastAsia"/>
              </w:rPr>
              <w:t>4</w:t>
            </w:r>
            <w:r>
              <w:t>：</w:t>
            </w:r>
            <w:r w:rsidRPr="00935E3B">
              <w:t>公司为国内两大巨型星座（国网星座</w:t>
            </w:r>
            <w:r w:rsidR="00625287">
              <w:rPr>
                <w:rFonts w:hint="eastAsia"/>
              </w:rPr>
              <w:t>、</w:t>
            </w:r>
            <w:r w:rsidR="00625287" w:rsidRPr="00935E3B">
              <w:t>千帆星座</w:t>
            </w:r>
            <w:r w:rsidRPr="00935E3B">
              <w:t>）供应商，为其提供宇航电源系统配套。具体业务合作情况请以公司在上海证券交易所网站及指定媒体披露的公告为准</w:t>
            </w:r>
            <w:r>
              <w:t>。</w:t>
            </w:r>
          </w:p>
          <w:p w14:paraId="52C102B7" w14:textId="1F393795" w:rsidR="00053498" w:rsidRDefault="00000000" w:rsidP="00CD6232">
            <w:pPr>
              <w:spacing w:before="80" w:after="40"/>
              <w:ind w:firstLine="480"/>
              <w:jc w:val="both"/>
            </w:pPr>
            <w:r>
              <w:t>Q</w:t>
            </w:r>
            <w:r w:rsidR="004F1FCB">
              <w:rPr>
                <w:rFonts w:hint="eastAsia"/>
              </w:rPr>
              <w:t>5</w:t>
            </w:r>
            <w:r>
              <w:t>：公司的</w:t>
            </w:r>
            <w:r w:rsidR="00855473">
              <w:rPr>
                <w:rFonts w:hint="eastAsia"/>
              </w:rPr>
              <w:t>核心客户是星网吗</w:t>
            </w:r>
            <w:r>
              <w:t>？</w:t>
            </w:r>
          </w:p>
          <w:p w14:paraId="51920304" w14:textId="73F8EB48" w:rsidR="00053498" w:rsidRDefault="00000000" w:rsidP="00CD6232">
            <w:pPr>
              <w:spacing w:before="40" w:after="80"/>
              <w:ind w:firstLine="480"/>
              <w:jc w:val="both"/>
            </w:pPr>
            <w:r>
              <w:t>A</w:t>
            </w:r>
            <w:r w:rsidR="004F1FCB">
              <w:rPr>
                <w:rFonts w:hint="eastAsia"/>
              </w:rPr>
              <w:t>5</w:t>
            </w:r>
            <w:r>
              <w:t>：</w:t>
            </w:r>
            <w:r w:rsidR="00935E3B" w:rsidRPr="00935E3B">
              <w:t>公司为国网星座项目提供宇航电源配套，但具体客户结构及收入占比请以公司定期报告披露为准</w:t>
            </w:r>
            <w:r>
              <w:t>。</w:t>
            </w:r>
          </w:p>
          <w:p w14:paraId="698A96CE" w14:textId="202F6843" w:rsidR="00053498" w:rsidRDefault="00000000" w:rsidP="00CD6232">
            <w:pPr>
              <w:spacing w:before="80" w:after="40"/>
              <w:ind w:firstLine="480"/>
              <w:jc w:val="both"/>
            </w:pPr>
            <w:r>
              <w:t>Q</w:t>
            </w:r>
            <w:r w:rsidR="004F1FCB">
              <w:rPr>
                <w:rFonts w:hint="eastAsia"/>
              </w:rPr>
              <w:t>6</w:t>
            </w:r>
            <w:r>
              <w:t>：公司</w:t>
            </w:r>
            <w:r w:rsidR="00855473">
              <w:rPr>
                <w:rFonts w:hint="eastAsia"/>
              </w:rPr>
              <w:t>商业卫星和非商业卫星</w:t>
            </w:r>
            <w:r w:rsidR="00935E3B">
              <w:rPr>
                <w:rFonts w:hint="eastAsia"/>
              </w:rPr>
              <w:t>业务占比</w:t>
            </w:r>
            <w:r>
              <w:t>？</w:t>
            </w:r>
          </w:p>
          <w:p w14:paraId="04C83B53" w14:textId="3232356E" w:rsidR="00053498" w:rsidRDefault="00000000" w:rsidP="00CD6232">
            <w:pPr>
              <w:spacing w:before="40" w:after="80"/>
              <w:ind w:firstLine="480"/>
              <w:jc w:val="both"/>
            </w:pPr>
            <w:r>
              <w:t>A</w:t>
            </w:r>
            <w:r w:rsidR="004F1FCB">
              <w:rPr>
                <w:rFonts w:hint="eastAsia"/>
              </w:rPr>
              <w:t>6</w:t>
            </w:r>
            <w:r>
              <w:t>：</w:t>
            </w:r>
            <w:r w:rsidR="008843BA" w:rsidRPr="008843BA">
              <w:t>根据公司《招股说明书》及审核问询回复披露，公司宇航电源单机及系统产品</w:t>
            </w:r>
            <w:r w:rsidR="008843BA">
              <w:rPr>
                <w:rFonts w:hint="eastAsia"/>
              </w:rPr>
              <w:t>中</w:t>
            </w:r>
            <w:r w:rsidR="008843BA" w:rsidRPr="008843BA">
              <w:t>：</w:t>
            </w:r>
            <w:r w:rsidR="008843BA" w:rsidRPr="008843BA">
              <w:t>2022</w:t>
            </w:r>
            <w:r w:rsidR="008843BA" w:rsidRPr="008843BA">
              <w:t>年传统航天占比约</w:t>
            </w:r>
            <w:r w:rsidR="008843BA" w:rsidRPr="008843BA">
              <w:t>94.72%</w:t>
            </w:r>
            <w:r w:rsidR="008843BA" w:rsidRPr="008843BA">
              <w:t>、商业航天占比约</w:t>
            </w:r>
            <w:r w:rsidR="008843BA" w:rsidRPr="008843BA">
              <w:t>5.28%</w:t>
            </w:r>
            <w:r w:rsidR="008843BA">
              <w:rPr>
                <w:rFonts w:hint="eastAsia"/>
              </w:rPr>
              <w:t>；</w:t>
            </w:r>
            <w:r w:rsidR="008843BA" w:rsidRPr="008843BA">
              <w:t>2023</w:t>
            </w:r>
            <w:r w:rsidR="008843BA" w:rsidRPr="008843BA">
              <w:t>年传统航天占比约</w:t>
            </w:r>
            <w:r w:rsidR="008843BA" w:rsidRPr="008843BA">
              <w:t>88.41%</w:t>
            </w:r>
            <w:r w:rsidR="008843BA" w:rsidRPr="008843BA">
              <w:t>、商业航天占比约</w:t>
            </w:r>
            <w:r w:rsidR="008843BA" w:rsidRPr="008843BA">
              <w:t>11.59%</w:t>
            </w:r>
            <w:r w:rsidR="008843BA" w:rsidRPr="008843BA">
              <w:t>；</w:t>
            </w:r>
            <w:r w:rsidR="008843BA" w:rsidRPr="008843BA">
              <w:t>2024</w:t>
            </w:r>
            <w:r w:rsidR="008843BA" w:rsidRPr="008843BA">
              <w:t>年传统航天占比约</w:t>
            </w:r>
            <w:r w:rsidR="008843BA" w:rsidRPr="008843BA">
              <w:t>66.16%</w:t>
            </w:r>
            <w:r w:rsidR="008843BA" w:rsidRPr="008843BA">
              <w:t>、商业航天占比约</w:t>
            </w:r>
            <w:r w:rsidR="008843BA" w:rsidRPr="008843BA">
              <w:t>33.84%</w:t>
            </w:r>
            <w:r w:rsidR="008843BA" w:rsidRPr="008843BA">
              <w:t>。上述数据为历史时点已披露信息，公司最新经营情况请以定期报告为准</w:t>
            </w:r>
            <w:r>
              <w:t>。</w:t>
            </w:r>
          </w:p>
          <w:p w14:paraId="10989481" w14:textId="5590A18C" w:rsidR="00053498" w:rsidRDefault="00000000" w:rsidP="00CD6232">
            <w:pPr>
              <w:spacing w:before="80" w:after="40"/>
              <w:ind w:firstLine="480"/>
              <w:jc w:val="both"/>
            </w:pPr>
            <w:r>
              <w:t>Q</w:t>
            </w:r>
            <w:r w:rsidR="004F1FCB">
              <w:rPr>
                <w:rFonts w:hint="eastAsia"/>
              </w:rPr>
              <w:t>7</w:t>
            </w:r>
            <w:r>
              <w:t>：</w:t>
            </w:r>
            <w:r w:rsidR="00A9514E">
              <w:rPr>
                <w:rFonts w:hint="eastAsia"/>
              </w:rPr>
              <w:t>公司电源系统在</w:t>
            </w:r>
            <w:r w:rsidR="00855473">
              <w:rPr>
                <w:rFonts w:hint="eastAsia"/>
              </w:rPr>
              <w:t>卫星</w:t>
            </w:r>
            <w:r w:rsidR="00A9514E">
              <w:rPr>
                <w:rFonts w:hint="eastAsia"/>
              </w:rPr>
              <w:t>中的</w:t>
            </w:r>
            <w:r w:rsidR="00855473">
              <w:rPr>
                <w:rFonts w:hint="eastAsia"/>
              </w:rPr>
              <w:t>价值量</w:t>
            </w:r>
            <w:r>
              <w:t>？</w:t>
            </w:r>
          </w:p>
          <w:p w14:paraId="4885D8ED" w14:textId="13434FF3" w:rsidR="00053498" w:rsidRDefault="00000000" w:rsidP="00CD6232">
            <w:pPr>
              <w:spacing w:before="40" w:after="80"/>
              <w:ind w:firstLine="480"/>
              <w:jc w:val="both"/>
            </w:pPr>
            <w:r>
              <w:t>A</w:t>
            </w:r>
            <w:r w:rsidR="004F1FCB">
              <w:rPr>
                <w:rFonts w:hint="eastAsia"/>
              </w:rPr>
              <w:t>7</w:t>
            </w:r>
            <w:r>
              <w:t>：</w:t>
            </w:r>
            <w:r w:rsidR="00A9514E">
              <w:t>卫星主要由平台和载荷两部分构成，不同卫星因功能不同成本结构差异较大。公司此前已在招股书及问询中披露：根据艾瑞咨询数据，定制卫星的平台成本占比约为</w:t>
            </w:r>
            <w:r w:rsidR="00A9514E">
              <w:t>50%</w:t>
            </w:r>
            <w:r w:rsidR="00A9514E">
              <w:t>，批量卫星的平台成本占比约为</w:t>
            </w:r>
            <w:r w:rsidR="00A9514E">
              <w:t>30%</w:t>
            </w:r>
            <w:r w:rsidR="00A9514E">
              <w:t>，姿控系统和电源系统的成本之和约占全卫星平台的</w:t>
            </w:r>
            <w:r w:rsidR="00A9514E">
              <w:t>60%</w:t>
            </w:r>
            <w:r w:rsidR="00A9514E">
              <w:t>以上</w:t>
            </w:r>
            <w:r>
              <w:t>。</w:t>
            </w:r>
          </w:p>
          <w:p w14:paraId="51DFE18D" w14:textId="7164FD65" w:rsidR="00053498" w:rsidRDefault="00000000" w:rsidP="00CD6232">
            <w:pPr>
              <w:spacing w:before="80" w:after="40"/>
              <w:ind w:firstLine="480"/>
              <w:jc w:val="both"/>
            </w:pPr>
            <w:r>
              <w:t>Q</w:t>
            </w:r>
            <w:r w:rsidR="004F1FCB">
              <w:rPr>
                <w:rFonts w:hint="eastAsia"/>
              </w:rPr>
              <w:t>8</w:t>
            </w:r>
            <w:r>
              <w:t>：</w:t>
            </w:r>
            <w:r w:rsidR="004F1FCB">
              <w:rPr>
                <w:rFonts w:hint="eastAsia"/>
              </w:rPr>
              <w:t>对于</w:t>
            </w:r>
            <w:r>
              <w:t>钙钛矿</w:t>
            </w:r>
            <w:r w:rsidR="004F1FCB">
              <w:rPr>
                <w:rFonts w:hint="eastAsia"/>
              </w:rPr>
              <w:t>与</w:t>
            </w:r>
            <w:r w:rsidR="004F1FCB">
              <w:rPr>
                <w:rFonts w:hint="eastAsia"/>
              </w:rPr>
              <w:t>HJT</w:t>
            </w:r>
            <w:r w:rsidR="00AC12F4">
              <w:rPr>
                <w:rFonts w:hint="eastAsia"/>
              </w:rPr>
              <w:t>电池的</w:t>
            </w:r>
            <w:r>
              <w:t>技术</w:t>
            </w:r>
            <w:r w:rsidR="004F1FCB">
              <w:rPr>
                <w:rFonts w:hint="eastAsia"/>
              </w:rPr>
              <w:t>路线怎么看待</w:t>
            </w:r>
            <w:r>
              <w:t>？</w:t>
            </w:r>
          </w:p>
          <w:p w14:paraId="62B478B7" w14:textId="4A59F39E" w:rsidR="00053498" w:rsidRDefault="00000000" w:rsidP="004F1FCB">
            <w:pPr>
              <w:spacing w:before="40" w:after="80"/>
              <w:ind w:firstLine="480"/>
              <w:jc w:val="both"/>
              <w:rPr>
                <w:rFonts w:hint="eastAsia"/>
              </w:rPr>
            </w:pPr>
            <w:r>
              <w:lastRenderedPageBreak/>
              <w:t>A</w:t>
            </w:r>
            <w:r w:rsidR="004F1FCB">
              <w:rPr>
                <w:rFonts w:hint="eastAsia"/>
              </w:rPr>
              <w:t>8</w:t>
            </w:r>
            <w:r>
              <w:t>：太阳电池技术路线的演进是行业持续关注的课题。空间应用场景对太阳电池有严苛的准入门槛，这是评估任何新技术路线适用性的前提，每一种技术路线都需要受可靠性、环境适应性、功率质量比、技术成熟度等多个维度的约束，这导致了空间电源领域技术迭代相对稳健，新技术从实验室到在轨应用通常需要较长的验证周期。公司目前主要采取砷化镓的技术路线，系该技术经过多年的积累，已经满足上述各项条件，在行业中有较高的接受度，公司也时刻保持对各类新兴技术领域的关注。</w:t>
            </w:r>
          </w:p>
          <w:p w14:paraId="7FA2CA64" w14:textId="605A6985" w:rsidR="00053498" w:rsidRDefault="00000000" w:rsidP="00CD6232">
            <w:pPr>
              <w:spacing w:before="80" w:after="40"/>
              <w:ind w:firstLine="480"/>
              <w:jc w:val="both"/>
            </w:pPr>
            <w:r>
              <w:t>Q</w:t>
            </w:r>
            <w:r w:rsidR="00AE1387">
              <w:rPr>
                <w:rFonts w:hint="eastAsia"/>
              </w:rPr>
              <w:t>9</w:t>
            </w:r>
            <w:r>
              <w:t>：</w:t>
            </w:r>
            <w:r w:rsidR="00FC52CD">
              <w:rPr>
                <w:rFonts w:hint="eastAsia"/>
              </w:rPr>
              <w:t>卫星电源毛利率</w:t>
            </w:r>
            <w:r w:rsidR="006C56A6">
              <w:rPr>
                <w:rFonts w:hint="eastAsia"/>
              </w:rPr>
              <w:t>有多少</w:t>
            </w:r>
            <w:r>
              <w:t>？</w:t>
            </w:r>
          </w:p>
          <w:p w14:paraId="7C54C3C5" w14:textId="15883707" w:rsidR="00053498" w:rsidRDefault="00000000" w:rsidP="00596914">
            <w:pPr>
              <w:spacing w:before="40" w:after="80"/>
              <w:ind w:firstLine="480"/>
              <w:jc w:val="both"/>
            </w:pPr>
            <w:r>
              <w:t>A</w:t>
            </w:r>
            <w:r w:rsidR="00AE1387">
              <w:rPr>
                <w:rFonts w:hint="eastAsia"/>
              </w:rPr>
              <w:t>9</w:t>
            </w:r>
            <w:r>
              <w:t>：公司未披露</w:t>
            </w:r>
            <w:r w:rsidR="006C56A6">
              <w:rPr>
                <w:rFonts w:hint="eastAsia"/>
              </w:rPr>
              <w:t>具体产品的毛利率</w:t>
            </w:r>
            <w:r>
              <w:t>。</w:t>
            </w:r>
            <w:r w:rsidR="006C56A6">
              <w:rPr>
                <w:rFonts w:hint="eastAsia"/>
              </w:rPr>
              <w:t>公司年报对于宇航电源业务的总体毛利率进行了披露，</w:t>
            </w:r>
            <w:r w:rsidR="006C56A6" w:rsidRPr="006C56A6">
              <w:t>2025</w:t>
            </w:r>
            <w:r w:rsidR="006C56A6" w:rsidRPr="006C56A6">
              <w:t>年度宇航电源业务毛利率为</w:t>
            </w:r>
            <w:r w:rsidR="006C56A6" w:rsidRPr="006C56A6">
              <w:t>30.01%</w:t>
            </w:r>
            <w:r>
              <w:t>。</w:t>
            </w:r>
          </w:p>
          <w:p w14:paraId="4D66A83E" w14:textId="3BEB9A2C" w:rsidR="00F20C66" w:rsidRDefault="00F20C66" w:rsidP="00596914">
            <w:pPr>
              <w:spacing w:before="40" w:after="80"/>
              <w:ind w:firstLine="480"/>
              <w:jc w:val="both"/>
            </w:pPr>
            <w:r>
              <w:rPr>
                <w:rFonts w:hint="eastAsia"/>
              </w:rPr>
              <w:t>Q10</w:t>
            </w:r>
            <w:r>
              <w:rPr>
                <w:rFonts w:hint="eastAsia"/>
              </w:rPr>
              <w:t>：</w:t>
            </w:r>
            <w:r w:rsidR="00C23533">
              <w:rPr>
                <w:rFonts w:hint="eastAsia"/>
              </w:rPr>
              <w:t>公司与哪些</w:t>
            </w:r>
            <w:r w:rsidR="00CB2EFB">
              <w:rPr>
                <w:rFonts w:hint="eastAsia"/>
              </w:rPr>
              <w:t>商业航天</w:t>
            </w:r>
            <w:r w:rsidR="00491463">
              <w:rPr>
                <w:rFonts w:hint="eastAsia"/>
              </w:rPr>
              <w:t>单位</w:t>
            </w:r>
            <w:r w:rsidR="00B91C1C">
              <w:rPr>
                <w:rFonts w:hint="eastAsia"/>
              </w:rPr>
              <w:t>建立了</w:t>
            </w:r>
            <w:r w:rsidR="00BF4677">
              <w:rPr>
                <w:rFonts w:hint="eastAsia"/>
              </w:rPr>
              <w:t>合作</w:t>
            </w:r>
            <w:r w:rsidR="00B91C1C">
              <w:rPr>
                <w:rFonts w:hint="eastAsia"/>
              </w:rPr>
              <w:t>？</w:t>
            </w:r>
          </w:p>
          <w:p w14:paraId="4C22265A" w14:textId="29DF48A4" w:rsidR="00F20C66" w:rsidRDefault="00F20C66" w:rsidP="00B91C1C">
            <w:pPr>
              <w:spacing w:before="40" w:after="80"/>
              <w:ind w:firstLine="480"/>
              <w:jc w:val="both"/>
            </w:pPr>
            <w:r>
              <w:rPr>
                <w:rFonts w:hint="eastAsia"/>
              </w:rPr>
              <w:t>A10</w:t>
            </w:r>
            <w:r>
              <w:rPr>
                <w:rFonts w:hint="eastAsia"/>
              </w:rPr>
              <w:t>：</w:t>
            </w:r>
            <w:r w:rsidR="00B91C1C">
              <w:rPr>
                <w:rFonts w:hint="eastAsia"/>
              </w:rPr>
              <w:t>基于在传统航天领域的深厚积淀和多年来对商业航天市场的持续开拓，</w:t>
            </w:r>
            <w:r w:rsidR="00B91C1C">
              <w:rPr>
                <w:rFonts w:hint="eastAsia"/>
              </w:rPr>
              <w:t>公司</w:t>
            </w:r>
            <w:r w:rsidR="00B91C1C">
              <w:rPr>
                <w:rFonts w:hint="eastAsia"/>
              </w:rPr>
              <w:t>已与中国商星、银河航天、长光卫星、格思航天、微纳星空、工大卫星、蓝箭鸿擎、中科宇航、科工火箭等</w:t>
            </w:r>
            <w:r w:rsidR="00B91C1C">
              <w:rPr>
                <w:rFonts w:hint="eastAsia"/>
              </w:rPr>
              <w:t>40</w:t>
            </w:r>
            <w:r w:rsidR="00B91C1C">
              <w:rPr>
                <w:rFonts w:hint="eastAsia"/>
              </w:rPr>
              <w:t>余家国内主要商业航天卫星和运载火箭总体单位建立了长期稳定的合作关系</w:t>
            </w:r>
            <w:r>
              <w:rPr>
                <w:rFonts w:hint="eastAsia"/>
              </w:rPr>
              <w:t>。</w:t>
            </w:r>
          </w:p>
          <w:p w14:paraId="3EA72C0C" w14:textId="343C884B" w:rsidR="00F20C66" w:rsidRDefault="00F20C66" w:rsidP="00596914">
            <w:pPr>
              <w:spacing w:before="40" w:after="80"/>
              <w:ind w:firstLine="480"/>
              <w:jc w:val="both"/>
            </w:pPr>
            <w:r>
              <w:rPr>
                <w:rFonts w:hint="eastAsia"/>
              </w:rPr>
              <w:t>Q11</w:t>
            </w:r>
            <w:r>
              <w:rPr>
                <w:rFonts w:hint="eastAsia"/>
              </w:rPr>
              <w:t>：商业卫星</w:t>
            </w:r>
            <w:r w:rsidR="00AE1387">
              <w:rPr>
                <w:rFonts w:hint="eastAsia"/>
              </w:rPr>
              <w:t>的</w:t>
            </w:r>
            <w:r>
              <w:rPr>
                <w:rFonts w:hint="eastAsia"/>
              </w:rPr>
              <w:t>商业闭环</w:t>
            </w:r>
            <w:r w:rsidR="00E6589E">
              <w:rPr>
                <w:rFonts w:hint="eastAsia"/>
              </w:rPr>
              <w:t>是否</w:t>
            </w:r>
            <w:r>
              <w:rPr>
                <w:rFonts w:hint="eastAsia"/>
              </w:rPr>
              <w:t>走通</w:t>
            </w:r>
            <w:r w:rsidR="004C3BDC">
              <w:rPr>
                <w:rFonts w:hint="eastAsia"/>
              </w:rPr>
              <w:t>？</w:t>
            </w:r>
          </w:p>
          <w:p w14:paraId="2B6F644A" w14:textId="0CBBEE3E" w:rsidR="003C514C" w:rsidRDefault="00F20C66" w:rsidP="00AE1387">
            <w:pPr>
              <w:spacing w:before="40" w:after="80"/>
              <w:ind w:firstLine="480"/>
              <w:jc w:val="both"/>
            </w:pPr>
            <w:r>
              <w:rPr>
                <w:rFonts w:hint="eastAsia"/>
              </w:rPr>
              <w:t>A11</w:t>
            </w:r>
            <w:r>
              <w:rPr>
                <w:rFonts w:hint="eastAsia"/>
              </w:rPr>
              <w:t>：</w:t>
            </w:r>
            <w:r w:rsidR="006C56A6" w:rsidRPr="006C56A6">
              <w:t>公司作为宇航电源产业链上游供应商，主要面向卫星总体单位提供电源分系统配套。关于商业</w:t>
            </w:r>
            <w:r w:rsidR="00AE1387">
              <w:rPr>
                <w:rFonts w:hint="eastAsia"/>
              </w:rPr>
              <w:t>卫星</w:t>
            </w:r>
            <w:r w:rsidR="006C56A6" w:rsidRPr="006C56A6">
              <w:t>下游应用市场的商业化进程，</w:t>
            </w:r>
            <w:r w:rsidR="00AE1387">
              <w:rPr>
                <w:rFonts w:hint="eastAsia"/>
              </w:rPr>
              <w:t>可能需要进一步咨询下游的相关企业以获取更专业准确的意见。</w:t>
            </w:r>
            <w:r w:rsidR="006C56A6" w:rsidRPr="006C56A6">
              <w:t>公司</w:t>
            </w:r>
            <w:r w:rsidR="00AE1387">
              <w:rPr>
                <w:rFonts w:hint="eastAsia"/>
              </w:rPr>
              <w:t>此前在问询回复中提示过</w:t>
            </w:r>
            <w:r w:rsidR="006C56A6" w:rsidRPr="006C56A6">
              <w:t>当前商业航天下游卫星互联网、遥感应用等场景商业化闭环尚未成熟。</w:t>
            </w:r>
          </w:p>
        </w:tc>
      </w:tr>
      <w:tr w:rsidR="00053498" w14:paraId="7E08C4D5" w14:textId="77777777" w:rsidTr="00582156">
        <w:tc>
          <w:tcPr>
            <w:tcW w:w="1608" w:type="dxa"/>
            <w:vAlign w:val="center"/>
          </w:tcPr>
          <w:p w14:paraId="71A4F752" w14:textId="77777777" w:rsidR="00053498" w:rsidRDefault="00000000">
            <w:pPr>
              <w:spacing w:before="60" w:after="60"/>
              <w:jc w:val="center"/>
            </w:pPr>
            <w:r>
              <w:lastRenderedPageBreak/>
              <w:t>附件清单</w:t>
            </w:r>
          </w:p>
        </w:tc>
        <w:tc>
          <w:tcPr>
            <w:tcW w:w="7438" w:type="dxa"/>
            <w:vAlign w:val="center"/>
          </w:tcPr>
          <w:p w14:paraId="60B0E9DE" w14:textId="77777777" w:rsidR="00053498" w:rsidRDefault="00000000">
            <w:pPr>
              <w:spacing w:before="60" w:after="60"/>
            </w:pPr>
            <w:r>
              <w:t>无</w:t>
            </w:r>
          </w:p>
        </w:tc>
      </w:tr>
    </w:tbl>
    <w:p w14:paraId="317421C1" w14:textId="77777777" w:rsidR="00EE52EB" w:rsidRDefault="00EE52EB"/>
    <w:sectPr w:rsidR="00EE52EB">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E6A21" w14:textId="77777777" w:rsidR="006A5213" w:rsidRDefault="006A5213" w:rsidP="00451D8F">
      <w:pPr>
        <w:spacing w:line="240" w:lineRule="auto"/>
      </w:pPr>
      <w:r>
        <w:separator/>
      </w:r>
    </w:p>
  </w:endnote>
  <w:endnote w:type="continuationSeparator" w:id="0">
    <w:p w14:paraId="516D6113" w14:textId="77777777" w:rsidR="006A5213" w:rsidRDefault="006A5213" w:rsidP="00451D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DFC4F" w14:textId="77777777" w:rsidR="006A5213" w:rsidRDefault="006A5213" w:rsidP="00451D8F">
      <w:pPr>
        <w:spacing w:line="240" w:lineRule="auto"/>
      </w:pPr>
      <w:r>
        <w:separator/>
      </w:r>
    </w:p>
  </w:footnote>
  <w:footnote w:type="continuationSeparator" w:id="0">
    <w:p w14:paraId="31F39780" w14:textId="77777777" w:rsidR="006A5213" w:rsidRDefault="006A5213" w:rsidP="00451D8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53498"/>
    <w:rsid w:val="00040B9D"/>
    <w:rsid w:val="00053498"/>
    <w:rsid w:val="00081D43"/>
    <w:rsid w:val="00087358"/>
    <w:rsid w:val="000E2063"/>
    <w:rsid w:val="00127AB3"/>
    <w:rsid w:val="001846D1"/>
    <w:rsid w:val="00191C37"/>
    <w:rsid w:val="00255222"/>
    <w:rsid w:val="002F1A96"/>
    <w:rsid w:val="00340639"/>
    <w:rsid w:val="003B484A"/>
    <w:rsid w:val="003B52F7"/>
    <w:rsid w:val="003C514C"/>
    <w:rsid w:val="00406375"/>
    <w:rsid w:val="004164B9"/>
    <w:rsid w:val="00451D8F"/>
    <w:rsid w:val="00460990"/>
    <w:rsid w:val="00491463"/>
    <w:rsid w:val="004C3BDC"/>
    <w:rsid w:val="004C638C"/>
    <w:rsid w:val="004F1FCB"/>
    <w:rsid w:val="00564B47"/>
    <w:rsid w:val="005665BB"/>
    <w:rsid w:val="00582156"/>
    <w:rsid w:val="00596914"/>
    <w:rsid w:val="005F691A"/>
    <w:rsid w:val="00625287"/>
    <w:rsid w:val="006665B4"/>
    <w:rsid w:val="00667F46"/>
    <w:rsid w:val="006A5213"/>
    <w:rsid w:val="006C56A6"/>
    <w:rsid w:val="00780CD2"/>
    <w:rsid w:val="00783F55"/>
    <w:rsid w:val="00855473"/>
    <w:rsid w:val="008843BA"/>
    <w:rsid w:val="008D1EEB"/>
    <w:rsid w:val="00935E3B"/>
    <w:rsid w:val="00972531"/>
    <w:rsid w:val="00A9514E"/>
    <w:rsid w:val="00AC12F4"/>
    <w:rsid w:val="00AE1387"/>
    <w:rsid w:val="00B91C1C"/>
    <w:rsid w:val="00BA2D17"/>
    <w:rsid w:val="00BE4314"/>
    <w:rsid w:val="00BF4677"/>
    <w:rsid w:val="00C172D7"/>
    <w:rsid w:val="00C23533"/>
    <w:rsid w:val="00C50F68"/>
    <w:rsid w:val="00CB2EFB"/>
    <w:rsid w:val="00CD6232"/>
    <w:rsid w:val="00D129FD"/>
    <w:rsid w:val="00D15021"/>
    <w:rsid w:val="00D84D51"/>
    <w:rsid w:val="00DA2B30"/>
    <w:rsid w:val="00E46C21"/>
    <w:rsid w:val="00E6589E"/>
    <w:rsid w:val="00E874E7"/>
    <w:rsid w:val="00EE52EB"/>
    <w:rsid w:val="00F0521A"/>
    <w:rsid w:val="00F16BA0"/>
    <w:rsid w:val="00F20C66"/>
    <w:rsid w:val="00F654A5"/>
    <w:rsid w:val="00FC5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EFE8E"/>
  <w15:docId w15:val="{02996CEC-AB19-4F9E-BF9B-232E39610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360" w:lineRule="auto"/>
    </w:pPr>
    <w:rPr>
      <w:rFonts w:ascii="Times New Roman" w:eastAsia="宋体"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1D8F"/>
    <w:pP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451D8F"/>
    <w:rPr>
      <w:rFonts w:ascii="Times New Roman" w:eastAsia="宋体" w:hAnsi="Times New Roman"/>
      <w:sz w:val="18"/>
      <w:szCs w:val="18"/>
    </w:rPr>
  </w:style>
  <w:style w:type="paragraph" w:styleId="a5">
    <w:name w:val="footer"/>
    <w:basedOn w:val="a"/>
    <w:link w:val="a6"/>
    <w:uiPriority w:val="99"/>
    <w:unhideWhenUsed/>
    <w:rsid w:val="00451D8F"/>
    <w:pPr>
      <w:tabs>
        <w:tab w:val="center" w:pos="4153"/>
        <w:tab w:val="right" w:pos="8306"/>
      </w:tabs>
      <w:snapToGrid w:val="0"/>
      <w:spacing w:line="240" w:lineRule="auto"/>
    </w:pPr>
    <w:rPr>
      <w:sz w:val="18"/>
      <w:szCs w:val="18"/>
    </w:rPr>
  </w:style>
  <w:style w:type="character" w:customStyle="1" w:styleId="a6">
    <w:name w:val="页脚 字符"/>
    <w:basedOn w:val="a0"/>
    <w:link w:val="a5"/>
    <w:uiPriority w:val="99"/>
    <w:rsid w:val="00451D8F"/>
    <w:rPr>
      <w:rFonts w:ascii="Times New Roman" w:eastAsia="宋体"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3</Pages>
  <Words>277</Words>
  <Characters>1582</Characters>
  <Application>Microsoft Office Word</Application>
  <DocSecurity>0</DocSecurity>
  <Lines>13</Lines>
  <Paragraphs>3</Paragraphs>
  <ScaleCrop>false</ScaleCrop>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User7</cp:lastModifiedBy>
  <cp:revision>45</cp:revision>
  <dcterms:created xsi:type="dcterms:W3CDTF">2026-05-15T04:45:00Z</dcterms:created>
  <dcterms:modified xsi:type="dcterms:W3CDTF">2026-06-13T04:40:00Z</dcterms:modified>
</cp:coreProperties>
</file>