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C7B9D">
      <w:pPr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证券代码：</w:t>
      </w:r>
      <w:r>
        <w:rPr>
          <w:rFonts w:ascii="Times New Roman" w:hAnsi="Times New Roman" w:eastAsia="宋体" w:cs="Times New Roman"/>
          <w:sz w:val="24"/>
          <w:szCs w:val="24"/>
        </w:rPr>
        <w:t>688343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>证券简称：云天励飞</w:t>
      </w:r>
    </w:p>
    <w:p w14:paraId="0B906C8F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深圳云天励飞技术股份有限公司</w:t>
      </w:r>
    </w:p>
    <w:p w14:paraId="4C15BBFA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6D0AA6E6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（2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026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年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月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日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–2026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年6月1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日）</w:t>
      </w:r>
    </w:p>
    <w:p w14:paraId="6DBD1D39">
      <w:pPr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编号：</w:t>
      </w:r>
      <w:r>
        <w:rPr>
          <w:rFonts w:ascii="Times New Roman" w:hAnsi="Times New Roman" w:eastAsia="宋体" w:cs="Times New Roman"/>
          <w:sz w:val="24"/>
          <w:szCs w:val="24"/>
        </w:rPr>
        <w:t>2026-006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34"/>
      </w:tblGrid>
      <w:tr w14:paraId="6388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8833C4">
            <w:pPr>
              <w:spacing w:line="48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36D0E7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☑特定对象调研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5AF8FA91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媒体采访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1CB185EA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新闻发布会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616B11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现场参观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</w:t>
            </w:r>
          </w:p>
        </w:tc>
      </w:tr>
      <w:tr w14:paraId="65F8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6EA12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289C13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中国人保资管、华夏未来资管、鹏华资管、中银资管、前海开源资管、国泰海通资管、南银理财、平安基金、农银汇理基金、富安达基金、长盛基金、金信基金、国联基金、天榕基金、宸泽基金、惠升基金、上海保银私募基金、上海歌汝私募基金、北京暖逸欣私募基金、北京秋收私募基金、长青藤资管、拾贝投资管理、磐稳投资、上海中域投资、上海瓦洛兰投资、上海砥俊资管、上海朴道瑞富资管、上海宝弘景资管、上海火线资管、深圳市康曼德资管、深圳量度资本、深圳市辰禾投资、杭州附加值投资、南京望岳资管、国金证券、申万宏源证券等3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家机构代表，共计</w:t>
            </w:r>
            <w:bookmarkStart w:id="0" w:name="OLE_LINK5"/>
            <w:bookmarkStart w:id="1" w:name="OLE_LINK4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8</w:t>
            </w:r>
            <w:bookmarkEnd w:id="0"/>
            <w:bookmarkEnd w:id="1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人。</w:t>
            </w:r>
          </w:p>
        </w:tc>
      </w:tr>
      <w:tr w14:paraId="280B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CBDC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590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2026年6月1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5630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855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C8D8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线下：外部其他场所</w:t>
            </w:r>
          </w:p>
        </w:tc>
      </w:tr>
      <w:tr w14:paraId="2430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34E98B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2E66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投资总监：韩暘先生</w:t>
            </w:r>
          </w:p>
        </w:tc>
      </w:tr>
      <w:tr w14:paraId="205B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8D4C">
            <w:pP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bookmarkStart w:id="2" w:name="_Hlk229141823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投资者关系活动主要内容介绍</w:t>
            </w:r>
          </w:p>
          <w:p w14:paraId="1CE59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1977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baseline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一、</w:t>
            </w:r>
            <w:bookmarkStart w:id="3" w:name="OLE_LINK2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公司情况介绍</w:t>
            </w:r>
            <w:bookmarkEnd w:id="3"/>
          </w:p>
          <w:p w14:paraId="29D3061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baseline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二、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Q</w:t>
            </w:r>
            <w:bookmarkStart w:id="4" w:name="OLE_LINK1"/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&amp;A</w:t>
            </w:r>
            <w:bookmarkEnd w:id="4"/>
          </w:p>
          <w:p w14:paraId="4B7DD78C">
            <w:pPr>
              <w:widowControl/>
              <w:shd w:val="clear" w:color="auto" w:fill="FFFFFF"/>
              <w:spacing w:line="360" w:lineRule="auto"/>
              <w:ind w:firstLine="482" w:firstLineChars="200"/>
              <w:textAlignment w:val="baseline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bookmarkStart w:id="5" w:name="OLE_LINK16"/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1、</w:t>
            </w:r>
            <w:bookmarkStart w:id="6" w:name="OLE_LINK23"/>
            <w:r>
              <w:rPr>
                <w:rFonts w:hint="eastAsia" w:ascii="Times New Roman" w:hAnsi="Times New Roman" w:eastAsia="宋体" w:cs="Times New Roman"/>
                <w:b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能否介绍一下公司</w:t>
            </w:r>
            <w:r>
              <w:rPr>
                <w:rFonts w:hint="eastAsia" w:ascii="Times New Roman" w:hAnsi="Times New Roman" w:eastAsia="宋体" w:cs="Times New Roman"/>
                <w:b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在研的推理芯片技术路线及架构特点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？</w:t>
            </w:r>
            <w:bookmarkEnd w:id="6"/>
          </w:p>
          <w:p w14:paraId="1FFF7D4F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textAlignment w:val="baseline"/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答：</w:t>
            </w:r>
            <w:bookmarkStart w:id="7" w:name="OLE_LINK6"/>
            <w:bookmarkStart w:id="8" w:name="OLE_LINK7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公司正在研发的推理芯片，采用GPNPU架构为核心技术路线，主要技术亮点包括四个方面，一是GPGPU级通用编程能力：面向国内芯片“易用性”痛点，GPNPU架构强调对主流CUDA等生态的兼容与迁移支持，以降低客户模型部署与迁移门槛；二是极致能效的NPU内核：围绕推理效率与能效比进行深度优化，提升推理侧性价比；三是引入3D堆叠存储架构：采用3D堆叠存储架构，以获得更高带宽与更低访问时延，突破“内存墙”，提升推理效率；四是算力积木架构：公司延续</w:t>
            </w:r>
            <w:bookmarkStart w:id="12" w:name="_GoBack"/>
            <w:bookmarkEnd w:id="12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过去五年在国产工艺上的探索，以“算力积木”架构利用下一代芯片构建机架级Scale-up超节点，以满足万亿级乃至十万亿级MoE架构大模型的推理需求。</w:t>
            </w:r>
          </w:p>
          <w:p w14:paraId="1EB159A5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textAlignment w:val="baseline"/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公司通过该技术路线目标是指数级降低Token成本，加速大模型应用的规模化、普惠化落地。</w:t>
            </w:r>
          </w:p>
          <w:p w14:paraId="375626AF">
            <w:pPr>
              <w:widowControl/>
              <w:shd w:val="clear" w:color="auto" w:fill="FFFFFF"/>
              <w:spacing w:line="360" w:lineRule="auto"/>
              <w:ind w:firstLine="482" w:firstLineChars="200"/>
              <w:textAlignment w:val="baseline"/>
              <w:rPr>
                <w:rFonts w:hint="default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2、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能否介绍下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当前研发团队整体规模情况？</w:t>
            </w:r>
          </w:p>
          <w:p w14:paraId="6CBD94BF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textAlignment w:val="baseline"/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答：公司拥有高素质的研发团队，形成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了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由资深行业专家引领的芯片设计与算法研发协同体系，为快速的产品创新与技术突破提供了支撑。公司的研发团队由多位国内知名专家领衔，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长期在国内知名科技企业工作，平均深耕AI产业超过25年。他们拥有丰富的芯片架构设计、算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开发优化经验。截至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年底，公司拥有研发人员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589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人，占公司总人数的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59.20%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在公司团队建设方面，公司将进一步完善人才引育留用机制，吸纳高端技术与管理人才，为业务发展提供人力支撑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。</w:t>
            </w:r>
          </w:p>
          <w:bookmarkEnd w:id="7"/>
          <w:bookmarkEnd w:id="8"/>
          <w:p w14:paraId="49A2D482">
            <w:pPr>
              <w:widowControl/>
              <w:shd w:val="clear" w:color="auto" w:fill="FFFFFF"/>
              <w:spacing w:line="360" w:lineRule="auto"/>
              <w:ind w:firstLine="482" w:firstLineChars="200"/>
              <w:textAlignment w:val="baseline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bookmarkStart w:id="9" w:name="OLE_LINK13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公司在上海设立浦云天芯子公司，</w:t>
            </w:r>
            <w:bookmarkStart w:id="10" w:name="OLE_LINK3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是</w:t>
            </w:r>
            <w:bookmarkEnd w:id="10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基于怎样的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布局考虑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？</w:t>
            </w:r>
          </w:p>
          <w:p w14:paraId="502C9858">
            <w:pPr>
              <w:widowControl/>
              <w:shd w:val="clear" w:color="auto" w:fill="FFFFFF"/>
              <w:spacing w:line="360" w:lineRule="auto"/>
              <w:ind w:firstLine="480" w:firstLineChars="200"/>
              <w:textAlignment w:val="baseline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答：公司上海子公司浦云天芯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于今年5月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正式揭牌，作为公司在上海布局的重要载体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浦云天芯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依托上海及长三角地区完善的半导体产业基础和创新资源，深度链接高校、科研机构及产业链上下游合作伙伴，强化公司在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AI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推理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时代的技术创新能力和生态合作能力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。未来，浦云天芯将围绕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AI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大算力推理芯片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研发、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技术创新、人才集聚与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协同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等方向开展工作</w:t>
            </w:r>
            <w:bookmarkStart w:id="11" w:name="OLE_LINK10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。</w:t>
            </w:r>
            <w:bookmarkEnd w:id="5"/>
            <w:bookmarkEnd w:id="9"/>
            <w:bookmarkEnd w:id="11"/>
          </w:p>
        </w:tc>
      </w:tr>
      <w:bookmarkEnd w:id="2"/>
      <w:tr w14:paraId="2966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5F82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附件清单（如有）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CFC41">
            <w:pP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20165084">
      <w:pPr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27"/>
    <w:rsid w:val="0001574D"/>
    <w:rsid w:val="000A3F6C"/>
    <w:rsid w:val="000B0FFE"/>
    <w:rsid w:val="000B5B79"/>
    <w:rsid w:val="000E25DC"/>
    <w:rsid w:val="00140CEC"/>
    <w:rsid w:val="001B3B44"/>
    <w:rsid w:val="001C04A6"/>
    <w:rsid w:val="002601C6"/>
    <w:rsid w:val="002A4A49"/>
    <w:rsid w:val="002C0350"/>
    <w:rsid w:val="002F3929"/>
    <w:rsid w:val="002F3D1D"/>
    <w:rsid w:val="003347EE"/>
    <w:rsid w:val="0034788F"/>
    <w:rsid w:val="0035332E"/>
    <w:rsid w:val="00386163"/>
    <w:rsid w:val="003926D5"/>
    <w:rsid w:val="003F4928"/>
    <w:rsid w:val="00413A88"/>
    <w:rsid w:val="0043058F"/>
    <w:rsid w:val="004B35E7"/>
    <w:rsid w:val="004D6C84"/>
    <w:rsid w:val="005600EE"/>
    <w:rsid w:val="00575441"/>
    <w:rsid w:val="00575B41"/>
    <w:rsid w:val="00696EC6"/>
    <w:rsid w:val="006A214B"/>
    <w:rsid w:val="006B5E99"/>
    <w:rsid w:val="0072101A"/>
    <w:rsid w:val="007375D8"/>
    <w:rsid w:val="007F23C8"/>
    <w:rsid w:val="008738C8"/>
    <w:rsid w:val="00965B46"/>
    <w:rsid w:val="00980FB5"/>
    <w:rsid w:val="00983463"/>
    <w:rsid w:val="00A77CED"/>
    <w:rsid w:val="00A90791"/>
    <w:rsid w:val="00AB7423"/>
    <w:rsid w:val="00AE3471"/>
    <w:rsid w:val="00B35B0E"/>
    <w:rsid w:val="00B93530"/>
    <w:rsid w:val="00B935B6"/>
    <w:rsid w:val="00BF2EC7"/>
    <w:rsid w:val="00C456F0"/>
    <w:rsid w:val="00C57564"/>
    <w:rsid w:val="00C822B9"/>
    <w:rsid w:val="00CF30A6"/>
    <w:rsid w:val="00D61524"/>
    <w:rsid w:val="00D8229E"/>
    <w:rsid w:val="00DB3E16"/>
    <w:rsid w:val="00DC042A"/>
    <w:rsid w:val="00DC3DD2"/>
    <w:rsid w:val="00DD4CC7"/>
    <w:rsid w:val="00DF4D02"/>
    <w:rsid w:val="00E217AD"/>
    <w:rsid w:val="00EB4C04"/>
    <w:rsid w:val="00F279C3"/>
    <w:rsid w:val="00F6640A"/>
    <w:rsid w:val="00FC6C79"/>
    <w:rsid w:val="00FE0442"/>
    <w:rsid w:val="00FE7627"/>
    <w:rsid w:val="04E15802"/>
    <w:rsid w:val="0D3C3AD7"/>
    <w:rsid w:val="2B51698E"/>
    <w:rsid w:val="435766B4"/>
    <w:rsid w:val="474E3470"/>
    <w:rsid w:val="5361397A"/>
    <w:rsid w:val="59993190"/>
    <w:rsid w:val="5B465BFF"/>
    <w:rsid w:val="6623094C"/>
    <w:rsid w:val="67F56B0E"/>
    <w:rsid w:val="78B1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spacing w:line="480" w:lineRule="atLeast"/>
      <w:ind w:firstLine="420" w:firstLineChars="200"/>
    </w:pPr>
    <w:rPr>
      <w:rFonts w:ascii="宋体" w:hAnsi="宋体" w:eastAsia="宋体" w:cs="Times New Roman"/>
      <w:bCs/>
      <w:iCs/>
      <w:sz w:val="24"/>
      <w:szCs w:val="24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1548b43f-e059-481a-8f72-d59bb0cfd5a9</errorID>
      <errorWord>北京暖</errorWord>
      <group>L1_Word</group>
      <groupName>字词问题</groupName>
      <ability>L2_Typo</ability>
      <abilityName>字词错误</abilityName>
      <candidateList>
        <item>北京</item>
      </candidateList>
      <explain/>
      <paraID>39289C13</paraID>
      <start>109</start>
      <end>112</end>
      <status>unmodified</status>
      <modifiedWord/>
      <trackRevisions>false</trackRevisions>
    </reviewItem>
    <reviewItem>
      <errorID>47e631d7-c155-4478-bf1f-9327cc04cae2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33C85904</paraID>
      <start>9</start>
      <end>10</end>
      <status>unmodified</status>
      <modifiedWord/>
      <trackRevisions>false</trackRevisions>
    </reviewItem>
    <reviewItem>
      <errorID>cbe015bd-ebcb-41d3-8a72-7414ae757527</errorID>
      <errorWord>暘</errorWord>
      <group>L1_Word</group>
      <groupName>字词问题</groupName>
      <ability>L2_Fanti</ability>
      <abilityName>繁转简</abilityName>
      <candidateList>
        <item>旸</item>
      </candidateList>
      <explain/>
      <paraID> 7F02E66</paraID>
      <start>6</start>
      <end>7</end>
      <status>unmodified</status>
      <modifiedWord/>
      <trackRevisions>false</trackRevisions>
    </reviewItem>
    <reviewItem>
      <errorID>f43af108-cc0d-4b28-83d7-af1fb9a1d277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4B7DD78C</paraID>
      <start>0</start>
      <end>2</end>
      <status>unmodified</status>
      <modifiedWord/>
      <trackRevisions>false</trackRevisions>
    </reviewItem>
    <reviewItem>
      <errorID>dea14cbc-9611-4f70-921b-2353b6274e90</errorID>
      <errorWord>，</errorWord>
      <group>L1_Word</group>
      <groupName>字词问题</groupName>
      <ability>L2_Typo</ability>
      <abilityName>字词错误</abilityName>
      <candidateList>
        <item>，可</item>
      </candidateList>
      <explain/>
      <paraID>1FFF7D4F</paraID>
      <start>178</start>
      <end>179</end>
      <status>unmodified</status>
      <modifiedWord/>
      <trackRevisions>false</trackRevisions>
    </reviewItem>
    <reviewItem>
      <errorID>e5d2aa8e-adc0-4e65-940e-dcc0ed689d02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375626AF</paraID>
      <start>0</start>
      <end>2</end>
      <status>unmodified</status>
      <modifiedWord/>
      <trackRevisions>false</trackRevisions>
    </reviewItem>
    <reviewItem>
      <errorID>8decb022-0c4c-4969-a390-80d2cef91ef8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49A2D482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DB6E79-BE5A-421D-98DF-88D98302DD0E}">
  <ds:schemaRefs/>
</ds:datastoreItem>
</file>

<file path=customXml/itemProps2.xml><?xml version="1.0" encoding="utf-8"?>
<ds:datastoreItem xmlns:ds="http://schemas.openxmlformats.org/officeDocument/2006/customXml" ds:itemID="{45bcbd59-2d3d-45d9-8b8b-6cfc3726fb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967</Words>
  <Characters>1033</Characters>
  <Lines>8</Lines>
  <Paragraphs>2</Paragraphs>
  <TotalTime>11</TotalTime>
  <ScaleCrop>false</ScaleCrop>
  <LinksUpToDate>false</LinksUpToDate>
  <CharactersWithSpaces>1069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2026-03-03T09:31:00Z</dcterms:created>
  <dc:creator>暘 韩</dc:creator>
  <cp:lastModifiedBy>Hannie</cp:lastModifiedBy>
  <dcterms:modified xsi:type="dcterms:W3CDTF">2026-06-16T06:01:29Z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eyJoZGlkIjoiYzg4ZGVhNjYzNmVhYTMyMjIyMGY1ZmZhZmM5OGYwMTMiLCJ1c2VySWQiOiIxMTQ0MzUyMzA4In0=</vt:lpwstr>
  </property>
  <property fmtid="{D5CDD505-2E9C-101B-9397-08002B2CF9AE}" pid="3" name="KSOProductBuildVer">
    <vt:lpwstr>2052-12.1.0.26895</vt:lpwstr>
  </property>
  <property fmtid="{D5CDD505-2E9C-101B-9397-08002B2CF9AE}" pid="4" name="ICV">
    <vt:lpwstr>2299656DB6E6495DADC825941323DFDC_12</vt:lpwstr>
  </property>
</Properties>
</file>