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FAB9">
      <w:pPr>
        <w:spacing w:before="156" w:beforeLines="50" w:after="156" w:afterLines="50" w:line="400" w:lineRule="exact"/>
        <w:rPr>
          <w:rFonts w:hint="eastAsia"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证券代码：</w:t>
      </w:r>
      <w:r>
        <w:rPr>
          <w:rFonts w:ascii="宋体" w:hAnsi="宋体" w:cs="宋体"/>
          <w:color w:val="000000" w:themeColor="text1"/>
          <w:sz w:val="24"/>
          <w14:textFill>
            <w14:solidFill>
              <w14:schemeClr w14:val="tx1"/>
            </w14:solidFill>
          </w14:textFill>
        </w:rPr>
        <w:t>688063</w:t>
      </w: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证券简称：</w:t>
      </w:r>
      <w:r>
        <w:rPr>
          <w:rFonts w:ascii="宋体" w:hAnsi="宋体" w:cs="宋体"/>
          <w:color w:val="000000" w:themeColor="text1"/>
          <w:sz w:val="24"/>
          <w14:textFill>
            <w14:solidFill>
              <w14:schemeClr w14:val="tx1"/>
            </w14:solidFill>
          </w14:textFill>
        </w:rPr>
        <w:t>派能科技</w:t>
      </w:r>
    </w:p>
    <w:p w14:paraId="64F358C2">
      <w:pPr>
        <w:spacing w:before="156" w:beforeLines="50" w:after="156" w:afterLines="50" w:line="400" w:lineRule="exact"/>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14:textFill>
            <w14:solidFill>
              <w14:schemeClr w14:val="tx1"/>
            </w14:solidFill>
          </w14:textFill>
        </w:rPr>
        <w:t>上海派能能源科技股份有限</w:t>
      </w:r>
      <w:r>
        <w:rPr>
          <w:rFonts w:hint="eastAsia" w:ascii="黑体" w:hAnsi="黑体" w:eastAsia="黑体" w:cs="黑体"/>
          <w:b/>
          <w:color w:val="000000" w:themeColor="text1"/>
          <w:sz w:val="32"/>
          <w:szCs w:val="32"/>
          <w14:textFill>
            <w14:solidFill>
              <w14:schemeClr w14:val="tx1"/>
            </w14:solidFill>
          </w14:textFill>
        </w:rPr>
        <w:t>公司</w:t>
      </w:r>
    </w:p>
    <w:p w14:paraId="66A0E43D">
      <w:pPr>
        <w:spacing w:before="156" w:beforeLines="50" w:after="156" w:afterLines="50" w:line="400" w:lineRule="exact"/>
        <w:jc w:val="center"/>
        <w:rPr>
          <w:rFonts w:hint="eastAsia" w:ascii="宋体" w:hAnsi="宋体"/>
          <w:b/>
          <w:bCs/>
          <w:iCs/>
          <w:color w:val="000000" w:themeColor="text1"/>
          <w:sz w:val="32"/>
          <w:szCs w:val="32"/>
          <w14:textFill>
            <w14:solidFill>
              <w14:schemeClr w14:val="tx1"/>
            </w14:solidFill>
          </w14:textFill>
        </w:rPr>
      </w:pPr>
      <w:r>
        <w:rPr>
          <w:rFonts w:hint="eastAsia" w:ascii="黑体" w:hAnsi="黑体" w:eastAsia="黑体" w:cs="黑体"/>
          <w:b/>
          <w:bCs/>
          <w:iCs/>
          <w:color w:val="000000" w:themeColor="text1"/>
          <w:sz w:val="32"/>
          <w:szCs w:val="32"/>
          <w14:textFill>
            <w14:solidFill>
              <w14:schemeClr w14:val="tx1"/>
            </w14:solidFill>
          </w14:textFill>
        </w:rPr>
        <w:t>投资者关系活动记录表</w:t>
      </w:r>
    </w:p>
    <w:p w14:paraId="4560E93A">
      <w:pPr>
        <w:spacing w:line="400" w:lineRule="exact"/>
        <w:rPr>
          <w:rFonts w:hint="eastAsia" w:ascii="宋体" w:hAnsi="宋体" w:eastAsia="宋体"/>
          <w:bCs/>
          <w:iCs/>
          <w:color w:val="000000" w:themeColor="text1"/>
          <w:sz w:val="24"/>
          <w:lang w:eastAsia="zh-CN"/>
          <w14:textFill>
            <w14:solidFill>
              <w14:schemeClr w14:val="tx1"/>
            </w14:solidFill>
          </w14:textFill>
        </w:rPr>
      </w:pP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 xml:space="preserve">  编号：</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38C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1E03395">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0127A8FC">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 xml:space="preserve">特定对象调研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分析师会议</w:t>
            </w:r>
          </w:p>
          <w:p w14:paraId="698A7475">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媒体采访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业绩说明会</w:t>
            </w:r>
          </w:p>
          <w:p w14:paraId="7FA28D16">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新闻发布会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路演活动</w:t>
            </w:r>
          </w:p>
          <w:p w14:paraId="1A0B6F78">
            <w:pPr>
              <w:tabs>
                <w:tab w:val="left" w:pos="3045"/>
                <w:tab w:val="center" w:pos="3199"/>
              </w:tabs>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现场参观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电话通讯</w:t>
            </w:r>
          </w:p>
          <w:p w14:paraId="43C0066A">
            <w:pPr>
              <w:tabs>
                <w:tab w:val="center" w:pos="3199"/>
              </w:tabs>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2C9C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728" w:type="dxa"/>
            <w:tcBorders>
              <w:top w:val="single" w:color="auto" w:sz="4" w:space="0"/>
              <w:left w:val="single" w:color="auto" w:sz="4" w:space="0"/>
              <w:bottom w:val="single" w:color="auto" w:sz="4" w:space="0"/>
              <w:right w:val="single" w:color="auto" w:sz="4" w:space="0"/>
            </w:tcBorders>
            <w:vAlign w:val="center"/>
          </w:tcPr>
          <w:p w14:paraId="2A7F74AB">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参与单位名称及人员姓名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59B81E15">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AIA - Yunbo Gao</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Alliance</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Bernstein LP - Hong Kong - William Wang</w:t>
            </w:r>
            <w:r>
              <w:rPr>
                <w:rFonts w:hint="eastAsia" w:ascii="宋体" w:hAnsi="宋体" w:cs="宋体"/>
                <w:color w:val="000000" w:themeColor="text1"/>
                <w:szCs w:val="21"/>
                <w:lang w:eastAsia="zh-CN"/>
                <w14:textFill>
                  <w14:solidFill>
                    <w14:schemeClr w14:val="tx1"/>
                  </w14:solidFill>
                </w14:textFill>
              </w:rPr>
              <w:t>；</w:t>
            </w:r>
          </w:p>
          <w:p w14:paraId="194B4871">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FIL - Reggie Pan</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Grand Alliance Asset Management Limited - Grace Hou</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Pleiad - Dawei Wang</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Polymer Capital Mgmt (HK) Ltd - Riley Jin</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Stillpoint Investments LP - Julien (Hua) Jing</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Triata Capital Ltd - Kevin Sun</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Goldman Sachs - Mengwen Wang</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Sherry Wu</w:t>
            </w:r>
          </w:p>
        </w:tc>
      </w:tr>
      <w:tr w14:paraId="042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28" w:type="dxa"/>
            <w:tcBorders>
              <w:top w:val="single" w:color="auto" w:sz="4" w:space="0"/>
              <w:left w:val="single" w:color="auto" w:sz="4" w:space="0"/>
              <w:bottom w:val="single" w:color="auto" w:sz="4" w:space="0"/>
              <w:right w:val="single" w:color="auto" w:sz="4" w:space="0"/>
            </w:tcBorders>
            <w:vAlign w:val="center"/>
          </w:tcPr>
          <w:p w14:paraId="790A4050">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195244D6">
            <w:pPr>
              <w:spacing w:line="360" w:lineRule="auto"/>
              <w:rPr>
                <w:rFonts w:hint="default" w:ascii="宋体" w:hAnsi="宋体" w:eastAsia="宋体" w:cs="宋体"/>
                <w:bCs/>
                <w:iCs/>
                <w:color w:val="000000" w:themeColor="text1"/>
                <w:szCs w:val="21"/>
                <w:lang w:val="en-US" w:eastAsia="zh-CN"/>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202</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年</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月</w:t>
            </w:r>
            <w:r>
              <w:rPr>
                <w:rFonts w:hint="eastAsia" w:ascii="宋体" w:hAnsi="宋体" w:cs="宋体"/>
                <w:bCs/>
                <w:iCs/>
                <w:color w:val="000000" w:themeColor="text1"/>
                <w:szCs w:val="21"/>
                <w:lang w:val="en-US" w:eastAsia="zh-CN"/>
                <w14:textFill>
                  <w14:solidFill>
                    <w14:schemeClr w14:val="tx1"/>
                  </w14:solidFill>
                </w14:textFill>
              </w:rPr>
              <w:t>16</w:t>
            </w:r>
            <w:r>
              <w:rPr>
                <w:rFonts w:hint="eastAsia" w:ascii="宋体" w:hAnsi="宋体" w:cs="宋体"/>
                <w:bCs/>
                <w:iCs/>
                <w:color w:val="000000" w:themeColor="text1"/>
                <w:szCs w:val="21"/>
                <w14:textFill>
                  <w14:solidFill>
                    <w14:schemeClr w14:val="tx1"/>
                  </w14:solidFill>
                </w14:textFill>
              </w:rPr>
              <w:t>日（星期</w:t>
            </w:r>
            <w:r>
              <w:rPr>
                <w:rFonts w:hint="eastAsia" w:ascii="宋体" w:hAnsi="宋体" w:cs="宋体"/>
                <w:bCs/>
                <w:iCs/>
                <w:color w:val="000000" w:themeColor="text1"/>
                <w:szCs w:val="21"/>
                <w:lang w:val="en-US" w:eastAsia="zh-CN"/>
                <w14:textFill>
                  <w14:solidFill>
                    <w14:schemeClr w14:val="tx1"/>
                  </w14:solidFill>
                </w14:textFill>
              </w:rPr>
              <w:t>二</w:t>
            </w:r>
            <w:r>
              <w:rPr>
                <w:rFonts w:hint="eastAsia" w:ascii="宋体" w:hAnsi="宋体" w:cs="宋体"/>
                <w:bCs/>
                <w:iCs/>
                <w:color w:val="000000" w:themeColor="text1"/>
                <w:szCs w:val="21"/>
                <w14:textFill>
                  <w14:solidFill>
                    <w14:schemeClr w14:val="tx1"/>
                  </w14:solidFill>
                </w14:textFill>
              </w:rPr>
              <w:t>）</w:t>
            </w:r>
            <w:r>
              <w:rPr>
                <w:rFonts w:hint="eastAsia" w:ascii="宋体" w:hAnsi="宋体" w:cs="宋体"/>
                <w:bCs/>
                <w:iCs/>
                <w:color w:val="000000" w:themeColor="text1"/>
                <w:szCs w:val="21"/>
                <w:lang w:eastAsia="zh-CN"/>
                <w14:textFill>
                  <w14:solidFill>
                    <w14:schemeClr w14:val="tx1"/>
                  </w14:solidFill>
                </w14:textFill>
              </w:rPr>
              <w:t>14:00</w:t>
            </w:r>
            <w:r>
              <w:rPr>
                <w:rFonts w:hint="eastAsia" w:ascii="宋体" w:hAnsi="宋体" w:cs="宋体"/>
                <w:bCs/>
                <w:iCs/>
                <w:color w:val="000000" w:themeColor="text1"/>
                <w:szCs w:val="21"/>
                <w14:textFill>
                  <w14:solidFill>
                    <w14:schemeClr w14:val="tx1"/>
                  </w14:solidFill>
                </w14:textFill>
              </w:rPr>
              <w:t>-1</w:t>
            </w:r>
            <w:r>
              <w:rPr>
                <w:rFonts w:hint="eastAsia" w:ascii="宋体" w:hAnsi="宋体" w:cs="宋体"/>
                <w:bCs/>
                <w:iCs/>
                <w:color w:val="000000" w:themeColor="text1"/>
                <w:szCs w:val="21"/>
                <w:lang w:val="en-US" w:eastAsia="zh-CN"/>
                <w14:textFill>
                  <w14:solidFill>
                    <w14:schemeClr w14:val="tx1"/>
                  </w14:solidFill>
                </w14:textFill>
              </w:rPr>
              <w:t>5</w:t>
            </w:r>
            <w:r>
              <w:rPr>
                <w:rFonts w:hint="eastAsia" w:ascii="宋体" w:hAnsi="宋体" w:cs="宋体"/>
                <w:bCs/>
                <w:iCs/>
                <w:color w:val="000000" w:themeColor="text1"/>
                <w:szCs w:val="21"/>
                <w14:textFill>
                  <w14:solidFill>
                    <w14:schemeClr w14:val="tx1"/>
                  </w14:solidFill>
                </w14:textFill>
              </w:rPr>
              <w:t>:</w:t>
            </w:r>
            <w:r>
              <w:rPr>
                <w:rFonts w:hint="eastAsia" w:ascii="宋体" w:hAnsi="宋体" w:cs="宋体"/>
                <w:bCs/>
                <w:iCs/>
                <w:color w:val="000000" w:themeColor="text1"/>
                <w:szCs w:val="21"/>
                <w:lang w:val="en-US" w:eastAsia="zh-CN"/>
                <w14:textFill>
                  <w14:solidFill>
                    <w14:schemeClr w14:val="tx1"/>
                  </w14:solidFill>
                </w14:textFill>
              </w:rPr>
              <w:t>30</w:t>
            </w:r>
          </w:p>
        </w:tc>
      </w:tr>
      <w:tr w14:paraId="2C0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A25A238">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70E339AA">
            <w:pPr>
              <w:spacing w:line="276"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现场调研</w:t>
            </w:r>
          </w:p>
        </w:tc>
      </w:tr>
      <w:tr w14:paraId="1ACC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28" w:type="dxa"/>
            <w:tcBorders>
              <w:top w:val="single" w:color="auto" w:sz="4" w:space="0"/>
              <w:left w:val="single" w:color="auto" w:sz="4" w:space="0"/>
              <w:bottom w:val="single" w:color="auto" w:sz="4" w:space="0"/>
              <w:right w:val="single" w:color="auto" w:sz="4" w:space="0"/>
            </w:tcBorders>
            <w:vAlign w:val="center"/>
          </w:tcPr>
          <w:p w14:paraId="786C7D60">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51947AEF">
            <w:pPr>
              <w:spacing w:line="360" w:lineRule="auto"/>
              <w:rPr>
                <w:rFonts w:hint="eastAsia" w:ascii="宋体" w:hAnsi="宋体" w:eastAsia="宋体" w:cs="宋体"/>
                <w:bCs/>
                <w:iCs/>
                <w:color w:val="000000" w:themeColor="text1"/>
                <w:szCs w:val="21"/>
                <w:lang w:val="en-US" w:eastAsia="zh-CN"/>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董事、总裁：谈文</w:t>
            </w:r>
            <w:r>
              <w:rPr>
                <w:rFonts w:hint="eastAsia" w:ascii="宋体" w:hAnsi="宋体" w:cs="宋体"/>
                <w:bCs/>
                <w:iCs/>
                <w:color w:val="000000" w:themeColor="text1"/>
                <w:szCs w:val="21"/>
                <w:lang w:val="en-US" w:eastAsia="zh-CN"/>
                <w14:textFill>
                  <w14:solidFill>
                    <w14:schemeClr w14:val="tx1"/>
                  </w14:solidFill>
                </w14:textFill>
              </w:rPr>
              <w:t>先生</w:t>
            </w:r>
          </w:p>
          <w:p w14:paraId="7FDD07AF">
            <w:pPr>
              <w:spacing w:line="360" w:lineRule="auto"/>
              <w:rPr>
                <w:rFonts w:hint="eastAsia" w:ascii="宋体" w:hAnsi="宋体" w:eastAsia="宋体" w:cs="宋体"/>
                <w:bCs/>
                <w:iCs/>
                <w:color w:val="000000" w:themeColor="text1"/>
                <w:szCs w:val="21"/>
                <w:lang w:val="en-US" w:eastAsia="zh-CN"/>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副总裁、财务负责人、董事会秘书：叶文举</w:t>
            </w:r>
            <w:r>
              <w:rPr>
                <w:rFonts w:hint="eastAsia" w:ascii="宋体" w:hAnsi="宋体" w:cs="宋体"/>
                <w:bCs/>
                <w:iCs/>
                <w:color w:val="000000" w:themeColor="text1"/>
                <w:szCs w:val="21"/>
                <w:lang w:val="en-US" w:eastAsia="zh-CN"/>
                <w14:textFill>
                  <w14:solidFill>
                    <w14:schemeClr w14:val="tx1"/>
                  </w14:solidFill>
                </w14:textFill>
              </w:rPr>
              <w:t>先生</w:t>
            </w:r>
          </w:p>
          <w:p w14:paraId="2E93251D">
            <w:pPr>
              <w:spacing w:line="360" w:lineRule="auto"/>
              <w:rPr>
                <w:rFonts w:hint="eastAsia" w:ascii="宋体" w:hAnsi="宋体" w:eastAsia="宋体" w:cs="宋体"/>
                <w:bCs/>
                <w:iCs/>
                <w:color w:val="000000" w:themeColor="text1"/>
                <w:szCs w:val="21"/>
                <w:lang w:val="en-US" w:eastAsia="zh-CN"/>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证券事务代表：沈玲玉</w:t>
            </w:r>
            <w:r>
              <w:rPr>
                <w:rFonts w:hint="eastAsia" w:ascii="宋体" w:hAnsi="宋体" w:cs="宋体"/>
                <w:bCs/>
                <w:iCs/>
                <w:color w:val="000000" w:themeColor="text1"/>
                <w:szCs w:val="21"/>
                <w:lang w:val="en-US" w:eastAsia="zh-CN"/>
                <w14:textFill>
                  <w14:solidFill>
                    <w14:schemeClr w14:val="tx1"/>
                  </w14:solidFill>
                </w14:textFill>
              </w:rPr>
              <w:t>女士</w:t>
            </w:r>
          </w:p>
        </w:tc>
      </w:tr>
      <w:tr w14:paraId="3ED3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3B68671">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327830BC">
            <w:pPr>
              <w:rPr>
                <w:rFonts w:hint="default" w:ascii="宋体" w:hAnsi="宋体" w:eastAsia="宋体" w:cs="宋体"/>
                <w:color w:val="000000"/>
                <w:szCs w:val="21"/>
                <w:lang w:val="en-US" w:eastAsia="zh-CN" w:bidi="ar"/>
              </w:rPr>
            </w:pPr>
            <w:r>
              <w:rPr>
                <w:rFonts w:hint="eastAsia" w:ascii="宋体" w:hAnsi="宋体" w:cs="宋体"/>
                <w:color w:val="000000"/>
                <w:szCs w:val="21"/>
                <w:lang w:bidi="ar"/>
              </w:rPr>
              <w:t>问题：</w:t>
            </w:r>
            <w:r>
              <w:rPr>
                <w:rFonts w:hint="eastAsia" w:ascii="宋体" w:hAnsi="宋体" w:cs="宋体"/>
                <w:color w:val="000000"/>
                <w:szCs w:val="21"/>
                <w:lang w:val="en-US" w:eastAsia="zh-CN" w:bidi="ar"/>
              </w:rPr>
              <w:t>请介绍一下公司的业绩情况？</w:t>
            </w:r>
          </w:p>
          <w:p w14:paraId="69430E66">
            <w:pPr>
              <w:rPr>
                <w:rFonts w:hint="eastAsia" w:ascii="宋体" w:hAnsi="宋体" w:cs="宋体"/>
                <w:color w:val="000000"/>
                <w:szCs w:val="21"/>
                <w:lang w:bidi="ar"/>
              </w:rPr>
            </w:pPr>
            <w:r>
              <w:rPr>
                <w:rFonts w:hint="eastAsia" w:ascii="宋体" w:hAnsi="宋体" w:cs="宋体"/>
                <w:color w:val="000000"/>
                <w:szCs w:val="21"/>
                <w:lang w:bidi="ar"/>
              </w:rPr>
              <w:t>回答：2025年度，公司实现营业收入316,379.26万元，同比增加57.81%，实现归属于上市公司股东的净利润为8,472.88万元，同比增加106.12%。2025年度的产品销售量为4,232MWh，同比增长178.24%</w:t>
            </w:r>
            <w:r>
              <w:rPr>
                <w:rFonts w:hint="eastAsia" w:ascii="宋体" w:hAnsi="宋体" w:cs="宋体"/>
                <w:color w:val="000000"/>
                <w:szCs w:val="21"/>
                <w:lang w:eastAsia="zh-CN" w:bidi="ar"/>
              </w:rPr>
              <w:t>。</w:t>
            </w:r>
            <w:r>
              <w:rPr>
                <w:rFonts w:hint="eastAsia" w:ascii="宋体" w:hAnsi="宋体" w:cs="宋体"/>
                <w:color w:val="000000"/>
                <w:szCs w:val="21"/>
                <w:lang w:bidi="ar"/>
              </w:rPr>
              <w:t>2026年一季度，公司实现营业收入97,220.86万元，同比增长147.89%；实现归属于上市公司股东的净利润为2,228.84万元，同比实现扭亏为盈。2026年一季度，公司实现销售1,177MWh，同比增长193.52%。公司销量持续快速增长主要系：欧洲家储市场、商用储能市场需求增长迅速，以及东南亚、日本等海外新兴市场拓展顺利；同时国内储能及共享换电业务增长。</w:t>
            </w:r>
          </w:p>
          <w:p w14:paraId="4EE1FAFD">
            <w:pPr>
              <w:rPr>
                <w:rFonts w:hint="eastAsia" w:ascii="宋体" w:hAnsi="宋体" w:cs="宋体"/>
                <w:b/>
                <w:bCs/>
                <w:color w:val="1F1F1F"/>
                <w:sz w:val="21"/>
                <w:szCs w:val="21"/>
              </w:rPr>
            </w:pPr>
          </w:p>
          <w:p w14:paraId="67359BAC">
            <w:pPr>
              <w:rPr>
                <w:rFonts w:hint="default" w:ascii="宋体" w:hAnsi="宋体" w:cs="宋体"/>
                <w:color w:val="000000"/>
                <w:szCs w:val="21"/>
                <w:lang w:val="en-US" w:eastAsia="zh-CN" w:bidi="ar"/>
              </w:rPr>
            </w:pPr>
            <w:r>
              <w:rPr>
                <w:rFonts w:hint="eastAsia" w:ascii="宋体" w:hAnsi="宋体" w:cs="宋体"/>
                <w:color w:val="000000"/>
                <w:szCs w:val="21"/>
                <w:lang w:val="en-US" w:eastAsia="zh-CN" w:bidi="ar"/>
              </w:rPr>
              <w:t>问题：怎么看未来一段时间市场的拓展情况？</w:t>
            </w:r>
          </w:p>
          <w:p w14:paraId="423EC418">
            <w:pPr>
              <w:rPr>
                <w:rFonts w:hint="eastAsia" w:ascii="宋体" w:hAnsi="宋体" w:cs="宋体"/>
                <w:color w:val="000000"/>
                <w:szCs w:val="21"/>
                <w:lang w:val="en-US" w:eastAsia="zh-CN" w:bidi="ar"/>
              </w:rPr>
            </w:pPr>
            <w:r>
              <w:rPr>
                <w:rFonts w:hint="eastAsia" w:ascii="宋体" w:hAnsi="宋体" w:cs="宋体"/>
                <w:color w:val="000000"/>
                <w:szCs w:val="21"/>
                <w:lang w:val="en-US" w:eastAsia="zh-CN" w:bidi="ar"/>
              </w:rPr>
              <w:t>回答：从全球各区域市场现阶段需求来看，未来一段时期海外市场整体具备清晰增长空间，各区域呈现差异化景气度，该判断前提是全球不发生重大地缘政治冲突。综合各区域需求、产品与产能配套，当前行业正处在相对确定的市场发展窗口期。日本、北美、南亚、非洲新兴市场也处在快速上行通道，增量潜力持续释放。产品端，今年全新推出的FIDUS系列产品适配多区域市场需求，目前市场反馈良好。整体来看，成熟市场稳增、新兴市场提速、新品放量叠加政策红利，支撑公司海外业务持续拓展。</w:t>
            </w:r>
          </w:p>
          <w:p w14:paraId="3D18887F">
            <w:pPr>
              <w:rPr>
                <w:rFonts w:hint="default" w:ascii="宋体" w:hAnsi="宋体" w:cs="宋体"/>
                <w:color w:val="000000"/>
                <w:szCs w:val="21"/>
                <w:lang w:val="en-US" w:eastAsia="zh-CN" w:bidi="ar"/>
              </w:rPr>
            </w:pPr>
          </w:p>
          <w:p w14:paraId="62BE0542">
            <w:pPr>
              <w:rPr>
                <w:rFonts w:hint="default" w:ascii="宋体" w:hAnsi="宋体" w:eastAsia="宋体" w:cs="宋体"/>
                <w:color w:val="000000"/>
                <w:szCs w:val="21"/>
                <w:lang w:val="en-US" w:eastAsia="zh-CN" w:bidi="ar"/>
              </w:rPr>
            </w:pPr>
            <w:r>
              <w:rPr>
                <w:rFonts w:hint="eastAsia" w:ascii="宋体" w:hAnsi="宋体" w:cs="宋体"/>
                <w:color w:val="000000"/>
                <w:szCs w:val="21"/>
                <w:lang w:bidi="ar"/>
              </w:rPr>
              <w:t>问题：</w:t>
            </w:r>
            <w:r>
              <w:rPr>
                <w:rFonts w:hint="eastAsia" w:ascii="宋体" w:hAnsi="宋体" w:cs="宋体"/>
                <w:color w:val="000000"/>
                <w:szCs w:val="21"/>
                <w:lang w:val="en-US" w:eastAsia="zh-CN" w:bidi="ar"/>
              </w:rPr>
              <w:t>请介绍一下公司的产能建设情况？</w:t>
            </w:r>
          </w:p>
          <w:p w14:paraId="453155E3">
            <w:pPr>
              <w:rPr>
                <w:rFonts w:hint="eastAsia" w:ascii="宋体" w:hAnsi="宋体" w:cs="宋体"/>
                <w:b/>
                <w:bCs/>
                <w:color w:val="1F1F1F"/>
                <w:sz w:val="21"/>
                <w:szCs w:val="21"/>
              </w:rPr>
            </w:pPr>
            <w:r>
              <w:rPr>
                <w:rFonts w:hint="eastAsia" w:ascii="宋体" w:hAnsi="宋体" w:cs="宋体"/>
                <w:color w:val="000000"/>
                <w:szCs w:val="21"/>
                <w:lang w:bidi="ar"/>
              </w:rPr>
              <w:t>回答：公司产能建设始终坚持“以市场需求为导向、以效率提升为核心、以审慎投资为原则”。目前，公司持续推进既有产能的运营优化，通过工艺改进、自动化水平提升、生产组织优化等方式，提高现有产线的利用效率和交付能力；另外，公司也在有序推进在建及规划项目落地。公司正在加快推进“派能科技10GWh锂电池研发制造基地项目”二期</w:t>
            </w:r>
            <w:r>
              <w:rPr>
                <w:rFonts w:hint="eastAsia" w:ascii="宋体" w:hAnsi="宋体" w:cs="宋体"/>
                <w:color w:val="000000"/>
                <w:szCs w:val="21"/>
                <w:lang w:val="en-US" w:eastAsia="zh-CN" w:bidi="ar"/>
              </w:rPr>
              <w:t>的</w:t>
            </w:r>
            <w:r>
              <w:rPr>
                <w:rFonts w:hint="eastAsia" w:ascii="宋体" w:hAnsi="宋体" w:cs="宋体"/>
                <w:color w:val="000000"/>
                <w:szCs w:val="21"/>
                <w:lang w:bidi="ar"/>
              </w:rPr>
              <w:t>建设，该项目预计达到可使用状态的时间为2026年12月；同时，公司也在积极推进“派能科技2GWh储能电池及集成项目”工作。未来，公司将结合全球储能市场发展趋势、客户订单情况、产品技术路线变化以及资金使用效率，动态评估产能投放节奏，努力提升产能利用率和投资回报水平，避免盲目扩张带来的经营风险。</w:t>
            </w:r>
          </w:p>
          <w:p w14:paraId="42700A58">
            <w:pPr>
              <w:rPr>
                <w:rFonts w:hint="eastAsia" w:ascii="宋体" w:hAnsi="宋体" w:cs="宋体"/>
                <w:b/>
                <w:bCs/>
                <w:color w:val="1F1F1F"/>
                <w:sz w:val="21"/>
                <w:szCs w:val="21"/>
              </w:rPr>
            </w:pPr>
          </w:p>
          <w:p w14:paraId="614A2281">
            <w:pPr>
              <w:rPr>
                <w:rFonts w:hint="default" w:ascii="宋体" w:hAnsi="宋体" w:eastAsia="宋体" w:cs="宋体"/>
                <w:color w:val="000000"/>
                <w:szCs w:val="21"/>
                <w:lang w:val="en-US" w:eastAsia="zh-CN" w:bidi="ar"/>
              </w:rPr>
            </w:pPr>
            <w:r>
              <w:rPr>
                <w:rFonts w:hint="eastAsia" w:ascii="宋体" w:hAnsi="宋体" w:cs="宋体"/>
                <w:color w:val="000000"/>
                <w:szCs w:val="21"/>
                <w:lang w:bidi="ar"/>
              </w:rPr>
              <w:t>问题：</w:t>
            </w:r>
            <w:r>
              <w:rPr>
                <w:rFonts w:hint="eastAsia" w:ascii="宋体" w:hAnsi="宋体" w:cs="宋体"/>
                <w:color w:val="000000"/>
                <w:szCs w:val="21"/>
                <w:lang w:val="en-US" w:eastAsia="zh-CN" w:bidi="ar"/>
              </w:rPr>
              <w:t>除了家用储能，请介绍一下其他的业务发展情况？</w:t>
            </w:r>
          </w:p>
          <w:p w14:paraId="5AB1F70A">
            <w:pPr>
              <w:rPr>
                <w:rFonts w:hint="eastAsia" w:ascii="宋体" w:hAnsi="宋体" w:cs="宋体"/>
                <w:color w:val="000000"/>
                <w:szCs w:val="21"/>
                <w:lang w:bidi="ar"/>
              </w:rPr>
            </w:pPr>
            <w:r>
              <w:rPr>
                <w:rFonts w:hint="eastAsia" w:ascii="宋体" w:hAnsi="宋体" w:cs="宋体"/>
                <w:color w:val="000000"/>
                <w:szCs w:val="21"/>
                <w:lang w:bidi="ar"/>
              </w:rPr>
              <w:t>回答：</w:t>
            </w:r>
            <w:r>
              <w:rPr>
                <w:rFonts w:hint="eastAsia" w:ascii="宋体" w:hAnsi="宋体" w:cs="宋体"/>
                <w:color w:val="000000"/>
                <w:szCs w:val="21"/>
                <w:lang w:val="en-US" w:eastAsia="zh-CN" w:bidi="ar"/>
              </w:rPr>
              <w:t>从公司整体业务来看，我们的轻型动力换电业务已跻身国内行业第一梯队。结合公司技术特色与行业趋势，我们制定了阶段性发展目标，冲刺行业最前沿梯队，建立赛道标杆竞争力。我们重点布局该赛道，核心原因是轻型动力换电业务高度适配公司核心的软包电池技术路线，能够充分发挥我们的研发与生产优势，是公司实现差异化竞争的关键赛道。</w:t>
            </w:r>
          </w:p>
          <w:p w14:paraId="092998AD">
            <w:pPr>
              <w:rPr>
                <w:rFonts w:hint="eastAsia" w:ascii="宋体" w:hAnsi="宋体" w:cs="宋体"/>
                <w:color w:val="000000"/>
                <w:szCs w:val="21"/>
                <w:lang w:bidi="ar"/>
              </w:rPr>
            </w:pPr>
            <w:r>
              <w:rPr>
                <w:rFonts w:hint="eastAsia" w:ascii="宋体" w:hAnsi="宋体" w:cs="宋体"/>
                <w:color w:val="000000"/>
                <w:szCs w:val="21"/>
                <w:lang w:val="en-US" w:eastAsia="zh-CN" w:bidi="ar"/>
              </w:rPr>
              <w:t>从行业特性来看，相较于海外传统业务，国内轻型动力换电业务毛利率相对偏低，但整体经营风险更小、经营质量更稳。该业务回款顺畅，质保时间相对较短，大幅降低了公司售后运维和履约压力。</w:t>
            </w:r>
          </w:p>
          <w:p w14:paraId="23CBC6F4">
            <w:pPr>
              <w:rPr>
                <w:rFonts w:hint="eastAsia" w:ascii="宋体" w:hAnsi="宋体" w:cs="宋体"/>
                <w:color w:val="000000"/>
                <w:szCs w:val="21"/>
                <w:lang w:bidi="ar"/>
              </w:rPr>
            </w:pPr>
            <w:r>
              <w:rPr>
                <w:rFonts w:hint="eastAsia" w:ascii="宋体" w:hAnsi="宋体" w:cs="宋体"/>
                <w:color w:val="000000"/>
                <w:szCs w:val="21"/>
                <w:lang w:val="en-US" w:eastAsia="zh-CN" w:bidi="ar"/>
              </w:rPr>
              <w:t>目前国内轻型动力换电市场存在明显产品短板，行业高品质、标准化的优质产品供给不足。其中换电、电摩、休闲三轮车等细分场景需求较旺盛、市场空间广阔。依托公司专属技术优势与成熟落地能力，轻型动力换电业务将成为公司新增量。后续我们将聚焦产品迭代、技术优化与市场拓展，补齐行业产品短板、抢占细分市场份额，持续带动公司营收增长，为企业发展赋能。</w:t>
            </w:r>
          </w:p>
          <w:p w14:paraId="4D009D72">
            <w:pPr>
              <w:rPr>
                <w:rFonts w:hint="eastAsia" w:ascii="宋体" w:hAnsi="宋体" w:cs="宋体"/>
                <w:b/>
                <w:bCs/>
                <w:color w:val="1F1F1F"/>
                <w:sz w:val="21"/>
                <w:szCs w:val="21"/>
              </w:rPr>
            </w:pPr>
          </w:p>
          <w:p w14:paraId="63B95ABC">
            <w:pPr>
              <w:rPr>
                <w:rFonts w:hint="eastAsia" w:ascii="宋体" w:hAnsi="宋体" w:cs="宋体"/>
                <w:b w:val="0"/>
                <w:bCs w:val="0"/>
                <w:color w:val="1F1F1F"/>
                <w:sz w:val="21"/>
                <w:szCs w:val="21"/>
                <w:lang w:val="en-US" w:eastAsia="zh-CN"/>
              </w:rPr>
            </w:pPr>
            <w:r>
              <w:rPr>
                <w:rFonts w:hint="eastAsia" w:ascii="宋体" w:hAnsi="宋体" w:cs="宋体"/>
                <w:b w:val="0"/>
                <w:bCs w:val="0"/>
                <w:color w:val="1F1F1F"/>
                <w:sz w:val="21"/>
                <w:szCs w:val="21"/>
                <w:lang w:val="en-US" w:eastAsia="zh-CN"/>
              </w:rPr>
              <w:t>问题：目前钠电业务的实际进展如何？是否已经实现客户验证或批量交付？钠电业务未来是否有望成为公司新的增长点？</w:t>
            </w:r>
          </w:p>
          <w:p w14:paraId="77CFF06A">
            <w:pPr>
              <w:rPr>
                <w:rFonts w:hint="eastAsia" w:ascii="宋体" w:hAnsi="宋体" w:cs="宋体"/>
                <w:b w:val="0"/>
                <w:bCs w:val="0"/>
                <w:color w:val="1F1F1F"/>
                <w:sz w:val="21"/>
                <w:szCs w:val="21"/>
                <w:lang w:val="en-US" w:eastAsia="zh-CN"/>
              </w:rPr>
            </w:pPr>
            <w:r>
              <w:rPr>
                <w:rFonts w:hint="eastAsia" w:ascii="宋体" w:hAnsi="宋体" w:cs="宋体"/>
                <w:b w:val="0"/>
                <w:bCs w:val="0"/>
                <w:color w:val="1F1F1F"/>
                <w:sz w:val="21"/>
                <w:szCs w:val="21"/>
                <w:lang w:val="en-US" w:eastAsia="zh-CN"/>
              </w:rPr>
              <w:t>回答：相较于传统锂电池，钠离子电池在资源丰富性、成本潜力、安全性以及部分宽温应用场景中具备一定优势，适合在对能量密度要求相对较低、但对安全性、倍率性能、低温性能和经济性要求较高的场景中逐步应用。去年，公司钠电产品在启停电池领域实现超过百兆瓦时的规模化出货，今年该业务仍将保持较快增长。公司目前已开发出165Ah和300Ah储能专用钠离子电芯，可满足1P充放电，循环寿命超过10,000次。同时，公司正在攻关无负极钠电技术，目前已完成近10轮技术验证，相关产品已初步落地，现阶段正在开展PACK及系统级产品验证，预计明后年正式推向市场。钠电是公司面向未来储能和多元应用场景的重要技术储备。未来，公司将结合客户需求、技术成熟度和市场验证情况，稳步推进相关产品产业化落地。</w:t>
            </w:r>
          </w:p>
          <w:p w14:paraId="0C7CE5E7">
            <w:pPr>
              <w:rPr>
                <w:rFonts w:hint="eastAsia" w:ascii="宋体" w:hAnsi="宋体" w:cs="宋体"/>
                <w:b w:val="0"/>
                <w:bCs w:val="0"/>
                <w:color w:val="1F1F1F"/>
                <w:sz w:val="21"/>
                <w:szCs w:val="21"/>
                <w:lang w:val="en-US" w:eastAsia="zh-CN"/>
              </w:rPr>
            </w:pPr>
          </w:p>
          <w:p w14:paraId="4522E758">
            <w:pPr>
              <w:rPr>
                <w:rFonts w:hint="default" w:ascii="宋体" w:hAnsi="宋体" w:cs="宋体"/>
                <w:b w:val="0"/>
                <w:bCs w:val="0"/>
                <w:color w:val="1F1F1F"/>
                <w:sz w:val="21"/>
                <w:szCs w:val="21"/>
                <w:lang w:val="en-US" w:eastAsia="zh-CN"/>
              </w:rPr>
            </w:pPr>
            <w:r>
              <w:rPr>
                <w:rFonts w:hint="eastAsia" w:ascii="宋体" w:hAnsi="宋体" w:cs="宋体"/>
                <w:b w:val="0"/>
                <w:bCs w:val="0"/>
                <w:color w:val="1F1F1F"/>
                <w:sz w:val="21"/>
                <w:szCs w:val="21"/>
                <w:lang w:val="en-US" w:eastAsia="zh-CN"/>
              </w:rPr>
              <w:t>问题：公司在澳洲的市场布局情况及后续拓展计划如何?</w:t>
            </w:r>
          </w:p>
          <w:p w14:paraId="118EF2EA">
            <w:pPr>
              <w:rPr>
                <w:rFonts w:hint="eastAsia" w:ascii="宋体" w:hAnsi="宋体" w:cs="宋体"/>
                <w:b w:val="0"/>
                <w:bCs w:val="0"/>
                <w:color w:val="1F1F1F"/>
                <w:sz w:val="21"/>
                <w:szCs w:val="21"/>
                <w:lang w:val="en-US" w:eastAsia="zh-CN"/>
              </w:rPr>
            </w:pPr>
            <w:r>
              <w:rPr>
                <w:rFonts w:hint="eastAsia" w:ascii="宋体" w:hAnsi="宋体" w:cs="宋体"/>
                <w:b w:val="0"/>
                <w:bCs w:val="0"/>
                <w:color w:val="1F1F1F"/>
                <w:sz w:val="21"/>
                <w:szCs w:val="21"/>
                <w:lang w:val="en-US" w:eastAsia="zh-CN"/>
              </w:rPr>
              <w:t>回答：全球各区域储能市场竞争都十分激烈，但澳洲凭借持续利好的补贴政策，市场增长预期较为积极，是我们重点关注并积极拓展的市场。公司将针对澳洲市场给予较高的资源配置，核心主推Force H3X Hybrid系列产品，这款产品在参数、规格设计上高度贴合澳洲现行补贴政策要求，能够帮助客户充分享受政策红利，产品适配优势突出。在此基础上，我们同步配套有竞争力的定价方案、完善的本地化售后服务，并持续加大当地品牌宣传与渠道建设投入，以产品、价格、服务、品牌多维度协同发力，抢抓澳洲市场增量机遇，进一步巩固市场份额。</w:t>
            </w:r>
          </w:p>
          <w:p w14:paraId="07B4DA5B">
            <w:pPr>
              <w:rPr>
                <w:rFonts w:hint="eastAsia" w:ascii="宋体" w:hAnsi="宋体" w:cs="宋体"/>
                <w:b w:val="0"/>
                <w:bCs w:val="0"/>
                <w:color w:val="1F1F1F"/>
                <w:sz w:val="21"/>
                <w:szCs w:val="21"/>
                <w:lang w:val="en-US" w:eastAsia="zh-CN"/>
              </w:rPr>
            </w:pPr>
          </w:p>
          <w:p w14:paraId="16DB7302">
            <w:pPr>
              <w:rPr>
                <w:rFonts w:hint="default" w:ascii="宋体" w:hAnsi="宋体" w:cs="宋体"/>
                <w:b w:val="0"/>
                <w:bCs w:val="0"/>
                <w:color w:val="1F1F1F"/>
                <w:sz w:val="21"/>
                <w:szCs w:val="21"/>
                <w:lang w:val="en-US" w:eastAsia="zh-CN"/>
              </w:rPr>
            </w:pPr>
            <w:r>
              <w:rPr>
                <w:rFonts w:hint="eastAsia" w:ascii="宋体" w:hAnsi="宋体" w:cs="宋体"/>
                <w:b w:val="0"/>
                <w:bCs w:val="0"/>
                <w:color w:val="1F1F1F"/>
                <w:sz w:val="21"/>
                <w:szCs w:val="21"/>
                <w:lang w:val="en-US" w:eastAsia="zh-CN"/>
              </w:rPr>
              <w:t>问题：目前海外市场竞争激烈，公司如何破局？</w:t>
            </w:r>
          </w:p>
          <w:p w14:paraId="4D052D84">
            <w:pPr>
              <w:rPr>
                <w:rFonts w:hint="eastAsia" w:ascii="宋体" w:hAnsi="宋体" w:cs="宋体"/>
                <w:b w:val="0"/>
                <w:bCs w:val="0"/>
                <w:color w:val="1F1F1F"/>
                <w:sz w:val="21"/>
                <w:szCs w:val="21"/>
                <w:lang w:val="en-US" w:eastAsia="zh-CN"/>
              </w:rPr>
            </w:pPr>
            <w:r>
              <w:rPr>
                <w:rFonts w:hint="eastAsia" w:ascii="宋体" w:hAnsi="宋体" w:cs="宋体"/>
                <w:b w:val="0"/>
                <w:bCs w:val="0"/>
                <w:color w:val="1F1F1F"/>
                <w:sz w:val="21"/>
                <w:szCs w:val="21"/>
                <w:lang w:val="en-US" w:eastAsia="zh-CN"/>
              </w:rPr>
              <w:t>回答：海外市场竞争白热化，公司破局分长期、短期两条路径。长期坚持国际化深耕：中国企业出海普遍成本偏高，过程充满挑战，但我们始终坚持本土化共生理念，主动维系与当地政府、居民、产业链的良好合作，规避各类属地矛盾，走可持续海外发展路线。短期聚焦核心能力建设：持续完善系统集成</w:t>
            </w:r>
            <w:bookmarkStart w:id="0" w:name="_GoBack"/>
            <w:bookmarkEnd w:id="0"/>
            <w:r>
              <w:rPr>
                <w:rFonts w:hint="eastAsia" w:ascii="宋体" w:hAnsi="宋体" w:cs="宋体"/>
                <w:b w:val="0"/>
                <w:bCs w:val="0"/>
                <w:color w:val="1F1F1F"/>
                <w:sz w:val="21"/>
                <w:szCs w:val="21"/>
                <w:lang w:val="en-US" w:eastAsia="zh-CN"/>
              </w:rPr>
              <w:t>研发制造能力，夯实硬件基础形成完整产品竞争力；硬件成型后，再持续迭代配套软件系统，完善全栈产品布局。同时我们拥有海外先发品牌优势，长期积累的海外客户与产业合作资源，也是我们突围的核心壁垒。</w:t>
            </w:r>
          </w:p>
          <w:p w14:paraId="0711D04C">
            <w:pPr>
              <w:rPr>
                <w:rFonts w:hint="default" w:ascii="宋体" w:hAnsi="宋体" w:cs="宋体"/>
                <w:b w:val="0"/>
                <w:bCs w:val="0"/>
                <w:color w:val="1F1F1F"/>
                <w:sz w:val="21"/>
                <w:szCs w:val="21"/>
                <w:lang w:val="en-US" w:eastAsia="zh-CN"/>
              </w:rPr>
            </w:pPr>
          </w:p>
        </w:tc>
      </w:tr>
      <w:tr w14:paraId="3A25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28" w:type="dxa"/>
            <w:tcBorders>
              <w:top w:val="single" w:color="auto" w:sz="4" w:space="0"/>
              <w:left w:val="single" w:color="auto" w:sz="4" w:space="0"/>
              <w:bottom w:val="single" w:color="auto" w:sz="4" w:space="0"/>
              <w:right w:val="single" w:color="auto" w:sz="4" w:space="0"/>
            </w:tcBorders>
            <w:vAlign w:val="center"/>
          </w:tcPr>
          <w:p w14:paraId="4C050CDF">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关于本次活动是否涉及应当披露重大信息的说明</w:t>
            </w:r>
          </w:p>
        </w:tc>
        <w:tc>
          <w:tcPr>
            <w:tcW w:w="6588" w:type="dxa"/>
            <w:tcBorders>
              <w:top w:val="single" w:color="auto" w:sz="4" w:space="0"/>
              <w:left w:val="single" w:color="auto" w:sz="4" w:space="0"/>
              <w:bottom w:val="single" w:color="auto" w:sz="4" w:space="0"/>
              <w:right w:val="single" w:color="auto" w:sz="4" w:space="0"/>
            </w:tcBorders>
            <w:vAlign w:val="center"/>
          </w:tcPr>
          <w:p w14:paraId="78CBB68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本次活动不涉及应当披露的重大信息。</w:t>
            </w:r>
          </w:p>
        </w:tc>
      </w:tr>
      <w:tr w14:paraId="28E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28" w:type="dxa"/>
            <w:tcBorders>
              <w:top w:val="single" w:color="auto" w:sz="4" w:space="0"/>
              <w:left w:val="single" w:color="auto" w:sz="4" w:space="0"/>
              <w:bottom w:val="single" w:color="auto" w:sz="4" w:space="0"/>
              <w:right w:val="single" w:color="auto" w:sz="4" w:space="0"/>
            </w:tcBorders>
            <w:vAlign w:val="center"/>
          </w:tcPr>
          <w:p w14:paraId="459A5484">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附件清单</w:t>
            </w:r>
          </w:p>
          <w:p w14:paraId="4CA91A54">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（如有）</w:t>
            </w:r>
          </w:p>
        </w:tc>
        <w:tc>
          <w:tcPr>
            <w:tcW w:w="6588" w:type="dxa"/>
            <w:tcBorders>
              <w:top w:val="single" w:color="auto" w:sz="4" w:space="0"/>
              <w:left w:val="single" w:color="auto" w:sz="4" w:space="0"/>
              <w:bottom w:val="single" w:color="auto" w:sz="4" w:space="0"/>
              <w:right w:val="single" w:color="auto" w:sz="4" w:space="0"/>
            </w:tcBorders>
            <w:vAlign w:val="center"/>
          </w:tcPr>
          <w:p w14:paraId="0E63E235">
            <w:pPr>
              <w:spacing w:line="360" w:lineRule="auto"/>
              <w:rPr>
                <w:rFonts w:hint="eastAsia" w:ascii="宋体" w:hAnsi="宋体" w:cs="宋体"/>
                <w:color w:val="000000" w:themeColor="text1"/>
                <w:szCs w:val="21"/>
                <w14:textFill>
                  <w14:solidFill>
                    <w14:schemeClr w14:val="tx1"/>
                  </w14:solidFill>
                </w14:textFill>
              </w:rPr>
            </w:pPr>
          </w:p>
        </w:tc>
      </w:tr>
      <w:tr w14:paraId="0391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CB6A18B">
            <w:pPr>
              <w:spacing w:line="360"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日期</w:t>
            </w:r>
          </w:p>
        </w:tc>
        <w:tc>
          <w:tcPr>
            <w:tcW w:w="6588" w:type="dxa"/>
            <w:tcBorders>
              <w:top w:val="single" w:color="auto" w:sz="4" w:space="0"/>
              <w:left w:val="single" w:color="auto" w:sz="4" w:space="0"/>
              <w:bottom w:val="single" w:color="auto" w:sz="4" w:space="0"/>
              <w:right w:val="single" w:color="auto" w:sz="4" w:space="0"/>
            </w:tcBorders>
            <w:vAlign w:val="center"/>
          </w:tcPr>
          <w:p w14:paraId="75601EF8">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202</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年</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月</w:t>
            </w:r>
            <w:r>
              <w:rPr>
                <w:rFonts w:hint="eastAsia" w:ascii="宋体" w:hAnsi="宋体" w:cs="宋体"/>
                <w:bCs/>
                <w:iCs/>
                <w:color w:val="000000" w:themeColor="text1"/>
                <w:szCs w:val="21"/>
                <w:lang w:val="en-US" w:eastAsia="zh-CN"/>
                <w14:textFill>
                  <w14:solidFill>
                    <w14:schemeClr w14:val="tx1"/>
                  </w14:solidFill>
                </w14:textFill>
              </w:rPr>
              <w:t>16</w:t>
            </w:r>
            <w:r>
              <w:rPr>
                <w:rFonts w:hint="eastAsia" w:ascii="宋体" w:hAnsi="宋体" w:cs="宋体"/>
                <w:bCs/>
                <w:iCs/>
                <w:color w:val="000000" w:themeColor="text1"/>
                <w:szCs w:val="21"/>
                <w14:textFill>
                  <w14:solidFill>
                    <w14:schemeClr w14:val="tx1"/>
                  </w14:solidFill>
                </w14:textFill>
              </w:rPr>
              <w:t>日</w:t>
            </w:r>
          </w:p>
        </w:tc>
      </w:tr>
    </w:tbl>
    <w:p w14:paraId="6E1CD183">
      <w:pPr>
        <w:ind w:firstLine="420"/>
        <w:rPr>
          <w:rFonts w:hint="eastAsia" w:ascii="宋体" w:hAnsi="宋体"/>
          <w:color w:val="000000" w:themeColor="text1"/>
          <w14:textFill>
            <w14:solidFill>
              <w14:schemeClr w14:val="tx1"/>
            </w14:solidFill>
          </w14:textFill>
        </w:rPr>
      </w:pPr>
    </w:p>
    <w:p w14:paraId="629E72B1"/>
    <w:sectPr>
      <w:footerReference r:id="rId3" w:type="default"/>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489976"/>
    </w:sdtPr>
    <w:sdtContent>
      <w:sdt>
        <w:sdtPr>
          <w:id w:val="1728636285"/>
        </w:sdtPr>
        <w:sdtContent>
          <w:p w14:paraId="35F4E261">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A7"/>
    <w:rsid w:val="0005581F"/>
    <w:rsid w:val="000568A7"/>
    <w:rsid w:val="00056D1E"/>
    <w:rsid w:val="000A300D"/>
    <w:rsid w:val="000A3E54"/>
    <w:rsid w:val="000B2D9F"/>
    <w:rsid w:val="000C49EE"/>
    <w:rsid w:val="001269D3"/>
    <w:rsid w:val="00130597"/>
    <w:rsid w:val="00137980"/>
    <w:rsid w:val="001528ED"/>
    <w:rsid w:val="00164B01"/>
    <w:rsid w:val="001B4173"/>
    <w:rsid w:val="001B66C7"/>
    <w:rsid w:val="001D1CAD"/>
    <w:rsid w:val="001D4B0F"/>
    <w:rsid w:val="001F41CE"/>
    <w:rsid w:val="00213E26"/>
    <w:rsid w:val="00226F52"/>
    <w:rsid w:val="0022726F"/>
    <w:rsid w:val="00227ED0"/>
    <w:rsid w:val="0027275A"/>
    <w:rsid w:val="002C5E9D"/>
    <w:rsid w:val="002E76DE"/>
    <w:rsid w:val="00343894"/>
    <w:rsid w:val="00390757"/>
    <w:rsid w:val="00397543"/>
    <w:rsid w:val="003A1E29"/>
    <w:rsid w:val="003A392C"/>
    <w:rsid w:val="00402186"/>
    <w:rsid w:val="0040324C"/>
    <w:rsid w:val="00412BC1"/>
    <w:rsid w:val="004136BF"/>
    <w:rsid w:val="00443F62"/>
    <w:rsid w:val="004B5FBD"/>
    <w:rsid w:val="004B6072"/>
    <w:rsid w:val="004D76B6"/>
    <w:rsid w:val="004E4756"/>
    <w:rsid w:val="005319DD"/>
    <w:rsid w:val="005504E7"/>
    <w:rsid w:val="00551D0B"/>
    <w:rsid w:val="005713BA"/>
    <w:rsid w:val="005E42F8"/>
    <w:rsid w:val="005F2CFD"/>
    <w:rsid w:val="005F4DD6"/>
    <w:rsid w:val="00607B1A"/>
    <w:rsid w:val="00616FF4"/>
    <w:rsid w:val="00620CC0"/>
    <w:rsid w:val="00631B7C"/>
    <w:rsid w:val="00673B87"/>
    <w:rsid w:val="006B36AF"/>
    <w:rsid w:val="006C5597"/>
    <w:rsid w:val="006D6F3B"/>
    <w:rsid w:val="00711656"/>
    <w:rsid w:val="00712B85"/>
    <w:rsid w:val="007210AF"/>
    <w:rsid w:val="00755DF0"/>
    <w:rsid w:val="00777274"/>
    <w:rsid w:val="007949E2"/>
    <w:rsid w:val="00801C72"/>
    <w:rsid w:val="008054AE"/>
    <w:rsid w:val="00821939"/>
    <w:rsid w:val="00850086"/>
    <w:rsid w:val="0085280C"/>
    <w:rsid w:val="008678E8"/>
    <w:rsid w:val="00882D86"/>
    <w:rsid w:val="008A3F81"/>
    <w:rsid w:val="008B1A33"/>
    <w:rsid w:val="008B59AE"/>
    <w:rsid w:val="008C15C8"/>
    <w:rsid w:val="008C6FD8"/>
    <w:rsid w:val="008D0491"/>
    <w:rsid w:val="008E1D5A"/>
    <w:rsid w:val="008E6396"/>
    <w:rsid w:val="00915E4A"/>
    <w:rsid w:val="00923DDD"/>
    <w:rsid w:val="00926BE5"/>
    <w:rsid w:val="009375D1"/>
    <w:rsid w:val="0094240A"/>
    <w:rsid w:val="00955D10"/>
    <w:rsid w:val="00971C57"/>
    <w:rsid w:val="009A04E2"/>
    <w:rsid w:val="009A1553"/>
    <w:rsid w:val="009C767D"/>
    <w:rsid w:val="009F2A86"/>
    <w:rsid w:val="00A073C6"/>
    <w:rsid w:val="00A13B4C"/>
    <w:rsid w:val="00A43A70"/>
    <w:rsid w:val="00A65261"/>
    <w:rsid w:val="00A67168"/>
    <w:rsid w:val="00A701DC"/>
    <w:rsid w:val="00A75D2D"/>
    <w:rsid w:val="00A778DE"/>
    <w:rsid w:val="00A86480"/>
    <w:rsid w:val="00A978D7"/>
    <w:rsid w:val="00AA7F76"/>
    <w:rsid w:val="00AC10EB"/>
    <w:rsid w:val="00AE04E4"/>
    <w:rsid w:val="00AF03F1"/>
    <w:rsid w:val="00B033B6"/>
    <w:rsid w:val="00B219DF"/>
    <w:rsid w:val="00B3193C"/>
    <w:rsid w:val="00B370F3"/>
    <w:rsid w:val="00B64187"/>
    <w:rsid w:val="00B84332"/>
    <w:rsid w:val="00BB0B6E"/>
    <w:rsid w:val="00BB6762"/>
    <w:rsid w:val="00BD44C2"/>
    <w:rsid w:val="00BE79BC"/>
    <w:rsid w:val="00C10E01"/>
    <w:rsid w:val="00C34C77"/>
    <w:rsid w:val="00C9180B"/>
    <w:rsid w:val="00CE3FB3"/>
    <w:rsid w:val="00CF73D4"/>
    <w:rsid w:val="00D27A93"/>
    <w:rsid w:val="00D32DFC"/>
    <w:rsid w:val="00D816E8"/>
    <w:rsid w:val="00DE07FC"/>
    <w:rsid w:val="00DF1972"/>
    <w:rsid w:val="00E0120E"/>
    <w:rsid w:val="00E671CE"/>
    <w:rsid w:val="00EA058C"/>
    <w:rsid w:val="00EA2E3D"/>
    <w:rsid w:val="00EB0E4F"/>
    <w:rsid w:val="00EC506B"/>
    <w:rsid w:val="00ED00F7"/>
    <w:rsid w:val="00EE29C8"/>
    <w:rsid w:val="00EF5D94"/>
    <w:rsid w:val="00EF77C4"/>
    <w:rsid w:val="00F21D3A"/>
    <w:rsid w:val="00F370DB"/>
    <w:rsid w:val="00F650EB"/>
    <w:rsid w:val="00F65872"/>
    <w:rsid w:val="00F72275"/>
    <w:rsid w:val="00F87CDE"/>
    <w:rsid w:val="00FA1F10"/>
    <w:rsid w:val="00FC3361"/>
    <w:rsid w:val="01EB76F7"/>
    <w:rsid w:val="025E7A61"/>
    <w:rsid w:val="03F4702C"/>
    <w:rsid w:val="04861B0C"/>
    <w:rsid w:val="07126147"/>
    <w:rsid w:val="0756371B"/>
    <w:rsid w:val="075E5B77"/>
    <w:rsid w:val="09533DA3"/>
    <w:rsid w:val="0A4E393A"/>
    <w:rsid w:val="0B297F03"/>
    <w:rsid w:val="0C1C35C4"/>
    <w:rsid w:val="0C96326B"/>
    <w:rsid w:val="0EB144BA"/>
    <w:rsid w:val="0F357BC8"/>
    <w:rsid w:val="1166486A"/>
    <w:rsid w:val="12086AC4"/>
    <w:rsid w:val="140C1889"/>
    <w:rsid w:val="14233CA2"/>
    <w:rsid w:val="160457F4"/>
    <w:rsid w:val="16327340"/>
    <w:rsid w:val="16876C81"/>
    <w:rsid w:val="169E2B40"/>
    <w:rsid w:val="16C62AAA"/>
    <w:rsid w:val="174A36DB"/>
    <w:rsid w:val="178B0E34"/>
    <w:rsid w:val="17C4348D"/>
    <w:rsid w:val="189E262D"/>
    <w:rsid w:val="19461284"/>
    <w:rsid w:val="1A136006"/>
    <w:rsid w:val="1AB64E6A"/>
    <w:rsid w:val="1AD334D8"/>
    <w:rsid w:val="1E6144DD"/>
    <w:rsid w:val="1F6F0182"/>
    <w:rsid w:val="1F7312F5"/>
    <w:rsid w:val="1F9A0F77"/>
    <w:rsid w:val="1FF266BE"/>
    <w:rsid w:val="201C5054"/>
    <w:rsid w:val="206477CF"/>
    <w:rsid w:val="20D14948"/>
    <w:rsid w:val="221B1EC0"/>
    <w:rsid w:val="22364F87"/>
    <w:rsid w:val="243674C1"/>
    <w:rsid w:val="24720EA1"/>
    <w:rsid w:val="24AB407B"/>
    <w:rsid w:val="258458FE"/>
    <w:rsid w:val="2A1B5CB4"/>
    <w:rsid w:val="2A81520E"/>
    <w:rsid w:val="2AE65F68"/>
    <w:rsid w:val="2B9E594C"/>
    <w:rsid w:val="2BA74800"/>
    <w:rsid w:val="2CF80196"/>
    <w:rsid w:val="2CFA4E04"/>
    <w:rsid w:val="2D0C5A0A"/>
    <w:rsid w:val="3184220E"/>
    <w:rsid w:val="326E7E26"/>
    <w:rsid w:val="32CE6B16"/>
    <w:rsid w:val="32E00968"/>
    <w:rsid w:val="32F04CDF"/>
    <w:rsid w:val="33E336D8"/>
    <w:rsid w:val="340824FC"/>
    <w:rsid w:val="35234AC0"/>
    <w:rsid w:val="371923D0"/>
    <w:rsid w:val="374A101D"/>
    <w:rsid w:val="37D921E5"/>
    <w:rsid w:val="384D62C0"/>
    <w:rsid w:val="39CD7B28"/>
    <w:rsid w:val="3AB64A60"/>
    <w:rsid w:val="3B491430"/>
    <w:rsid w:val="3D443BA3"/>
    <w:rsid w:val="3D475E43"/>
    <w:rsid w:val="3D4E5423"/>
    <w:rsid w:val="3EC7548D"/>
    <w:rsid w:val="41F63994"/>
    <w:rsid w:val="42222F61"/>
    <w:rsid w:val="42772D26"/>
    <w:rsid w:val="43430519"/>
    <w:rsid w:val="43614A2D"/>
    <w:rsid w:val="43A1613F"/>
    <w:rsid w:val="44CB50EA"/>
    <w:rsid w:val="45633A36"/>
    <w:rsid w:val="45700811"/>
    <w:rsid w:val="45C85647"/>
    <w:rsid w:val="48EB2E07"/>
    <w:rsid w:val="4A4934DE"/>
    <w:rsid w:val="4AE63099"/>
    <w:rsid w:val="4C5A2DAF"/>
    <w:rsid w:val="4CEF2EF3"/>
    <w:rsid w:val="4DFF1573"/>
    <w:rsid w:val="4F902997"/>
    <w:rsid w:val="516A2D9B"/>
    <w:rsid w:val="517D49C4"/>
    <w:rsid w:val="52DA6ADC"/>
    <w:rsid w:val="537B1F4B"/>
    <w:rsid w:val="53CC6C4A"/>
    <w:rsid w:val="53D53260"/>
    <w:rsid w:val="53E915AA"/>
    <w:rsid w:val="545B7EFC"/>
    <w:rsid w:val="54F4070C"/>
    <w:rsid w:val="5627460C"/>
    <w:rsid w:val="56592316"/>
    <w:rsid w:val="5B1F079D"/>
    <w:rsid w:val="5DD5494D"/>
    <w:rsid w:val="5F3F6522"/>
    <w:rsid w:val="5FE61B61"/>
    <w:rsid w:val="6115590B"/>
    <w:rsid w:val="616634E5"/>
    <w:rsid w:val="62F51D1A"/>
    <w:rsid w:val="63284D3B"/>
    <w:rsid w:val="64406FC4"/>
    <w:rsid w:val="64925346"/>
    <w:rsid w:val="65331AE8"/>
    <w:rsid w:val="65CC6FD3"/>
    <w:rsid w:val="66AB26EF"/>
    <w:rsid w:val="681F67A2"/>
    <w:rsid w:val="68541290"/>
    <w:rsid w:val="6AE33AD7"/>
    <w:rsid w:val="6CF02B83"/>
    <w:rsid w:val="6E573888"/>
    <w:rsid w:val="6E7521DB"/>
    <w:rsid w:val="719B5B8D"/>
    <w:rsid w:val="71CC0FB3"/>
    <w:rsid w:val="72026615"/>
    <w:rsid w:val="734C0DB6"/>
    <w:rsid w:val="749869A9"/>
    <w:rsid w:val="75373B04"/>
    <w:rsid w:val="754823F7"/>
    <w:rsid w:val="755F74C6"/>
    <w:rsid w:val="75CE7DE9"/>
    <w:rsid w:val="770B3462"/>
    <w:rsid w:val="774E5E11"/>
    <w:rsid w:val="776E4D28"/>
    <w:rsid w:val="77937BA4"/>
    <w:rsid w:val="78533453"/>
    <w:rsid w:val="78D6184E"/>
    <w:rsid w:val="79892B56"/>
    <w:rsid w:val="7A637111"/>
    <w:rsid w:val="7BC61D30"/>
    <w:rsid w:val="7BDE6900"/>
    <w:rsid w:val="7C063151"/>
    <w:rsid w:val="7D2C5EE0"/>
    <w:rsid w:val="7DD722F0"/>
    <w:rsid w:val="7E024E93"/>
    <w:rsid w:val="7E0E1A8A"/>
    <w:rsid w:val="7EC5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5"/>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6"/>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7"/>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8"/>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9"/>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30"/>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1"/>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2"/>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semiHidden/>
    <w:unhideWhenUsed/>
    <w:qFormat/>
    <w:uiPriority w:val="99"/>
    <w:pPr>
      <w:jc w:val="left"/>
    </w:p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7">
    <w:name w:val="annotation subject"/>
    <w:basedOn w:val="11"/>
    <w:next w:val="11"/>
    <w:link w:val="45"/>
    <w:semiHidden/>
    <w:unhideWhenUsed/>
    <w:qFormat/>
    <w:uiPriority w:val="99"/>
    <w:rPr>
      <w:b/>
      <w:bCs/>
    </w:rPr>
  </w:style>
  <w:style w:type="character" w:styleId="20">
    <w:name w:val="Strong"/>
    <w:basedOn w:val="19"/>
    <w:qFormat/>
    <w:uiPriority w:val="22"/>
    <w:rPr>
      <w:b/>
    </w:rPr>
  </w:style>
  <w:style w:type="character" w:styleId="21">
    <w:name w:val="Emphasis"/>
    <w:basedOn w:val="19"/>
    <w:qFormat/>
    <w:uiPriority w:val="20"/>
    <w:rPr>
      <w:i/>
    </w:rPr>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sz w:val="24"/>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页脚 字符"/>
    <w:basedOn w:val="19"/>
    <w:link w:val="12"/>
    <w:qFormat/>
    <w:uiPriority w:val="99"/>
    <w:rPr>
      <w:rFonts w:ascii="Times New Roman" w:hAnsi="Times New Roman" w:eastAsia="宋体" w:cs="Times New Roman"/>
      <w:sz w:val="18"/>
      <w:szCs w:val="18"/>
      <w14:ligatures w14:val="none"/>
    </w:rPr>
  </w:style>
  <w:style w:type="character" w:customStyle="1" w:styleId="43">
    <w:name w:val="页眉 字符"/>
    <w:basedOn w:val="19"/>
    <w:link w:val="13"/>
    <w:qFormat/>
    <w:uiPriority w:val="99"/>
    <w:rPr>
      <w:rFonts w:ascii="Times New Roman" w:hAnsi="Times New Roman" w:eastAsia="宋体" w:cs="Times New Roman"/>
      <w:sz w:val="18"/>
      <w:szCs w:val="18"/>
      <w14:ligatures w14:val="none"/>
    </w:rPr>
  </w:style>
  <w:style w:type="character" w:customStyle="1" w:styleId="44">
    <w:name w:val="批注文字 字符"/>
    <w:basedOn w:val="19"/>
    <w:link w:val="11"/>
    <w:semiHidden/>
    <w:qFormat/>
    <w:uiPriority w:val="99"/>
    <w:rPr>
      <w:rFonts w:ascii="Times New Roman" w:hAnsi="Times New Roman" w:eastAsia="宋体" w:cs="Times New Roman"/>
      <w:sz w:val="21"/>
      <w14:ligatures w14:val="none"/>
    </w:rPr>
  </w:style>
  <w:style w:type="character" w:customStyle="1" w:styleId="45">
    <w:name w:val="批注主题 字符"/>
    <w:basedOn w:val="44"/>
    <w:link w:val="17"/>
    <w:semiHidden/>
    <w:qFormat/>
    <w:uiPriority w:val="99"/>
    <w:rPr>
      <w:rFonts w:ascii="Times New Roman" w:hAnsi="Times New Roman" w:eastAsia="宋体" w:cs="Times New Roman"/>
      <w:b/>
      <w:bCs/>
      <w:sz w:val="21"/>
      <w14:ligatures w14:val="none"/>
    </w:rPr>
  </w:style>
  <w:style w:type="character" w:customStyle="1" w:styleId="46">
    <w:name w:val="fontstyle01"/>
    <w:basedOn w:val="19"/>
    <w:qFormat/>
    <w:uiPriority w:val="0"/>
    <w:rPr>
      <w:rFonts w:hint="eastAsia" w:ascii="宋体" w:hAnsi="宋体" w:eastAsia="宋体"/>
      <w:color w:val="000000"/>
      <w:sz w:val="22"/>
      <w:szCs w:val="22"/>
    </w:rPr>
  </w:style>
  <w:style w:type="character" w:customStyle="1" w:styleId="47">
    <w:name w:val="fontstyle21"/>
    <w:basedOn w:val="19"/>
    <w:qFormat/>
    <w:uiPriority w:val="0"/>
    <w:rPr>
      <w:rFonts w:hint="default" w:ascii="TimesNewRomanPSMT" w:hAnsi="TimesNewRomanPSMT"/>
      <w:color w:val="000000"/>
      <w:sz w:val="22"/>
      <w:szCs w:val="22"/>
    </w:rPr>
  </w:style>
  <w:style w:type="paragraph" w:customStyle="1" w:styleId="48">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e8a4b84c-f6b2-4b8d-b393-e4d9cb986e68</errorID>
      <errorWord>；</errorWord>
      <group>L1_Format</group>
      <groupName>格式问题</groupName>
      <ability>L2_HalfPunc_CN</ability>
      <abilityName>全半角问题</abilityName>
      <candidateList>
        <item>; </item>
      </candidateList>
      <explain>文本全半角错误。</explain>
      <paraID>59B81E15</paraID>
      <start>15</start>
      <end>16</end>
      <status>unmodified</status>
      <modifiedWord/>
      <trackRevisions>false</trackRevisions>
    </reviewItem>
    <reviewItem>
      <errorID>50c55f41-d01b-4556-ac39-78e3399d6d43</errorID>
      <errorWord>；</errorWord>
      <group>L1_Format</group>
      <groupName>格式问题</groupName>
      <ability>L2_HalfPunc_CN</ability>
      <abilityName>全半角问题</abilityName>
      <candidateList>
        <item>;</item>
      </candidateList>
      <explain>文本全半角错误。</explain>
      <paraID>59B81E15</paraID>
      <start>64</start>
      <end>65</end>
      <status>unmodified</status>
      <modifiedWord/>
      <trackRevisions>false</trackRevisions>
    </reviewItem>
    <reviewItem>
      <errorID>f8c2ba51-0073-4266-b3d1-5e7c68daf588</errorID>
      <errorWord>；</errorWord>
      <group>L1_Format</group>
      <groupName>格式问题</groupName>
      <ability>L2_HalfPunc_CN</ability>
      <abilityName>全半角问题</abilityName>
      <candidateList>
        <item>; </item>
      </candidateList>
      <explain>文本全半角错误。</explain>
      <paraID>194B4871</paraID>
      <start>16</start>
      <end>17</end>
      <status>unmodified</status>
      <modifiedWord/>
      <trackRevisions>false</trackRevisions>
    </reviewItem>
    <reviewItem>
      <errorID>f6f79a41-a32d-41ed-a5ff-41c82e91579e</errorID>
      <errorWord>；</errorWord>
      <group>L1_Format</group>
      <groupName>格式问题</groupName>
      <ability>L2_HalfPunc_CN</ability>
      <abilityName>全半角问题</abilityName>
      <candidateList>
        <item>; </item>
      </candidateList>
      <explain>文本全半角错误。</explain>
      <paraID>194B4871</paraID>
      <start>68</start>
      <end>69</end>
      <status>unmodified</status>
      <modifiedWord/>
      <trackRevisions>false</trackRevisions>
    </reviewItem>
    <reviewItem>
      <errorID>ec68bc78-1f62-4213-a197-e373c6df73e1</errorID>
      <errorWord>；</errorWord>
      <group>L1_Format</group>
      <groupName>格式问题</groupName>
      <ability>L2_HalfPunc_CN</ability>
      <abilityName>全半角问题</abilityName>
      <candidateList>
        <item>; </item>
      </candidateList>
      <explain>文本全半角错误。</explain>
      <paraID>194B4871</paraID>
      <start>88</start>
      <end>89</end>
      <status>unmodified</status>
      <modifiedWord/>
      <trackRevisions>false</trackRevisions>
    </reviewItem>
    <reviewItem>
      <errorID>908a81a1-a8f1-42f1-81a7-a7e46fb7ac62</errorID>
      <errorWord>；</errorWord>
      <group>L1_Format</group>
      <groupName>格式问题</groupName>
      <ability>L2_HalfPunc_CN</ability>
      <abilityName>全半角问题</abilityName>
      <candidateList>
        <item>; </item>
      </candidateList>
      <explain>文本全半角错误。</explain>
      <paraID>194B4871</paraID>
      <start>130</start>
      <end>131</end>
      <status>unmodified</status>
      <modifiedWord/>
      <trackRevisions>false</trackRevisions>
    </reviewItem>
    <reviewItem>
      <errorID>a9063523-3536-489a-8218-b2a0441e04f7</errorID>
      <errorWord>；</errorWord>
      <group>L1_Format</group>
      <groupName>格式问题</groupName>
      <ability>L2_HalfPunc_CN</ability>
      <abilityName>全半角问题</abilityName>
      <candidateList>
        <item>; </item>
      </candidateList>
      <explain>文本全半角错误。</explain>
      <paraID>194B4871</paraID>
      <start>176</start>
      <end>177</end>
      <status>unmodified</status>
      <modifiedWord/>
      <trackRevisions>false</trackRevisions>
    </reviewItem>
    <reviewItem>
      <errorID>921ea43d-cceb-43ee-b723-93a300d88be6</errorID>
      <errorWord>；</errorWord>
      <group>L1_Format</group>
      <groupName>格式问题</groupName>
      <ability>L2_HalfPunc_CN</ability>
      <abilityName>全半角问题</abilityName>
      <candidateList>
        <item>; </item>
      </candidateList>
      <explain>文本全半角错误。</explain>
      <paraID>194B4871</paraID>
      <start>207</start>
      <end>208</end>
      <status>unmodified</status>
      <modifiedWord/>
      <trackRevisions>false</trackRevisions>
    </reviewItem>
  </reviewItems>
  <config/>
</contractReview>
</file>

<file path=customXml/itemProps1.xml><?xml version="1.0" encoding="utf-8"?>
<ds:datastoreItem xmlns:ds="http://schemas.openxmlformats.org/officeDocument/2006/customXml" ds:itemID="{2ae877cb-91c3-40ae-b5e1-1e3e0e45b216}">
  <ds:schemaRefs/>
</ds:datastoreItem>
</file>

<file path=docProps/app.xml><?xml version="1.0" encoding="utf-8"?>
<Properties xmlns="http://schemas.openxmlformats.org/officeDocument/2006/extended-properties" xmlns:vt="http://schemas.openxmlformats.org/officeDocument/2006/docPropsVTypes">
  <Template>Normal</Template>
  <Pages>3</Pages>
  <Words>2401</Words>
  <Characters>2761</Characters>
  <Lines>21</Lines>
  <Paragraphs>5</Paragraphs>
  <TotalTime>9</TotalTime>
  <ScaleCrop>false</ScaleCrop>
  <LinksUpToDate>false</LinksUpToDate>
  <CharactersWithSpaces>2941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2025-08-22T02:27:00Z</dcterms:created>
  <dc:creator>Yingying LIU</dc:creator>
  <cp:lastModifiedBy>Feitong Jiang</cp:lastModifiedBy>
  <cp:lastPrinted>2026-06-12T06:46:00Z</cp:lastPrinted>
  <dcterms:modified xsi:type="dcterms:W3CDTF">2026-06-16T09:32:24Z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eyJoZGlkIjoiY2MxODk3Y2Y4YTk5MTUwZDFiNDZkMmM0Njg2MGI5ODciLCJ1c2VySWQiOiI2ODA3MTUzODIifQ==</vt:lpwstr>
  </property>
  <property fmtid="{D5CDD505-2E9C-101B-9397-08002B2CF9AE}" pid="3" name="KSOProductBuildVer">
    <vt:lpwstr>2052-12.1.0.26895</vt:lpwstr>
  </property>
  <property fmtid="{D5CDD505-2E9C-101B-9397-08002B2CF9AE}" pid="4" name="ICV">
    <vt:lpwstr>971CB768B29E45D2A3297392F8DF2BE6_13</vt:lpwstr>
  </property>
</Properties>
</file>