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6F10" w14:textId="77777777" w:rsidR="008226C5" w:rsidRDefault="00000000">
      <w:pPr>
        <w:spacing w:beforeLines="50" w:before="120" w:afterLines="50" w:after="120" w:line="360" w:lineRule="auto"/>
        <w:jc w:val="both"/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</w:t>
      </w:r>
      <w:r>
        <w:rPr>
          <w:rFonts w:ascii="宋体" w:eastAsia="宋体" w:hAnsi="宋体" w:cs="宋体"/>
          <w:sz w:val="24"/>
        </w:rPr>
        <w:t>607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康众医疗</w:t>
      </w:r>
      <w:proofErr w:type="gramEnd"/>
    </w:p>
    <w:p w14:paraId="4AA37E6C" w14:textId="77777777" w:rsidR="008226C5" w:rsidRDefault="00000000">
      <w:pPr>
        <w:spacing w:beforeLines="50" w:before="120" w:afterLines="50" w:after="120" w:line="360" w:lineRule="auto"/>
        <w:jc w:val="center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江苏康众数字医疗</w:t>
      </w:r>
      <w:r>
        <w:rPr>
          <w:rFonts w:ascii="宋体" w:eastAsia="宋体" w:hAnsi="宋体" w:cs="宋体"/>
          <w:b/>
          <w:sz w:val="28"/>
          <w:szCs w:val="28"/>
        </w:rPr>
        <w:t>科技股份有限公司投资者关系活动记录表</w:t>
      </w:r>
    </w:p>
    <w:p w14:paraId="7D35C541" w14:textId="77777777" w:rsidR="008226C5" w:rsidRDefault="00000000">
      <w:pPr>
        <w:spacing w:after="0" w:line="240" w:lineRule="auto"/>
        <w:ind w:right="120"/>
        <w:jc w:val="right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编号：</w:t>
      </w:r>
      <w:r>
        <w:rPr>
          <w:rFonts w:ascii="宋体" w:eastAsia="宋体" w:hAnsi="宋体" w:cs="宋体" w:hint="eastAsia"/>
          <w:sz w:val="24"/>
          <w:szCs w:val="24"/>
        </w:rPr>
        <w:t>2026-002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Style w:val="TableGrid"/>
        <w:tblW w:w="5016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3611"/>
        <w:gridCol w:w="4695"/>
      </w:tblGrid>
      <w:tr w:rsidR="008226C5" w14:paraId="2E21CCF2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12DD4E85" w14:textId="77777777" w:rsidR="008226C5" w:rsidRDefault="0000000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2825" w:type="pct"/>
            <w:vAlign w:val="center"/>
          </w:tcPr>
          <w:p w14:paraId="4F19FA30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特定对象调研        □分析师会议 </w:t>
            </w:r>
          </w:p>
          <w:p w14:paraId="329FF448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□媒体采访            □业绩说明会 </w:t>
            </w:r>
          </w:p>
          <w:p w14:paraId="3D6B36C3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□新闻发布会          □路演活动 </w:t>
            </w:r>
          </w:p>
          <w:p w14:paraId="5520B10D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现场参观            □一对一沟通 </w:t>
            </w:r>
          </w:p>
          <w:p w14:paraId="6235343C" w14:textId="77777777" w:rsidR="008226C5" w:rsidRDefault="0000000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□其他  </w:t>
            </w:r>
          </w:p>
        </w:tc>
      </w:tr>
      <w:tr w:rsidR="008226C5" w14:paraId="5CA29C9F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61C03003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参与单位</w:t>
            </w:r>
          </w:p>
        </w:tc>
        <w:tc>
          <w:tcPr>
            <w:tcW w:w="2825" w:type="pct"/>
            <w:vAlign w:val="center"/>
          </w:tcPr>
          <w:p w14:paraId="24FEC399" w14:textId="77777777" w:rsidR="008226C5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财通基金、国泰海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通资管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、上银基金、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磐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耀资产、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敦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和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资管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、国联民生证券、上海理成资产、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太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朴投资、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六禾投资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、广发基金、华创证券、上海兆顺投资、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中建投信托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、华福证券等</w:t>
            </w:r>
          </w:p>
        </w:tc>
      </w:tr>
      <w:tr w:rsidR="008226C5" w14:paraId="04FB2ED9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655F6A02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25" w:type="pct"/>
            <w:vAlign w:val="center"/>
          </w:tcPr>
          <w:p w14:paraId="1872BE4C" w14:textId="77777777" w:rsidR="008226C5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6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16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8226C5" w14:paraId="2C963D16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3340E804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地点</w:t>
            </w:r>
          </w:p>
        </w:tc>
        <w:tc>
          <w:tcPr>
            <w:tcW w:w="2825" w:type="pct"/>
            <w:vAlign w:val="center"/>
          </w:tcPr>
          <w:p w14:paraId="5C11A93C" w14:textId="77777777" w:rsidR="008226C5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康众医疗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总部（苏州市吴中区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淞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北路</w:t>
            </w:r>
            <w:r>
              <w:rPr>
                <w:rFonts w:eastAsia="宋体" w:hint="eastAsia"/>
                <w:sz w:val="24"/>
                <w:szCs w:val="24"/>
              </w:rPr>
              <w:t>15</w:t>
            </w:r>
            <w:r>
              <w:rPr>
                <w:rFonts w:eastAsia="宋体" w:hint="eastAsia"/>
                <w:sz w:val="24"/>
                <w:szCs w:val="24"/>
              </w:rPr>
              <w:t>号）</w:t>
            </w:r>
          </w:p>
        </w:tc>
      </w:tr>
      <w:tr w:rsidR="008226C5" w14:paraId="45295D58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1AB24A1D" w14:textId="77777777" w:rsidR="008226C5" w:rsidRDefault="00000000">
            <w:pPr>
              <w:spacing w:after="0"/>
              <w:ind w:right="11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接待人员</w:t>
            </w:r>
          </w:p>
        </w:tc>
        <w:tc>
          <w:tcPr>
            <w:tcW w:w="2825" w:type="pct"/>
            <w:vAlign w:val="center"/>
          </w:tcPr>
          <w:p w14:paraId="44D1FB33" w14:textId="77777777" w:rsidR="008226C5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董事长兼总经理：刘建强</w:t>
            </w:r>
          </w:p>
          <w:p w14:paraId="469EA400" w14:textId="77777777" w:rsidR="008226C5" w:rsidRDefault="00000000">
            <w:pPr>
              <w:spacing w:after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康众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医能战略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顾问：王明辉</w:t>
            </w:r>
          </w:p>
          <w:p w14:paraId="4F0670FC" w14:textId="77777777" w:rsidR="008226C5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康众医疗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：李秀新</w:t>
            </w:r>
          </w:p>
        </w:tc>
      </w:tr>
      <w:tr w:rsidR="008226C5" w14:paraId="0DD78152" w14:textId="77777777">
        <w:trPr>
          <w:trHeight w:val="90"/>
          <w:jc w:val="center"/>
        </w:trPr>
        <w:tc>
          <w:tcPr>
            <w:tcW w:w="5000" w:type="pct"/>
            <w:gridSpan w:val="2"/>
            <w:vAlign w:val="center"/>
          </w:tcPr>
          <w:p w14:paraId="5EEEE517" w14:textId="77777777" w:rsidR="008226C5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投资者关系活动主要内容介绍</w:t>
            </w:r>
          </w:p>
        </w:tc>
      </w:tr>
      <w:tr w:rsidR="008226C5" w14:paraId="5C0DE450" w14:textId="77777777">
        <w:trPr>
          <w:trHeight w:val="397"/>
          <w:jc w:val="center"/>
        </w:trPr>
        <w:tc>
          <w:tcPr>
            <w:tcW w:w="5000" w:type="pct"/>
            <w:gridSpan w:val="2"/>
          </w:tcPr>
          <w:p w14:paraId="1F88D1BA" w14:textId="77777777" w:rsidR="008226C5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 w:hint="eastAsia"/>
                <w:b/>
                <w:sz w:val="24"/>
              </w:rPr>
              <w:t>一、</w:t>
            </w:r>
            <w:r>
              <w:rPr>
                <w:rFonts w:ascii="宋体" w:eastAsia="宋体" w:hAnsi="宋体"/>
                <w:b/>
                <w:sz w:val="24"/>
              </w:rPr>
              <w:t>公司</w:t>
            </w:r>
            <w:r>
              <w:rPr>
                <w:rFonts w:ascii="宋体" w:eastAsia="宋体" w:hAnsi="宋体" w:hint="eastAsia"/>
                <w:b/>
                <w:sz w:val="24"/>
              </w:rPr>
              <w:t>介绍主营业务及战略规划</w:t>
            </w:r>
          </w:p>
          <w:p w14:paraId="5EE2831E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公司按照既定发展规划积极实施战略推进，</w:t>
            </w:r>
            <w:r>
              <w:rPr>
                <w:rFonts w:ascii="宋体" w:eastAsia="宋体" w:hAnsi="宋体" w:hint="eastAsia"/>
                <w:sz w:val="24"/>
              </w:rPr>
              <w:t>公司主营业务为</w:t>
            </w:r>
            <w:r>
              <w:rPr>
                <w:rFonts w:ascii="宋体" w:eastAsia="宋体" w:hAnsi="宋体"/>
                <w:sz w:val="24"/>
              </w:rPr>
              <w:t>数字化X射线平板探测器的研发、生产、销售和服务，也将通过自主技术创新、产品与技术开发合作、对外投资等多举措，加快在束光器、球管、高压发生器等关键部件领域的业务布局，并稳步推进智能DR解决方案、智能影像技术解决方案的应用落地；通过投资并购、业务整合等方式，全力抢占CMOS-X射线探测器、CMOS图像传感器、AI诊断等中高端应用业务高地。</w:t>
            </w:r>
          </w:p>
          <w:p w14:paraId="32CCF8BB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公司正围绕“创新影像硬件系统+AI 辅助诊断+基层医疗服务”推进战略升级，从传统医学影像硬件制造商向智能化诊断解决方案提供商转型。公司长期积累了数字化 X射线平板探测器、影像链路工程化、整机系统集成及创新硬件开发能力，并已开始围绕AI诊断需求重构硬件产品设计逻辑，即从“为医生提供成像设备”进一步延伸为“为 AI设计诊断机器”。在X光领域，公司已发布和布局一系列面向基层场景的创新硬件系统，目标是通过更高效、标准化、智能化的数据采集和辅助诊断能力，更好辅助医生提升诊疗效率和质量，</w:t>
            </w:r>
            <w:r>
              <w:rPr>
                <w:rFonts w:ascii="宋体" w:eastAsia="宋体" w:hAnsi="宋体" w:hint="eastAsia"/>
                <w:sz w:val="24"/>
              </w:rPr>
              <w:lastRenderedPageBreak/>
              <w:t>服务基层医疗机构。公司收购并深度整合脉得智能，是上述战略升级的重要组成部分。脉得智能在超声 AI、标准化质控、高质量医疗数据集建设及 AI算法工程化方面形成了较强积累。公司与脉得智能正围绕产品、数据、研发、市场等方面开展深度整合，显著增强公司在超声影像数据模态、医疗 AI 研发团队和基层超声应用场景方面的能力，使公司在原有 X光影像硬件与数据基础上，进一步扩展至超声模态，正在逐步形成“X光+超声+AI质控+辅助诊断+结构化数据”的多模态能力，为公司中期打造多模态融合诊断系统奠定重要基础。</w:t>
            </w:r>
          </w:p>
          <w:p w14:paraId="7C6EE7CF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二、投资者问题及回复</w:t>
            </w:r>
          </w:p>
          <w:p w14:paraId="45BFF426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问题1：公司现金收购脉得智能控制权的背景与战略意图是什么？</w:t>
            </w:r>
          </w:p>
          <w:p w14:paraId="70062AB2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回复：</w:t>
            </w:r>
            <w:r>
              <w:rPr>
                <w:rFonts w:ascii="宋体" w:eastAsia="宋体" w:hAnsi="宋体" w:cs="宋体"/>
                <w:sz w:val="24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</w:rPr>
              <w:t>现金</w:t>
            </w:r>
            <w:r>
              <w:rPr>
                <w:rFonts w:ascii="宋体" w:eastAsia="宋体" w:hAnsi="宋体" w:cs="宋体"/>
                <w:sz w:val="24"/>
              </w:rPr>
              <w:t>收购脉得智能，旨在通过</w:t>
            </w:r>
            <w:r>
              <w:rPr>
                <w:rFonts w:ascii="宋体" w:eastAsia="宋体" w:hAnsi="宋体" w:cs="宋体" w:hint="eastAsia"/>
                <w:sz w:val="24"/>
              </w:rPr>
              <w:t>“</w:t>
            </w:r>
            <w:r>
              <w:rPr>
                <w:rFonts w:ascii="宋体" w:eastAsia="宋体" w:hAnsi="宋体" w:cs="宋体"/>
                <w:sz w:val="24"/>
              </w:rPr>
              <w:t>X光+超声</w:t>
            </w:r>
            <w:r>
              <w:rPr>
                <w:rFonts w:ascii="宋体" w:eastAsia="宋体" w:hAnsi="宋体" w:cs="宋体" w:hint="eastAsia"/>
                <w:sz w:val="24"/>
              </w:rPr>
              <w:t>”“</w:t>
            </w:r>
            <w:r>
              <w:rPr>
                <w:rFonts w:ascii="宋体" w:eastAsia="宋体" w:hAnsi="宋体" w:cs="宋体"/>
                <w:sz w:val="24"/>
              </w:rPr>
              <w:t>硬件+软件</w:t>
            </w:r>
            <w:r>
              <w:rPr>
                <w:rFonts w:ascii="宋体" w:eastAsia="宋体" w:hAnsi="宋体" w:cs="宋体" w:hint="eastAsia"/>
                <w:sz w:val="24"/>
              </w:rPr>
              <w:t>”</w:t>
            </w:r>
            <w:r>
              <w:rPr>
                <w:rFonts w:ascii="宋体" w:eastAsia="宋体" w:hAnsi="宋体" w:cs="宋体"/>
                <w:sz w:val="24"/>
              </w:rPr>
              <w:t>互补协同，构建完整智能影像产品体系，推动AI多模态应用。依托公司区域卫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健合作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渠道，共同打造</w:t>
            </w:r>
            <w:r>
              <w:rPr>
                <w:rFonts w:ascii="宋体" w:eastAsia="宋体" w:hAnsi="宋体" w:cs="宋体" w:hint="eastAsia"/>
                <w:sz w:val="24"/>
              </w:rPr>
              <w:t>“</w:t>
            </w:r>
            <w:r>
              <w:rPr>
                <w:rFonts w:ascii="宋体" w:eastAsia="宋体" w:hAnsi="宋体" w:cs="宋体"/>
                <w:sz w:val="24"/>
              </w:rPr>
              <w:t>设备+AI+服务</w:t>
            </w:r>
            <w:r>
              <w:rPr>
                <w:rFonts w:ascii="宋体" w:eastAsia="宋体" w:hAnsi="宋体" w:cs="宋体" w:hint="eastAsia"/>
                <w:sz w:val="24"/>
              </w:rPr>
              <w:t>”</w:t>
            </w:r>
            <w:r>
              <w:rPr>
                <w:rFonts w:ascii="宋体" w:eastAsia="宋体" w:hAnsi="宋体" w:cs="宋体"/>
                <w:sz w:val="24"/>
              </w:rPr>
              <w:t>一体化解决方案，增强基层医疗市场竞争力。公司将助力脉得智能产品标准化、规模化，同时借助其临床渠道资源拓展终端市场。</w:t>
            </w:r>
          </w:p>
          <w:p w14:paraId="37A0E726" w14:textId="77777777" w:rsidR="008226C5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 w:hint="eastAsia"/>
                <w:b/>
                <w:sz w:val="24"/>
              </w:rPr>
              <w:t>问题2：</w:t>
            </w:r>
            <w:r>
              <w:rPr>
                <w:rFonts w:ascii="宋体" w:eastAsia="宋体" w:hAnsi="宋体"/>
                <w:b/>
                <w:sz w:val="24"/>
              </w:rPr>
              <w:t>公司</w:t>
            </w:r>
            <w:r>
              <w:rPr>
                <w:rFonts w:ascii="宋体" w:eastAsia="宋体" w:hAnsi="宋体" w:hint="eastAsia"/>
                <w:b/>
                <w:sz w:val="24"/>
              </w:rPr>
              <w:t>目前</w:t>
            </w:r>
            <w:r>
              <w:rPr>
                <w:rFonts w:ascii="宋体" w:eastAsia="宋体" w:hAnsi="宋体"/>
                <w:b/>
                <w:sz w:val="24"/>
              </w:rPr>
              <w:t>与脉得智能</w:t>
            </w:r>
            <w:r>
              <w:rPr>
                <w:rFonts w:ascii="宋体" w:eastAsia="宋体" w:hAnsi="宋体" w:hint="eastAsia"/>
                <w:b/>
                <w:sz w:val="24"/>
              </w:rPr>
              <w:t>整合进展情况如何</w:t>
            </w:r>
            <w:r>
              <w:rPr>
                <w:rFonts w:ascii="宋体" w:eastAsia="宋体" w:hAnsi="宋体"/>
                <w:b/>
                <w:sz w:val="24"/>
              </w:rPr>
              <w:t>？</w:t>
            </w:r>
          </w:p>
          <w:p w14:paraId="32D079A4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回复：</w:t>
            </w:r>
            <w:r>
              <w:rPr>
                <w:rFonts w:ascii="宋体" w:eastAsia="宋体" w:hAnsi="宋体" w:hint="eastAsia"/>
                <w:sz w:val="24"/>
              </w:rPr>
              <w:t>目前公司正按照既定目标推进股权交割</w:t>
            </w:r>
            <w:r>
              <w:rPr>
                <w:rFonts w:ascii="宋体" w:eastAsia="宋体" w:hAnsi="宋体"/>
                <w:sz w:val="24"/>
              </w:rPr>
              <w:t>，后续公司将根据进展稳步推进整合，着力实现技术、产品、市场与管理体系的有机融合，以夯实公司在智能影像领域的综合竞争力。</w:t>
            </w:r>
          </w:p>
          <w:p w14:paraId="02D76472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问题3：脉得智能2025年业绩亏损，公司后续如何控制风险？</w:t>
            </w:r>
          </w:p>
          <w:p w14:paraId="1C35110E" w14:textId="23434100" w:rsidR="008226C5" w:rsidRDefault="00E40744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回复</w:t>
            </w:r>
            <w:r w:rsidR="00000000">
              <w:rPr>
                <w:rFonts w:ascii="宋体" w:eastAsia="宋体" w:hAnsi="宋体" w:hint="eastAsia"/>
                <w:sz w:val="24"/>
              </w:rPr>
              <w:t>：公司已设置严格业绩承诺与补偿机制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E40744">
              <w:rPr>
                <w:rFonts w:ascii="宋体" w:eastAsia="宋体" w:hAnsi="宋体" w:hint="eastAsia"/>
                <w:sz w:val="24"/>
              </w:rPr>
              <w:t>脉得智能</w:t>
            </w:r>
            <w:r w:rsidR="00000000">
              <w:rPr>
                <w:rFonts w:ascii="宋体" w:eastAsia="宋体" w:hAnsi="宋体" w:hint="eastAsia"/>
                <w:sz w:val="24"/>
              </w:rPr>
              <w:t>未达标将触发股权</w:t>
            </w:r>
            <w:r>
              <w:rPr>
                <w:rFonts w:ascii="宋体" w:eastAsia="宋体" w:hAnsi="宋体" w:hint="eastAsia"/>
                <w:sz w:val="24"/>
              </w:rPr>
              <w:t>补偿</w:t>
            </w:r>
            <w:r w:rsidR="00000000">
              <w:rPr>
                <w:rFonts w:ascii="宋体" w:eastAsia="宋体" w:hAnsi="宋体" w:hint="eastAsia"/>
                <w:sz w:val="24"/>
              </w:rPr>
              <w:t>。同时公司将输出管理、协同市场，积极推动</w:t>
            </w:r>
            <w:r>
              <w:rPr>
                <w:rFonts w:ascii="宋体" w:eastAsia="宋体" w:hAnsi="宋体" w:hint="eastAsia"/>
                <w:sz w:val="24"/>
              </w:rPr>
              <w:t>脉得</w:t>
            </w:r>
            <w:r w:rsidR="00000000">
              <w:rPr>
                <w:rFonts w:ascii="宋体" w:eastAsia="宋体" w:hAnsi="宋体" w:hint="eastAsia"/>
                <w:sz w:val="24"/>
              </w:rPr>
              <w:t>扭亏为盈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3ADBFCF0" w14:textId="77777777" w:rsidR="008226C5" w:rsidRDefault="00000000">
            <w:pPr>
              <w:spacing w:after="40" w:line="276" w:lineRule="auto"/>
              <w:jc w:val="both"/>
            </w:pPr>
            <w:r>
              <w:rPr>
                <w:rFonts w:ascii="宋体" w:eastAsia="宋体" w:hAnsi="宋体" w:hint="eastAsia"/>
                <w:b/>
                <w:sz w:val="24"/>
              </w:rPr>
              <w:t>问题4：公司在CMOS图像传感器领域布局情况</w:t>
            </w:r>
            <w:r>
              <w:rPr>
                <w:rFonts w:ascii="宋体" w:eastAsia="宋体" w:hAnsi="宋体"/>
                <w:b/>
                <w:sz w:val="24"/>
              </w:rPr>
              <w:t>？</w:t>
            </w:r>
          </w:p>
          <w:p w14:paraId="24834C2B" w14:textId="77777777" w:rsidR="008226C5" w:rsidRDefault="00000000">
            <w:pPr>
              <w:spacing w:after="40" w:line="276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回复：</w:t>
            </w:r>
            <w:r>
              <w:rPr>
                <w:rFonts w:ascii="宋体" w:eastAsia="宋体" w:hAnsi="宋体" w:hint="eastAsia"/>
                <w:sz w:val="24"/>
              </w:rPr>
              <w:t>公司主营的CMOS平板探测器主要应用于口腔医疗领域，公司参股投资的ISDI公司则主营高性能CMOS-X射线探测器和CMOS图像传感器，其中CMOS-X射线探测器主要覆盖手术介入、口腔医疗、宠物医疗，工业探伤、电子检测（动力电池检测、半导体检测等）、临床前研究等领域，CMOS图像传感器主要覆盖生命科学成像、机器视觉、剂量测定等领域。</w:t>
            </w:r>
          </w:p>
        </w:tc>
      </w:tr>
      <w:tr w:rsidR="008226C5" w14:paraId="4303C864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1BFCB0F9" w14:textId="77777777" w:rsidR="008226C5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2825" w:type="pct"/>
            <w:vAlign w:val="center"/>
          </w:tcPr>
          <w:p w14:paraId="481E071D" w14:textId="0427D87A" w:rsidR="008226C5" w:rsidRDefault="00E4074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无</w:t>
            </w:r>
          </w:p>
        </w:tc>
      </w:tr>
      <w:tr w:rsidR="008226C5" w14:paraId="0C24FC4A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032B6A8A" w14:textId="77777777" w:rsidR="008226C5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2825" w:type="pct"/>
            <w:vAlign w:val="center"/>
          </w:tcPr>
          <w:p w14:paraId="33A2EB2D" w14:textId="77777777" w:rsidR="008226C5" w:rsidRDefault="00000000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</w:t>
            </w:r>
            <w:r>
              <w:rPr>
                <w:rFonts w:ascii="宋体" w:eastAsia="宋体" w:hAnsi="宋体" w:cs="宋体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/>
                <w:sz w:val="24"/>
              </w:rPr>
              <w:t>日</w:t>
            </w:r>
          </w:p>
        </w:tc>
      </w:tr>
      <w:tr w:rsidR="008226C5" w14:paraId="0F49D9C4" w14:textId="77777777">
        <w:trPr>
          <w:trHeight w:val="397"/>
          <w:jc w:val="center"/>
        </w:trPr>
        <w:tc>
          <w:tcPr>
            <w:tcW w:w="2174" w:type="pct"/>
            <w:vAlign w:val="center"/>
          </w:tcPr>
          <w:p w14:paraId="01EF4C53" w14:textId="77777777" w:rsidR="008226C5" w:rsidRDefault="00000000">
            <w:pPr>
              <w:spacing w:after="0"/>
              <w:ind w:right="11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相关提示</w:t>
            </w:r>
          </w:p>
        </w:tc>
        <w:tc>
          <w:tcPr>
            <w:tcW w:w="2825" w:type="pct"/>
            <w:vAlign w:val="center"/>
          </w:tcPr>
          <w:p w14:paraId="544FAA6C" w14:textId="77777777" w:rsidR="008226C5" w:rsidRDefault="00000000">
            <w:pPr>
              <w:spacing w:after="0"/>
              <w:jc w:val="both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调研内容均不涉及公司内幕信息及相关未披露的重大事项信息。内容涉及对行业的预测、公司发展战略规划等相关内容，不能视作公司或公司管理层对行业、公司发展的承诺和保证，敬请广大投资者注意投资风险。</w:t>
            </w:r>
          </w:p>
        </w:tc>
      </w:tr>
    </w:tbl>
    <w:p w14:paraId="1F33E73B" w14:textId="77777777" w:rsidR="008226C5" w:rsidRDefault="008226C5">
      <w:pPr>
        <w:spacing w:after="0"/>
        <w:jc w:val="both"/>
      </w:pPr>
    </w:p>
    <w:sectPr w:rsidR="008226C5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46D8" w14:textId="77777777" w:rsidR="00F67C98" w:rsidRDefault="00F67C98">
      <w:pPr>
        <w:spacing w:line="240" w:lineRule="auto"/>
      </w:pPr>
      <w:r>
        <w:separator/>
      </w:r>
    </w:p>
  </w:endnote>
  <w:endnote w:type="continuationSeparator" w:id="0">
    <w:p w14:paraId="76A4559C" w14:textId="77777777" w:rsidR="00F67C98" w:rsidRDefault="00F67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1AFD" w14:textId="77777777" w:rsidR="00F67C98" w:rsidRDefault="00F67C98">
      <w:pPr>
        <w:spacing w:after="0"/>
      </w:pPr>
      <w:r>
        <w:separator/>
      </w:r>
    </w:p>
  </w:footnote>
  <w:footnote w:type="continuationSeparator" w:id="0">
    <w:p w14:paraId="6BF60505" w14:textId="77777777" w:rsidR="00F67C98" w:rsidRDefault="00F67C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62B5A"/>
    <w:rsid w:val="000E20EC"/>
    <w:rsid w:val="0012282F"/>
    <w:rsid w:val="00143A17"/>
    <w:rsid w:val="001E2D48"/>
    <w:rsid w:val="002C7A59"/>
    <w:rsid w:val="00300E83"/>
    <w:rsid w:val="0035121A"/>
    <w:rsid w:val="00362245"/>
    <w:rsid w:val="003C4DC7"/>
    <w:rsid w:val="005B4516"/>
    <w:rsid w:val="006B15E8"/>
    <w:rsid w:val="006E45BA"/>
    <w:rsid w:val="006E7E2B"/>
    <w:rsid w:val="00732B07"/>
    <w:rsid w:val="00765771"/>
    <w:rsid w:val="008226C5"/>
    <w:rsid w:val="008E3110"/>
    <w:rsid w:val="009952C4"/>
    <w:rsid w:val="009C1CDF"/>
    <w:rsid w:val="00A438CC"/>
    <w:rsid w:val="00A54DA5"/>
    <w:rsid w:val="00B045D0"/>
    <w:rsid w:val="00B50CAF"/>
    <w:rsid w:val="00BB2DB1"/>
    <w:rsid w:val="00BE6EB3"/>
    <w:rsid w:val="00C94CAE"/>
    <w:rsid w:val="00DD76C4"/>
    <w:rsid w:val="00E0201F"/>
    <w:rsid w:val="00E12638"/>
    <w:rsid w:val="00E40744"/>
    <w:rsid w:val="00EC730F"/>
    <w:rsid w:val="00F67C98"/>
    <w:rsid w:val="0393640F"/>
    <w:rsid w:val="03A85738"/>
    <w:rsid w:val="03AD10E5"/>
    <w:rsid w:val="05F314D1"/>
    <w:rsid w:val="062F1292"/>
    <w:rsid w:val="0766087E"/>
    <w:rsid w:val="07D74BD2"/>
    <w:rsid w:val="083E2F6B"/>
    <w:rsid w:val="088F37C7"/>
    <w:rsid w:val="08F04266"/>
    <w:rsid w:val="09A1725A"/>
    <w:rsid w:val="09F62C0E"/>
    <w:rsid w:val="0AB51CD2"/>
    <w:rsid w:val="0C8F023A"/>
    <w:rsid w:val="0E265BA8"/>
    <w:rsid w:val="0F04350F"/>
    <w:rsid w:val="0F0A5C29"/>
    <w:rsid w:val="12FE2C52"/>
    <w:rsid w:val="141379A2"/>
    <w:rsid w:val="16225115"/>
    <w:rsid w:val="167E0D44"/>
    <w:rsid w:val="16813D27"/>
    <w:rsid w:val="172906EC"/>
    <w:rsid w:val="183C554F"/>
    <w:rsid w:val="1ACB068F"/>
    <w:rsid w:val="1C465FC9"/>
    <w:rsid w:val="1C7D58D7"/>
    <w:rsid w:val="1D525097"/>
    <w:rsid w:val="1D594678"/>
    <w:rsid w:val="1E200CF1"/>
    <w:rsid w:val="1EAC6A29"/>
    <w:rsid w:val="20EF6679"/>
    <w:rsid w:val="21335230"/>
    <w:rsid w:val="21D963F2"/>
    <w:rsid w:val="220C2B08"/>
    <w:rsid w:val="232D01A6"/>
    <w:rsid w:val="24250489"/>
    <w:rsid w:val="25A9183B"/>
    <w:rsid w:val="272F4DFF"/>
    <w:rsid w:val="27C7526B"/>
    <w:rsid w:val="28300D49"/>
    <w:rsid w:val="291D5E12"/>
    <w:rsid w:val="29486A84"/>
    <w:rsid w:val="2C3F74E5"/>
    <w:rsid w:val="2E443808"/>
    <w:rsid w:val="2F120BC6"/>
    <w:rsid w:val="2F374163"/>
    <w:rsid w:val="31277A6D"/>
    <w:rsid w:val="31480833"/>
    <w:rsid w:val="328D4906"/>
    <w:rsid w:val="33326771"/>
    <w:rsid w:val="33ED3A8A"/>
    <w:rsid w:val="34CC177B"/>
    <w:rsid w:val="35AB75E3"/>
    <w:rsid w:val="36C21264"/>
    <w:rsid w:val="38060AE2"/>
    <w:rsid w:val="3944674A"/>
    <w:rsid w:val="3A0164D6"/>
    <w:rsid w:val="3BA47F47"/>
    <w:rsid w:val="3D396A0A"/>
    <w:rsid w:val="3D6B054C"/>
    <w:rsid w:val="3E964C3B"/>
    <w:rsid w:val="3FCD52EF"/>
    <w:rsid w:val="40730CFD"/>
    <w:rsid w:val="40820021"/>
    <w:rsid w:val="40D53171"/>
    <w:rsid w:val="41847415"/>
    <w:rsid w:val="42161379"/>
    <w:rsid w:val="429D6505"/>
    <w:rsid w:val="44930287"/>
    <w:rsid w:val="45BF7B8E"/>
    <w:rsid w:val="46CE0352"/>
    <w:rsid w:val="474B2FD1"/>
    <w:rsid w:val="47B972D2"/>
    <w:rsid w:val="48761676"/>
    <w:rsid w:val="4B90799F"/>
    <w:rsid w:val="50ED61DF"/>
    <w:rsid w:val="51326CC3"/>
    <w:rsid w:val="51350D3F"/>
    <w:rsid w:val="515526FB"/>
    <w:rsid w:val="519F5DF6"/>
    <w:rsid w:val="55525286"/>
    <w:rsid w:val="557E0544"/>
    <w:rsid w:val="55B74816"/>
    <w:rsid w:val="55F9697E"/>
    <w:rsid w:val="57060E24"/>
    <w:rsid w:val="581846D9"/>
    <w:rsid w:val="59381C91"/>
    <w:rsid w:val="59B03888"/>
    <w:rsid w:val="5A89578F"/>
    <w:rsid w:val="5A9B1124"/>
    <w:rsid w:val="5E716381"/>
    <w:rsid w:val="607E3B0F"/>
    <w:rsid w:val="618464E0"/>
    <w:rsid w:val="61AC7224"/>
    <w:rsid w:val="65426D6C"/>
    <w:rsid w:val="663604F1"/>
    <w:rsid w:val="66E83943"/>
    <w:rsid w:val="67AF3547"/>
    <w:rsid w:val="692A3719"/>
    <w:rsid w:val="6AE67270"/>
    <w:rsid w:val="6B8270EE"/>
    <w:rsid w:val="6BCF2A70"/>
    <w:rsid w:val="6BE22CDD"/>
    <w:rsid w:val="6CBB6060"/>
    <w:rsid w:val="6EDE6AF0"/>
    <w:rsid w:val="6FCD7A7D"/>
    <w:rsid w:val="70802F2C"/>
    <w:rsid w:val="70A80AB3"/>
    <w:rsid w:val="720346C8"/>
    <w:rsid w:val="74784BA3"/>
    <w:rsid w:val="74C209E5"/>
    <w:rsid w:val="74FD0501"/>
    <w:rsid w:val="753913DE"/>
    <w:rsid w:val="75803351"/>
    <w:rsid w:val="77077B18"/>
    <w:rsid w:val="77ED4A39"/>
    <w:rsid w:val="78E75F57"/>
    <w:rsid w:val="796F7551"/>
    <w:rsid w:val="7A1B4F29"/>
    <w:rsid w:val="7AAF6D8C"/>
    <w:rsid w:val="7E2D7C04"/>
    <w:rsid w:val="7EBE35E4"/>
    <w:rsid w:val="7EDC687C"/>
    <w:rsid w:val="7F2870AA"/>
    <w:rsid w:val="7FE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88F0"/>
  <w15:docId w15:val="{812E9F20-E7EB-40A2-B254-E57E089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修订1"/>
    <w:hidden/>
    <w:uiPriority w:val="99"/>
    <w:unhideWhenUsed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2">
    <w:name w:val="修订2"/>
    <w:hidden/>
    <w:uiPriority w:val="99"/>
    <w:unhideWhenUsed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5">
    <w:name w:val="Revision"/>
    <w:hidden/>
    <w:uiPriority w:val="99"/>
    <w:unhideWhenUsed/>
    <w:rsid w:val="00E40744"/>
    <w:rPr>
      <w:rFonts w:ascii="Calibri" w:eastAsia="Calibri" w:hAnsi="Calibri" w:cs="Calibri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1526</Characters>
  <Application>Microsoft Office Word</Application>
  <DocSecurity>0</DocSecurity>
  <Lines>12</Lines>
  <Paragraphs>3</Paragraphs>
  <ScaleCrop>false</ScaleCrop>
  <Company>QN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Miao Longfei</cp:lastModifiedBy>
  <cp:revision>6</cp:revision>
  <dcterms:created xsi:type="dcterms:W3CDTF">2026-04-29T08:23:00Z</dcterms:created>
  <dcterms:modified xsi:type="dcterms:W3CDTF">2026-06-16T10:07:00Z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eyJoZGlkIjoiY2M2ZWQ2NDJkMzFlZDE1MWEzNTgxZDE1OWY2OTEwYjIiLCJ1c2VySWQiOiIxODIzMjYzOTU5In0=</vt:lpwstr>
  </property>
  <property fmtid="{D5CDD505-2E9C-101B-9397-08002B2CF9AE}" pid="3" name="KSOProductBuildVer">
    <vt:lpwstr>2052-12.1.0.26895</vt:lpwstr>
  </property>
  <property fmtid="{D5CDD505-2E9C-101B-9397-08002B2CF9AE}" pid="4" name="ICV">
    <vt:lpwstr>10EFCD3F1D654331A5F347FBE0CD6234_12</vt:lpwstr>
  </property>
</Properties>
</file>