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keepLines/>
        <w:spacing w:before="260" w:after="260" w:line="360" w:lineRule="auto"/>
        <w:jc w:val="center"/>
        <w:outlineLvl w:val="1"/>
        <w:rPr>
          <w:rFonts w:hint="eastAsia" w:ascii="宋体" w:hAnsi="宋体" w:eastAsia="宋体" w:cs="Times New Roman"/>
          <w:b/>
          <w:bCs/>
          <w:iCs/>
          <w:sz w:val="24"/>
          <w:szCs w:val="24"/>
        </w:rPr>
      </w:pPr>
      <w:r>
        <w:rPr>
          <w:rFonts w:hint="eastAsia" w:ascii="宋体" w:hAnsi="宋体" w:eastAsia="宋体" w:cs="Times New Roman"/>
          <w:b/>
          <w:bCs/>
          <w:iCs/>
          <w:sz w:val="24"/>
          <w:szCs w:val="24"/>
        </w:rPr>
        <w:t>证券代码：688573                                  证券简称：信宇人</w:t>
      </w:r>
      <w:r>
        <w:rPr>
          <w:rFonts w:ascii="宋体" w:hAnsi="宋体" w:eastAsia="宋体" w:cs="Times New Roman"/>
          <w:b/>
          <w:bCs/>
          <w:iCs/>
          <w:sz w:val="24"/>
          <w:szCs w:val="24"/>
        </w:rPr>
        <w:t xml:space="preserve"> </w:t>
      </w:r>
    </w:p>
    <w:p>
      <w:pPr>
        <w:keepNext/>
        <w:keepLines/>
        <w:spacing w:before="156" w:beforeLines="50" w:line="360" w:lineRule="auto"/>
        <w:jc w:val="center"/>
        <w:outlineLvl w:val="1"/>
        <w:rPr>
          <w:rFonts w:hint="eastAsia" w:ascii="宋体" w:hAnsi="宋体" w:eastAsia="宋体" w:cs="Times New Roman"/>
          <w:b/>
          <w:bCs/>
          <w:sz w:val="32"/>
          <w:szCs w:val="32"/>
        </w:rPr>
      </w:pPr>
      <w:r>
        <w:rPr>
          <w:rFonts w:hint="eastAsia" w:ascii="宋体" w:hAnsi="宋体" w:eastAsia="宋体" w:cs="Times New Roman"/>
          <w:b/>
          <w:bCs/>
          <w:sz w:val="32"/>
          <w:szCs w:val="32"/>
        </w:rPr>
        <w:t>深圳市信宇人科技股份有限公司</w:t>
      </w:r>
    </w:p>
    <w:p>
      <w:pPr>
        <w:keepNext/>
        <w:keepLines/>
        <w:spacing w:before="156" w:beforeLines="50" w:line="360" w:lineRule="auto"/>
        <w:jc w:val="center"/>
        <w:outlineLvl w:val="1"/>
        <w:rPr>
          <w:rFonts w:hint="eastAsia" w:ascii="宋体" w:hAnsi="宋体" w:eastAsia="宋体" w:cs="Times New Roman"/>
          <w:b/>
          <w:bCs/>
          <w:sz w:val="32"/>
          <w:szCs w:val="32"/>
        </w:rPr>
      </w:pPr>
      <w:r>
        <w:rPr>
          <w:rFonts w:hint="eastAsia" w:ascii="宋体" w:hAnsi="宋体" w:eastAsia="宋体" w:cs="Times New Roman"/>
          <w:b/>
          <w:bCs/>
          <w:sz w:val="32"/>
          <w:szCs w:val="32"/>
        </w:rPr>
        <w:t>投资者关系活动记录表</w:t>
      </w:r>
    </w:p>
    <w:p>
      <w:pPr>
        <w:keepNext/>
        <w:keepLines/>
        <w:spacing w:before="260" w:after="260" w:line="360" w:lineRule="auto"/>
        <w:jc w:val="left"/>
        <w:outlineLvl w:val="1"/>
        <w:rPr>
          <w:rFonts w:hint="eastAsia" w:ascii="宋体" w:hAnsi="宋体" w:eastAsia="宋体" w:cs="Times New Roman"/>
          <w:b/>
          <w:bCs/>
          <w:sz w:val="24"/>
          <w:szCs w:val="24"/>
        </w:rPr>
      </w:pPr>
      <w:r>
        <w:rPr>
          <w:rFonts w:hint="eastAsia" w:ascii="宋体" w:hAnsi="宋体" w:eastAsia="宋体" w:cs="Times New Roman"/>
          <w:b/>
          <w:bCs/>
          <w:sz w:val="24"/>
          <w:szCs w:val="24"/>
        </w:rPr>
        <w:t>编号：2026-001</w:t>
      </w:r>
    </w:p>
    <w:tbl>
      <w:tblPr>
        <w:tblStyle w:val="7"/>
        <w:tblW w:w="9128"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54"/>
        <w:gridCol w:w="73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4" w:type="dxa"/>
          </w:tcPr>
          <w:p>
            <w:pPr>
              <w:spacing w:line="360" w:lineRule="auto"/>
              <w:rPr>
                <w:rFonts w:hint="eastAsia" w:ascii="宋体" w:hAnsi="宋体" w:eastAsia="宋体" w:cs="Times New Roman"/>
                <w:b/>
                <w:bCs/>
                <w:iCs/>
                <w:sz w:val="24"/>
                <w:szCs w:val="24"/>
              </w:rPr>
            </w:pPr>
            <w:r>
              <w:rPr>
                <w:rFonts w:hint="eastAsia" w:ascii="宋体" w:hAnsi="宋体" w:eastAsia="宋体" w:cs="Times New Roman"/>
                <w:b/>
                <w:bCs/>
                <w:iCs/>
                <w:sz w:val="24"/>
                <w:szCs w:val="24"/>
              </w:rPr>
              <w:t>投资者关系活动类别</w:t>
            </w:r>
          </w:p>
          <w:p>
            <w:pPr>
              <w:spacing w:line="360" w:lineRule="auto"/>
              <w:rPr>
                <w:rFonts w:hint="eastAsia" w:ascii="宋体" w:hAnsi="宋体" w:eastAsia="宋体" w:cs="Times New Roman"/>
                <w:b/>
                <w:bCs/>
                <w:iCs/>
                <w:sz w:val="24"/>
                <w:szCs w:val="24"/>
              </w:rPr>
            </w:pPr>
          </w:p>
        </w:tc>
        <w:tc>
          <w:tcPr>
            <w:tcW w:w="7374" w:type="dxa"/>
          </w:tcPr>
          <w:p>
            <w:pPr>
              <w:spacing w:line="360" w:lineRule="auto"/>
              <w:rPr>
                <w:rFonts w:hint="eastAsia" w:ascii="宋体" w:hAnsi="宋体" w:eastAsia="宋体" w:cs="Times New Roman"/>
                <w:bCs/>
                <w:iCs/>
                <w:sz w:val="24"/>
                <w:szCs w:val="24"/>
              </w:rPr>
            </w:pPr>
            <w:r>
              <w:rPr>
                <w:rFonts w:hint="eastAsia" w:ascii="宋体" w:hAnsi="宋体" w:eastAsia="宋体" w:cs="Times New Roman"/>
                <w:bCs/>
                <w:iCs/>
                <w:sz w:val="24"/>
                <w:szCs w:val="24"/>
              </w:rPr>
              <w:t>□</w:t>
            </w:r>
            <w:r>
              <w:rPr>
                <w:rFonts w:hint="eastAsia" w:ascii="宋体" w:hAnsi="宋体" w:eastAsia="宋体" w:cs="Times New Roman"/>
                <w:sz w:val="24"/>
                <w:szCs w:val="24"/>
              </w:rPr>
              <w:t xml:space="preserve">特定对象调研        </w:t>
            </w:r>
            <w:r>
              <w:rPr>
                <w:rFonts w:hint="eastAsia" w:ascii="宋体" w:hAnsi="宋体" w:eastAsia="宋体" w:cs="Times New Roman"/>
                <w:bCs/>
                <w:iCs/>
                <w:sz w:val="24"/>
                <w:szCs w:val="24"/>
              </w:rPr>
              <w:t>□</w:t>
            </w:r>
            <w:r>
              <w:rPr>
                <w:rFonts w:hint="eastAsia" w:ascii="宋体" w:hAnsi="宋体" w:eastAsia="宋体" w:cs="Times New Roman"/>
                <w:sz w:val="24"/>
                <w:szCs w:val="24"/>
              </w:rPr>
              <w:t>分析师会议</w:t>
            </w:r>
          </w:p>
          <w:p>
            <w:pPr>
              <w:spacing w:line="360" w:lineRule="auto"/>
              <w:rPr>
                <w:rFonts w:hint="eastAsia" w:ascii="宋体" w:hAnsi="宋体" w:eastAsia="宋体" w:cs="Times New Roman"/>
                <w:bCs/>
                <w:iCs/>
                <w:sz w:val="24"/>
                <w:szCs w:val="24"/>
              </w:rPr>
            </w:pPr>
            <w:r>
              <w:rPr>
                <w:rFonts w:hint="eastAsia" w:ascii="宋体" w:hAnsi="宋体" w:eastAsia="宋体" w:cs="Times New Roman"/>
                <w:bCs/>
                <w:iCs/>
                <w:sz w:val="24"/>
                <w:szCs w:val="24"/>
              </w:rPr>
              <w:t>□</w:t>
            </w:r>
            <w:r>
              <w:rPr>
                <w:rFonts w:hint="eastAsia" w:ascii="宋体" w:hAnsi="宋体" w:eastAsia="宋体" w:cs="Times New Roman"/>
                <w:sz w:val="24"/>
                <w:szCs w:val="24"/>
              </w:rPr>
              <w:t xml:space="preserve">媒体采访            </w:t>
            </w:r>
            <w:r>
              <w:rPr>
                <w:rFonts w:hint="eastAsia" w:ascii="宋体" w:hAnsi="宋体" w:eastAsia="宋体" w:cs="Times New Roman"/>
                <w:bCs/>
                <w:iCs/>
                <w:sz w:val="24"/>
                <w:szCs w:val="24"/>
              </w:rPr>
              <w:t>☑</w:t>
            </w:r>
            <w:r>
              <w:rPr>
                <w:rFonts w:hint="eastAsia" w:ascii="宋体" w:hAnsi="宋体" w:eastAsia="宋体" w:cs="Times New Roman"/>
                <w:sz w:val="24"/>
                <w:szCs w:val="24"/>
              </w:rPr>
              <w:t>业绩说明会</w:t>
            </w:r>
          </w:p>
          <w:p>
            <w:pPr>
              <w:spacing w:line="360" w:lineRule="auto"/>
              <w:rPr>
                <w:rFonts w:hint="eastAsia" w:ascii="宋体" w:hAnsi="宋体" w:eastAsia="宋体" w:cs="Times New Roman"/>
                <w:bCs/>
                <w:iCs/>
                <w:sz w:val="24"/>
                <w:szCs w:val="24"/>
              </w:rPr>
            </w:pPr>
            <w:r>
              <w:rPr>
                <w:rFonts w:hint="eastAsia" w:ascii="宋体" w:hAnsi="宋体" w:eastAsia="宋体" w:cs="Times New Roman"/>
                <w:bCs/>
                <w:iCs/>
                <w:sz w:val="24"/>
                <w:szCs w:val="24"/>
              </w:rPr>
              <w:t>□</w:t>
            </w:r>
            <w:r>
              <w:rPr>
                <w:rFonts w:hint="eastAsia" w:ascii="宋体" w:hAnsi="宋体" w:eastAsia="宋体" w:cs="Times New Roman"/>
                <w:sz w:val="24"/>
                <w:szCs w:val="24"/>
              </w:rPr>
              <w:t xml:space="preserve">新闻发布会          </w:t>
            </w:r>
            <w:r>
              <w:rPr>
                <w:rFonts w:hint="eastAsia" w:ascii="宋体" w:hAnsi="宋体" w:eastAsia="宋体" w:cs="Times New Roman"/>
                <w:bCs/>
                <w:iCs/>
                <w:sz w:val="24"/>
                <w:szCs w:val="24"/>
              </w:rPr>
              <w:t>□</w:t>
            </w:r>
            <w:r>
              <w:rPr>
                <w:rFonts w:hint="eastAsia" w:ascii="宋体" w:hAnsi="宋体" w:eastAsia="宋体" w:cs="Times New Roman"/>
                <w:sz w:val="24"/>
                <w:szCs w:val="24"/>
              </w:rPr>
              <w:t>路演活动</w:t>
            </w:r>
          </w:p>
          <w:p>
            <w:pPr>
              <w:tabs>
                <w:tab w:val="left" w:pos="2690"/>
                <w:tab w:val="center" w:pos="3199"/>
              </w:tabs>
              <w:spacing w:line="360" w:lineRule="auto"/>
              <w:rPr>
                <w:rFonts w:hint="eastAsia" w:ascii="宋体" w:hAnsi="宋体" w:eastAsia="宋体" w:cs="Times New Roman"/>
                <w:bCs/>
                <w:iCs/>
                <w:sz w:val="24"/>
                <w:szCs w:val="24"/>
              </w:rPr>
            </w:pPr>
            <w:r>
              <w:rPr>
                <w:rFonts w:hint="eastAsia" w:ascii="宋体" w:hAnsi="宋体" w:eastAsia="宋体" w:cs="Times New Roman"/>
                <w:bCs/>
                <w:iCs/>
                <w:sz w:val="24"/>
                <w:szCs w:val="24"/>
              </w:rPr>
              <w:t>□</w:t>
            </w:r>
            <w:r>
              <w:rPr>
                <w:rFonts w:hint="eastAsia" w:ascii="宋体" w:hAnsi="宋体" w:eastAsia="宋体" w:cs="Times New Roman"/>
                <w:sz w:val="24"/>
                <w:szCs w:val="24"/>
              </w:rPr>
              <w:t>现场参观            □电话会议</w:t>
            </w:r>
          </w:p>
          <w:p>
            <w:pPr>
              <w:tabs>
                <w:tab w:val="center" w:pos="3199"/>
              </w:tabs>
              <w:spacing w:line="360" w:lineRule="auto"/>
              <w:rPr>
                <w:rFonts w:hint="eastAsia" w:ascii="宋体" w:hAnsi="宋体" w:eastAsia="宋体" w:cs="Times New Roman"/>
                <w:bCs/>
                <w:iCs/>
                <w:sz w:val="24"/>
                <w:szCs w:val="24"/>
              </w:rPr>
            </w:pPr>
            <w:r>
              <w:rPr>
                <w:rFonts w:hint="eastAsia" w:ascii="宋体" w:hAnsi="宋体" w:eastAsia="宋体" w:cs="Times New Roman"/>
                <w:bCs/>
                <w:iCs/>
                <w:sz w:val="24"/>
                <w:szCs w:val="24"/>
              </w:rPr>
              <w:t>□</w:t>
            </w:r>
            <w:r>
              <w:rPr>
                <w:rFonts w:hint="eastAsia" w:ascii="宋体" w:hAnsi="宋体" w:eastAsia="宋体" w:cs="Times New Roman"/>
                <w:sz w:val="24"/>
                <w:szCs w:val="24"/>
              </w:rPr>
              <w:t>其他 （</w:t>
            </w:r>
            <w:r>
              <w:rPr>
                <w:rFonts w:hint="eastAsia" w:ascii="宋体" w:hAnsi="宋体" w:eastAsia="宋体" w:cs="Times New Roman"/>
                <w:sz w:val="24"/>
                <w:szCs w:val="24"/>
                <w:u w:val="single"/>
              </w:rPr>
              <w:t>请文字说明其他活动内容）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4" w:type="dxa"/>
          </w:tcPr>
          <w:p>
            <w:pPr>
              <w:spacing w:line="360" w:lineRule="auto"/>
              <w:rPr>
                <w:rFonts w:hint="eastAsia" w:ascii="宋体" w:hAnsi="宋体" w:eastAsia="宋体" w:cs="Times New Roman"/>
                <w:b/>
                <w:bCs/>
                <w:iCs/>
                <w:sz w:val="24"/>
                <w:szCs w:val="24"/>
              </w:rPr>
            </w:pPr>
            <w:r>
              <w:rPr>
                <w:rFonts w:hint="eastAsia" w:ascii="宋体" w:hAnsi="宋体" w:eastAsia="宋体" w:cs="Times New Roman"/>
                <w:b/>
                <w:bCs/>
                <w:iCs/>
                <w:sz w:val="24"/>
                <w:szCs w:val="24"/>
              </w:rPr>
              <w:t>参与单位名称</w:t>
            </w:r>
          </w:p>
        </w:tc>
        <w:tc>
          <w:tcPr>
            <w:tcW w:w="7374" w:type="dxa"/>
          </w:tcPr>
          <w:p>
            <w:pPr>
              <w:tabs>
                <w:tab w:val="center" w:pos="2798"/>
              </w:tabs>
              <w:spacing w:line="360" w:lineRule="auto"/>
              <w:rPr>
                <w:rFonts w:hint="eastAsia" w:ascii="宋体" w:hAnsi="宋体" w:eastAsia="宋体" w:cs="Times New Roman"/>
                <w:bCs/>
                <w:iCs/>
                <w:sz w:val="24"/>
                <w:szCs w:val="24"/>
              </w:rPr>
            </w:pPr>
            <w:r>
              <w:rPr>
                <w:rFonts w:hint="eastAsia" w:ascii="宋体" w:hAnsi="宋体" w:eastAsia="宋体" w:cs="Times New Roman"/>
                <w:bCs/>
                <w:iCs/>
                <w:sz w:val="24"/>
                <w:szCs w:val="24"/>
              </w:rPr>
              <w:t>通过线上方式参与公司2025年年度暨2026年第一季度业绩说明会的投资者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4" w:type="dxa"/>
          </w:tcPr>
          <w:p>
            <w:pPr>
              <w:spacing w:line="360" w:lineRule="auto"/>
              <w:rPr>
                <w:rFonts w:hint="eastAsia" w:ascii="宋体" w:hAnsi="宋体" w:eastAsia="宋体" w:cs="Times New Roman"/>
                <w:b/>
                <w:bCs/>
                <w:iCs/>
                <w:sz w:val="24"/>
                <w:szCs w:val="24"/>
              </w:rPr>
            </w:pPr>
            <w:r>
              <w:rPr>
                <w:rFonts w:hint="eastAsia" w:ascii="宋体" w:hAnsi="宋体" w:eastAsia="宋体" w:cs="Times New Roman"/>
                <w:b/>
                <w:bCs/>
                <w:iCs/>
                <w:sz w:val="24"/>
                <w:szCs w:val="24"/>
              </w:rPr>
              <w:t>会议时间</w:t>
            </w:r>
          </w:p>
        </w:tc>
        <w:tc>
          <w:tcPr>
            <w:tcW w:w="7374" w:type="dxa"/>
          </w:tcPr>
          <w:p>
            <w:pPr>
              <w:spacing w:line="360" w:lineRule="auto"/>
              <w:rPr>
                <w:rFonts w:hint="eastAsia" w:ascii="宋体" w:hAnsi="宋体" w:eastAsia="宋体" w:cs="Times New Roman"/>
                <w:bCs/>
                <w:iCs/>
                <w:sz w:val="24"/>
                <w:szCs w:val="24"/>
              </w:rPr>
            </w:pPr>
            <w:r>
              <w:rPr>
                <w:rFonts w:hint="eastAsia" w:ascii="宋体" w:hAnsi="宋体" w:eastAsia="宋体" w:cs="Times New Roman"/>
                <w:bCs/>
                <w:iCs/>
                <w:sz w:val="24"/>
                <w:szCs w:val="24"/>
              </w:rPr>
              <w:t>2026年6月26日  15:</w:t>
            </w:r>
            <w:r>
              <w:rPr>
                <w:rFonts w:ascii="宋体" w:hAnsi="宋体" w:eastAsia="宋体" w:cs="Times New Roman"/>
                <w:bCs/>
                <w:iCs/>
                <w:sz w:val="24"/>
                <w:szCs w:val="24"/>
              </w:rPr>
              <w:t>00-1</w:t>
            </w:r>
            <w:r>
              <w:rPr>
                <w:rFonts w:hint="eastAsia" w:ascii="宋体" w:hAnsi="宋体" w:eastAsia="宋体" w:cs="Times New Roman"/>
                <w:bCs/>
                <w:iCs/>
                <w:sz w:val="24"/>
                <w:szCs w:val="24"/>
              </w:rPr>
              <w:t>6</w:t>
            </w:r>
            <w:r>
              <w:rPr>
                <w:rFonts w:ascii="宋体" w:hAnsi="宋体" w:eastAsia="宋体" w:cs="Times New Roman"/>
                <w:bCs/>
                <w:iCs/>
                <w:sz w:val="24"/>
                <w:szCs w:val="24"/>
              </w:rPr>
              <w:t>:00</w:t>
            </w:r>
            <w:r>
              <w:rPr>
                <w:rFonts w:hint="eastAsia" w:ascii="宋体" w:hAnsi="宋体" w:eastAsia="宋体" w:cs="Times New Roman"/>
                <w:bCs/>
                <w:iCs/>
                <w:sz w:val="24"/>
                <w:szCs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4" w:type="dxa"/>
          </w:tcPr>
          <w:p>
            <w:pPr>
              <w:spacing w:line="360" w:lineRule="auto"/>
              <w:rPr>
                <w:rFonts w:hint="eastAsia" w:ascii="宋体" w:hAnsi="宋体" w:eastAsia="宋体" w:cs="Times New Roman"/>
                <w:b/>
                <w:bCs/>
                <w:iCs/>
                <w:sz w:val="24"/>
                <w:szCs w:val="24"/>
              </w:rPr>
            </w:pPr>
            <w:r>
              <w:rPr>
                <w:rFonts w:hint="eastAsia" w:ascii="宋体" w:hAnsi="宋体" w:eastAsia="宋体" w:cs="Times New Roman"/>
                <w:b/>
                <w:bCs/>
                <w:iCs/>
                <w:sz w:val="24"/>
                <w:szCs w:val="24"/>
              </w:rPr>
              <w:t>会议地点</w:t>
            </w:r>
          </w:p>
        </w:tc>
        <w:tc>
          <w:tcPr>
            <w:tcW w:w="7374" w:type="dxa"/>
          </w:tcPr>
          <w:p>
            <w:pPr>
              <w:spacing w:line="360" w:lineRule="auto"/>
              <w:rPr>
                <w:rFonts w:hint="eastAsia" w:ascii="宋体" w:hAnsi="宋体" w:eastAsia="宋体" w:cs="Times New Roman"/>
                <w:bCs/>
                <w:iCs/>
                <w:sz w:val="24"/>
                <w:szCs w:val="24"/>
              </w:rPr>
            </w:pPr>
            <w:r>
              <w:rPr>
                <w:rFonts w:hint="eastAsia" w:ascii="宋体" w:hAnsi="宋体" w:eastAsia="宋体" w:cs="Times New Roman"/>
                <w:bCs/>
                <w:iCs/>
                <w:sz w:val="24"/>
                <w:szCs w:val="24"/>
              </w:rPr>
              <w:t>在上海证券交易所上证路演中心（网址：https://roadshow.sseinfo.com）以网络互动方式召开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4" w:type="dxa"/>
          </w:tcPr>
          <w:p>
            <w:pPr>
              <w:spacing w:line="360" w:lineRule="auto"/>
              <w:rPr>
                <w:rFonts w:hint="eastAsia" w:ascii="宋体" w:hAnsi="宋体" w:eastAsia="宋体" w:cs="Times New Roman"/>
                <w:b/>
                <w:bCs/>
                <w:iCs/>
                <w:sz w:val="24"/>
                <w:szCs w:val="24"/>
              </w:rPr>
            </w:pPr>
            <w:r>
              <w:rPr>
                <w:rFonts w:hint="eastAsia" w:ascii="宋体" w:hAnsi="宋体" w:eastAsia="宋体" w:cs="Times New Roman"/>
                <w:b/>
                <w:bCs/>
                <w:iCs/>
                <w:sz w:val="24"/>
                <w:szCs w:val="24"/>
              </w:rPr>
              <w:t>上市公司接待人员姓名</w:t>
            </w:r>
          </w:p>
        </w:tc>
        <w:tc>
          <w:tcPr>
            <w:tcW w:w="7374" w:type="dxa"/>
          </w:tcPr>
          <w:p>
            <w:pPr>
              <w:spacing w:line="360" w:lineRule="auto"/>
              <w:rPr>
                <w:rFonts w:hint="eastAsia" w:ascii="宋体" w:hAnsi="宋体" w:eastAsia="宋体" w:cs="Times New Roman"/>
                <w:bCs/>
                <w:iCs/>
                <w:sz w:val="24"/>
                <w:szCs w:val="24"/>
              </w:rPr>
            </w:pPr>
            <w:r>
              <w:rPr>
                <w:rFonts w:hint="eastAsia" w:ascii="宋体" w:hAnsi="宋体" w:eastAsia="宋体" w:cs="Times New Roman"/>
                <w:bCs/>
                <w:iCs/>
                <w:sz w:val="24"/>
                <w:szCs w:val="24"/>
              </w:rPr>
              <w:t>董事长、</w:t>
            </w:r>
            <w:r>
              <w:rPr>
                <w:rFonts w:ascii="宋体" w:hAnsi="宋体" w:eastAsia="宋体" w:cs="Times New Roman"/>
                <w:bCs/>
                <w:iCs/>
                <w:sz w:val="24"/>
                <w:szCs w:val="24"/>
              </w:rPr>
              <w:t>代行财务总监</w:t>
            </w:r>
            <w:r>
              <w:rPr>
                <w:rFonts w:hint="eastAsia" w:ascii="宋体" w:hAnsi="宋体" w:eastAsia="宋体" w:cs="Times New Roman"/>
                <w:bCs/>
                <w:iCs/>
                <w:sz w:val="24"/>
                <w:szCs w:val="24"/>
              </w:rPr>
              <w:t>杨志明先生；董事、副总经理、董事会秘书蔡林生先生；独立董事陈小华女士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trPr>
        <w:tc>
          <w:tcPr>
            <w:tcW w:w="1754" w:type="dxa"/>
            <w:vAlign w:val="center"/>
          </w:tcPr>
          <w:p>
            <w:pPr>
              <w:spacing w:line="360" w:lineRule="auto"/>
              <w:rPr>
                <w:rFonts w:hint="eastAsia" w:ascii="宋体" w:hAnsi="宋体" w:eastAsia="宋体" w:cs="Times New Roman"/>
                <w:b/>
                <w:bCs/>
                <w:iCs/>
                <w:sz w:val="24"/>
                <w:szCs w:val="24"/>
              </w:rPr>
            </w:pPr>
            <w:r>
              <w:rPr>
                <w:rFonts w:hint="eastAsia" w:ascii="宋体" w:hAnsi="宋体" w:eastAsia="宋体" w:cs="Times New Roman"/>
                <w:b/>
                <w:bCs/>
                <w:iCs/>
                <w:sz w:val="24"/>
                <w:szCs w:val="24"/>
              </w:rPr>
              <w:t>投资者关系活动主要内容介绍</w:t>
            </w:r>
          </w:p>
        </w:tc>
        <w:tc>
          <w:tcPr>
            <w:tcW w:w="7374" w:type="dxa"/>
            <w:vAlign w:val="center"/>
          </w:tcPr>
          <w:p>
            <w:pPr>
              <w:spacing w:line="440" w:lineRule="exact"/>
              <w:rPr>
                <w:b/>
              </w:rPr>
            </w:pPr>
            <w:r>
              <w:rPr>
                <w:rFonts w:hint="eastAsia" w:ascii="宋体" w:hAnsi="宋体" w:eastAsia="宋体" w:cs="Times New Roman"/>
                <w:b/>
                <w:iCs/>
                <w:sz w:val="24"/>
                <w:szCs w:val="24"/>
              </w:rPr>
              <w:t>一、</w:t>
            </w:r>
            <w:r>
              <w:rPr>
                <w:rFonts w:ascii="宋体"/>
                <w:b/>
                <w:sz w:val="24"/>
              </w:rPr>
              <w:t>面对行业整体承压，公司在成本管控和毛利率改善方面有哪些具体举措？预计何时实现季度层面的盈亏平衡？</w:t>
            </w:r>
          </w:p>
          <w:p>
            <w:pPr>
              <w:spacing w:line="440" w:lineRule="exact"/>
              <w:ind w:firstLine="480" w:firstLineChars="200"/>
              <w:rPr>
                <w:rFonts w:ascii="宋体"/>
                <w:sz w:val="24"/>
              </w:rPr>
            </w:pPr>
            <w:r>
              <w:rPr>
                <w:rFonts w:hint="eastAsia" w:ascii="宋体"/>
                <w:sz w:val="24"/>
              </w:rPr>
              <w:t>尊敬的投资者，您好！公司将围绕设计、采购、生产、交付全流程实施多维度管理优化，深入推进降本增效：在设计环节优化方案、简化工艺、减少零部件，降低设计成本并提升产品稳定性；在采购环节整合供应链资源，与核心供应商建立长期战略合作以提升议价能力，降低原材料成本并强化质量管控；在生产环节引入智能化设备，提升效率、降低单位成本并减少浪费；在交付环节优化物流方案、合理规划流程，缩短周期并降低交付成本。通过全流程精细化管理持续优化成本结构，逐步提升产品毛利率，增强盈利水平。感谢您对公司的关注！</w:t>
            </w:r>
            <w:bookmarkStart w:id="0" w:name="_GoBack"/>
            <w:bookmarkEnd w:id="0"/>
          </w:p>
          <w:p>
            <w:pPr>
              <w:numPr>
                <w:ilvl w:val="0"/>
                <w:numId w:val="1"/>
              </w:numPr>
              <w:spacing w:line="440" w:lineRule="exact"/>
              <w:rPr>
                <w:rFonts w:hint="eastAsia" w:ascii="宋体" w:hAnsi="宋体" w:eastAsia="宋体" w:cs="Times New Roman"/>
                <w:b/>
                <w:iCs/>
                <w:sz w:val="24"/>
                <w:szCs w:val="24"/>
              </w:rPr>
            </w:pPr>
            <w:r>
              <w:rPr>
                <w:rFonts w:hint="eastAsia" w:ascii="宋体" w:hAnsi="宋体" w:eastAsia="宋体" w:cs="Times New Roman"/>
                <w:b/>
                <w:iCs/>
                <w:sz w:val="24"/>
                <w:szCs w:val="24"/>
              </w:rPr>
              <w:t>请问贵司惠州新生产基地生产进度如何，能否在年内大幅度生产解决手头20亿订单。</w:t>
            </w:r>
          </w:p>
          <w:p>
            <w:pPr>
              <w:spacing w:line="440" w:lineRule="exact"/>
              <w:ind w:firstLine="480" w:firstLineChars="200"/>
              <w:rPr>
                <w:rFonts w:ascii="宋体"/>
                <w:sz w:val="24"/>
              </w:rPr>
            </w:pPr>
            <w:r>
              <w:rPr>
                <w:rFonts w:ascii="宋体"/>
                <w:sz w:val="24"/>
              </w:rPr>
              <w:t>尊敬的投资者，您好！公司惠州第二生产园区重点用于新能源高端装备及关键零部件的智能化生产，已于2025年12月实现主体结构封顶，目前公司正加快推动惠州第二生产园区的建设进度。园区投产后，将显著增强公司在新能源装备制造领域的供应保障能力与市场响应速度，确保能够保质保量完成核心客户的订单交付任务，进一步提升客户满意度，巩固市场份额。感谢您对公司的关注！</w:t>
            </w:r>
          </w:p>
          <w:p>
            <w:pPr>
              <w:numPr>
                <w:ilvl w:val="0"/>
                <w:numId w:val="1"/>
              </w:numPr>
              <w:spacing w:line="440" w:lineRule="exact"/>
              <w:rPr>
                <w:rFonts w:hint="eastAsia" w:ascii="宋体" w:hAnsi="宋体" w:eastAsia="宋体" w:cs="Times New Roman"/>
                <w:b/>
                <w:iCs/>
                <w:sz w:val="24"/>
                <w:szCs w:val="24"/>
              </w:rPr>
            </w:pPr>
            <w:r>
              <w:rPr>
                <w:rFonts w:ascii="宋体" w:hAnsi="宋体" w:eastAsia="宋体" w:cs="Times New Roman"/>
                <w:b/>
                <w:iCs/>
                <w:sz w:val="24"/>
                <w:szCs w:val="24"/>
              </w:rPr>
              <w:t>请问最新的股东人数是多少？</w:t>
            </w:r>
          </w:p>
          <w:p>
            <w:pPr>
              <w:spacing w:line="440" w:lineRule="exact"/>
              <w:ind w:firstLine="480" w:firstLineChars="200"/>
              <w:rPr>
                <w:rFonts w:ascii="宋体"/>
                <w:sz w:val="24"/>
              </w:rPr>
            </w:pPr>
            <w:r>
              <w:rPr>
                <w:rFonts w:ascii="宋体"/>
                <w:sz w:val="24"/>
              </w:rPr>
              <w:t>尊敬的投资者，您好！截至2026年3月31日，公司股东总户数为7,443户。感谢您对公司的关注！</w:t>
            </w:r>
          </w:p>
          <w:p>
            <w:pPr>
              <w:numPr>
                <w:ilvl w:val="0"/>
                <w:numId w:val="1"/>
              </w:numPr>
              <w:spacing w:line="440" w:lineRule="exact"/>
              <w:rPr>
                <w:rFonts w:hint="eastAsia" w:ascii="宋体" w:hAnsi="宋体" w:eastAsia="宋体" w:cs="Times New Roman"/>
                <w:b/>
                <w:iCs/>
                <w:sz w:val="24"/>
                <w:szCs w:val="24"/>
              </w:rPr>
            </w:pPr>
            <w:r>
              <w:rPr>
                <w:rFonts w:ascii="宋体" w:hAnsi="宋体" w:eastAsia="宋体" w:cs="Times New Roman"/>
                <w:b/>
                <w:iCs/>
                <w:sz w:val="24"/>
                <w:szCs w:val="24"/>
              </w:rPr>
              <w:t>请介绍固态电解质及Micro-LED材料研发情况</w:t>
            </w:r>
            <w:r>
              <w:rPr>
                <w:rFonts w:hint="eastAsia" w:ascii="宋体" w:hAnsi="宋体" w:eastAsia="宋体" w:cs="Times New Roman"/>
                <w:b/>
                <w:iCs/>
                <w:sz w:val="24"/>
                <w:szCs w:val="24"/>
              </w:rPr>
              <w:t>。</w:t>
            </w:r>
          </w:p>
          <w:p>
            <w:pPr>
              <w:spacing w:line="440" w:lineRule="exact"/>
              <w:ind w:firstLine="480" w:firstLineChars="200"/>
              <w:rPr>
                <w:rFonts w:ascii="宋体"/>
                <w:sz w:val="24"/>
              </w:rPr>
            </w:pPr>
            <w:r>
              <w:rPr>
                <w:rFonts w:ascii="宋体"/>
                <w:sz w:val="24"/>
              </w:rPr>
              <w:t>尊敬的投资者，您好！固态电解质方面，公司选择卤化物固态电解质作为核心技术路线，已完成两代产品研发：第一代Li₃InCl₆离子电导率达1.5mS/cm，电子电导率＜10⁻⁸S/cm，粒径＜10μm，电池库仑效率提升81%，正极容量提高55%，已完成材料开发、工艺优化及初步电池验证，近期将推进中试放大并开展软包电池系统验证；第二代卤氧化物电解质通过引入氧元素调控晶体结构，离子电导率1.4mS/cm，电子电导率降至＜10⁻⁹S/cm，电化学稳定窗口拓宽至2-6V，库仑效率提升至86%，已进入电池级测试阶段，未来将构建更高能量密度、更宽温区的固态电解质体系；此外，公司拟开发目标离子电导率达到4mS/cm 的第三代卤化物固态电解质材料，未来还将基于三代材料体系完成软包全固态电池综合评估，加速卤化物固态电池产业化落地；Micro LED方面，公司是国内少数实现Micro LED巨量转移薄膜小批量出货的企业，已有1家主流客户实现量产、1家客户进入中试阶段、多家客户正在开展验证，水汽阻隔膜（水汽透过率10⁻⁴级别）已小批量应用于墨水屏并切入柔性钙钛矿领域，6微米超薄PI胶带正配合客户验证导入，磁性材料涂布业务正与下游联合研发推进。感谢您对公司的关注！</w:t>
            </w:r>
          </w:p>
          <w:p>
            <w:pPr>
              <w:numPr>
                <w:ilvl w:val="0"/>
                <w:numId w:val="1"/>
              </w:numPr>
              <w:spacing w:line="440" w:lineRule="exact"/>
              <w:rPr>
                <w:rFonts w:hint="eastAsia" w:ascii="宋体" w:hAnsi="宋体" w:eastAsia="宋体" w:cs="Times New Roman"/>
                <w:b/>
                <w:iCs/>
                <w:sz w:val="24"/>
                <w:szCs w:val="24"/>
              </w:rPr>
            </w:pPr>
            <w:r>
              <w:rPr>
                <w:rFonts w:ascii="宋体" w:hAnsi="宋体" w:eastAsia="宋体" w:cs="Times New Roman"/>
                <w:b/>
                <w:iCs/>
                <w:sz w:val="24"/>
                <w:szCs w:val="24"/>
              </w:rPr>
              <w:t>公司如何解决卖的越多，亏损越多的恶性循环。</w:t>
            </w:r>
          </w:p>
          <w:p>
            <w:pPr>
              <w:spacing w:line="440" w:lineRule="exact"/>
              <w:ind w:firstLine="480" w:firstLineChars="200"/>
              <w:rPr>
                <w:rFonts w:ascii="宋体"/>
                <w:sz w:val="24"/>
              </w:rPr>
            </w:pPr>
            <w:r>
              <w:rPr>
                <w:rFonts w:ascii="宋体"/>
                <w:sz w:val="24"/>
              </w:rPr>
              <w:t>尊敬的投资者，您好！公司紧抓行业发展机遇，持续深化与核心头部客户的合作粘性。一方面，公司正全力推进在手订单的交付工作，未来将紧跟其国内外扩产步伐，积极参与新增产能设备招标，争取更多核心产线订单以巩固合作地位。另一方面，公司将拓展其他优质头部电池企业合作，优化客户结构，并聚焦高附加值锂电设备领域，响应高端产线需求，提升订单质量，推动营收结构持续优化。同时，公司将加速新材料商业化，推动第二曲线持续发展，提高市场核心竞争力。感谢您对公司的关注！</w:t>
            </w:r>
          </w:p>
          <w:p>
            <w:pPr>
              <w:numPr>
                <w:ilvl w:val="0"/>
                <w:numId w:val="1"/>
              </w:numPr>
              <w:spacing w:line="440" w:lineRule="exact"/>
              <w:rPr>
                <w:rFonts w:hint="eastAsia" w:ascii="宋体" w:hAnsi="宋体" w:eastAsia="宋体" w:cs="Times New Roman"/>
                <w:b/>
                <w:iCs/>
                <w:sz w:val="24"/>
                <w:szCs w:val="24"/>
              </w:rPr>
            </w:pPr>
            <w:r>
              <w:rPr>
                <w:rFonts w:hint="eastAsia" w:ascii="宋体" w:hAnsi="宋体" w:eastAsia="宋体" w:cs="Times New Roman"/>
                <w:b/>
                <w:iCs/>
                <w:sz w:val="24"/>
                <w:szCs w:val="24"/>
              </w:rPr>
              <w:t>为什么在手订单超多，但验收的确非常少，什么原因导致的，是因为交付存在质量或者其它问题吗？</w:t>
            </w:r>
          </w:p>
          <w:p>
            <w:pPr>
              <w:spacing w:line="440" w:lineRule="exact"/>
              <w:ind w:firstLine="480" w:firstLineChars="200"/>
              <w:rPr>
                <w:rFonts w:ascii="宋体"/>
                <w:sz w:val="24"/>
              </w:rPr>
            </w:pPr>
            <w:r>
              <w:rPr>
                <w:rFonts w:ascii="宋体"/>
                <w:sz w:val="24"/>
              </w:rPr>
              <w:t>尊敬的投资者，您好！公司的订单以非标定制产品为主，由于各客户产品之间存在较大差异，从订单到确认收入的时间具体还要看实际交付以及客户验收情况。感谢您对公司的关注！</w:t>
            </w:r>
          </w:p>
          <w:p>
            <w:pPr>
              <w:numPr>
                <w:ilvl w:val="0"/>
                <w:numId w:val="1"/>
              </w:numPr>
              <w:spacing w:line="440" w:lineRule="exact"/>
              <w:rPr>
                <w:rFonts w:hint="eastAsia" w:asciiTheme="minorEastAsia" w:hAnsiTheme="minorEastAsia" w:cstheme="minorEastAsia"/>
                <w:b/>
                <w:iCs/>
                <w:sz w:val="24"/>
                <w:szCs w:val="24"/>
              </w:rPr>
            </w:pPr>
            <w:r>
              <w:rPr>
                <w:rFonts w:hint="eastAsia" w:ascii="宋体" w:hAnsi="宋体" w:eastAsia="宋体" w:cs="Times New Roman"/>
                <w:b/>
                <w:iCs/>
                <w:sz w:val="24"/>
                <w:szCs w:val="24"/>
              </w:rPr>
              <w:t>目前在手订单中，来自头部客户和海外客户的占比分别是多少？与去年相比结构有何变化</w:t>
            </w:r>
            <w:r>
              <w:rPr>
                <w:rFonts w:hint="eastAsia" w:asciiTheme="minorEastAsia" w:hAnsiTheme="minorEastAsia" w:cstheme="minorEastAsia"/>
                <w:b/>
                <w:iCs/>
                <w:sz w:val="24"/>
                <w:szCs w:val="24"/>
              </w:rPr>
              <w:t>？</w:t>
            </w:r>
          </w:p>
          <w:p>
            <w:pPr>
              <w:spacing w:line="440" w:lineRule="exact"/>
              <w:ind w:firstLine="480" w:firstLineChars="200"/>
              <w:rPr>
                <w:rFonts w:ascii="宋体"/>
                <w:sz w:val="24"/>
              </w:rPr>
            </w:pPr>
            <w:r>
              <w:rPr>
                <w:rFonts w:hint="eastAsia" w:asciiTheme="minorEastAsia" w:hAnsiTheme="minorEastAsia" w:cstheme="minorEastAsia"/>
                <w:sz w:val="24"/>
              </w:rPr>
              <w:t>尊敬的投资者，您好！基</w:t>
            </w:r>
            <w:r>
              <w:rPr>
                <w:rFonts w:ascii="宋体"/>
                <w:sz w:val="24"/>
              </w:rPr>
              <w:t>于对行业竞争格局的前瞻判断，以及锂电头部客户对公司技术实力与产品性能的高度认可，公司持续深化与头部电池厂商的战略合作。截至2026年3月，公司在手订单金额（含已中标未签约订单）达20.08亿元，其中本年新签订单超3.75亿元，头部客户订单占比较高。未来，公司将持续以高质量产品与服务巩固核心客户关系，扩大市场份额，优化现金流结构，夯实可持续发展根基。感谢您对公司的关注！</w:t>
            </w:r>
          </w:p>
          <w:p>
            <w:pPr>
              <w:numPr>
                <w:ilvl w:val="0"/>
                <w:numId w:val="1"/>
              </w:numPr>
              <w:spacing w:line="440" w:lineRule="exact"/>
              <w:rPr>
                <w:rFonts w:hint="eastAsia" w:ascii="宋体" w:hAnsi="宋体" w:eastAsia="宋体" w:cs="Times New Roman"/>
                <w:b/>
                <w:iCs/>
                <w:sz w:val="24"/>
                <w:szCs w:val="24"/>
              </w:rPr>
            </w:pPr>
            <w:r>
              <w:rPr>
                <w:rFonts w:ascii="宋体" w:hAnsi="宋体" w:eastAsia="宋体" w:cs="Times New Roman"/>
                <w:b/>
                <w:iCs/>
                <w:sz w:val="24"/>
                <w:szCs w:val="24"/>
              </w:rPr>
              <w:t>订单对应的预售款比例如何？主要客户的信用评级和付款周期有没有优化？</w:t>
            </w:r>
          </w:p>
          <w:p>
            <w:pPr>
              <w:spacing w:line="440" w:lineRule="exact"/>
              <w:ind w:firstLine="480" w:firstLineChars="200"/>
              <w:rPr>
                <w:rFonts w:hint="eastAsia" w:asciiTheme="minorEastAsia" w:hAnsiTheme="minorEastAsia" w:cstheme="minorEastAsia"/>
                <w:sz w:val="24"/>
              </w:rPr>
            </w:pPr>
            <w:r>
              <w:rPr>
                <w:rFonts w:asciiTheme="minorEastAsia" w:hAnsiTheme="minorEastAsia" w:cstheme="minorEastAsia"/>
                <w:sz w:val="24"/>
              </w:rPr>
              <w:t>尊敬的投资者，您好！公司在手订单中头部客户订单占比较高。结算方面主要分阶段进行：签订订单时收取预收款；产品完工后收取提货款并安排发货；安装调试并经客户验收后收取验收款；质保期满后结清尾款。感谢您的关注！</w:t>
            </w:r>
          </w:p>
          <w:p>
            <w:pPr>
              <w:numPr>
                <w:ilvl w:val="0"/>
                <w:numId w:val="1"/>
              </w:numPr>
              <w:spacing w:line="440" w:lineRule="exact"/>
              <w:rPr>
                <w:rFonts w:hint="eastAsia" w:ascii="宋体" w:hAnsi="宋体" w:eastAsia="宋体" w:cs="Times New Roman"/>
                <w:b/>
                <w:iCs/>
                <w:sz w:val="24"/>
                <w:szCs w:val="24"/>
              </w:rPr>
            </w:pPr>
            <w:r>
              <w:rPr>
                <w:rFonts w:ascii="宋体" w:hAnsi="宋体" w:eastAsia="宋体" w:cs="Times New Roman"/>
                <w:b/>
                <w:iCs/>
                <w:sz w:val="24"/>
                <w:szCs w:val="24"/>
              </w:rPr>
              <w:t>2025年，公司第四季度收入相比其他三个季度明显较高。请问公司第四季度收入占比较高的原因，是否存在收入调节行为？</w:t>
            </w:r>
          </w:p>
          <w:p>
            <w:pPr>
              <w:spacing w:line="440" w:lineRule="exact"/>
              <w:ind w:firstLine="480" w:firstLineChars="200"/>
              <w:rPr>
                <w:rFonts w:hint="eastAsia" w:asciiTheme="minorEastAsia" w:hAnsiTheme="minorEastAsia" w:cstheme="minorEastAsia"/>
                <w:sz w:val="24"/>
              </w:rPr>
            </w:pPr>
            <w:r>
              <w:rPr>
                <w:rFonts w:asciiTheme="minorEastAsia" w:hAnsiTheme="minorEastAsia" w:cstheme="minorEastAsia"/>
                <w:sz w:val="24"/>
              </w:rPr>
              <w:t>尊敬的投资者，您好！公司第四季度收入较高主要受客户验收周期影响，只有在客户验收完成后，公司才能确认收入。因此，当年上半年签订的订单，往往会在第四季度集中通过验收，进而形成四季度的收入高峰。公司不存在收入调节行为。感谢您对公司的关注</w:t>
            </w:r>
            <w:r>
              <w:rPr>
                <w:rFonts w:hint="eastAsia" w:asciiTheme="minorEastAsia" w:hAnsiTheme="minorEastAsia" w:cstheme="minorEastAsia"/>
                <w:sz w:val="24"/>
              </w:rPr>
              <w:t>！</w:t>
            </w:r>
          </w:p>
          <w:p>
            <w:pPr>
              <w:numPr>
                <w:ilvl w:val="0"/>
                <w:numId w:val="1"/>
              </w:numPr>
              <w:spacing w:line="440" w:lineRule="exact"/>
              <w:rPr>
                <w:rFonts w:hint="eastAsia" w:ascii="宋体" w:hAnsi="宋体" w:eastAsia="宋体" w:cs="Times New Roman"/>
                <w:b/>
                <w:iCs/>
                <w:sz w:val="24"/>
                <w:szCs w:val="24"/>
              </w:rPr>
            </w:pPr>
            <w:r>
              <w:rPr>
                <w:rFonts w:ascii="宋体" w:hAnsi="宋体" w:eastAsia="宋体" w:cs="Times New Roman"/>
                <w:b/>
                <w:iCs/>
                <w:sz w:val="24"/>
                <w:szCs w:val="24"/>
              </w:rPr>
              <w:t>请问公司固态电解质的研发进度，是否已送至电池厂验证</w:t>
            </w:r>
            <w:r>
              <w:rPr>
                <w:rFonts w:hint="eastAsia" w:ascii="宋体" w:hAnsi="宋体" w:eastAsia="宋体" w:cs="Times New Roman"/>
                <w:b/>
                <w:iCs/>
                <w:sz w:val="24"/>
                <w:szCs w:val="24"/>
              </w:rPr>
              <w:t>。</w:t>
            </w:r>
          </w:p>
          <w:p>
            <w:pPr>
              <w:spacing w:line="440" w:lineRule="exact"/>
              <w:ind w:firstLine="480" w:firstLineChars="200"/>
              <w:rPr>
                <w:rFonts w:hint="eastAsia" w:asciiTheme="minorEastAsia" w:hAnsiTheme="minorEastAsia" w:cstheme="minorEastAsia"/>
                <w:sz w:val="24"/>
              </w:rPr>
            </w:pPr>
            <w:r>
              <w:rPr>
                <w:rFonts w:asciiTheme="minorEastAsia" w:hAnsiTheme="minorEastAsia" w:cstheme="minorEastAsia"/>
                <w:sz w:val="24"/>
              </w:rPr>
              <w:t>尊敬的投资者，您好！公司深入布局固态电解质，选择卤化物固态电解质作为核心技术路线，已完成两代产品研发：第一代Li₃InCl₆离子电导率达1.5mS/cm，电子电导率＜10⁻⁸S/cm，粒径＜10μm，电池库仑效率提升81%，正极容量提高55%，已完成材料开发、工艺优化及初步电池验证，近期将推进中试放大并开展软包电池系统验证；第二代卤氧化物电解质通过引入氧元素调控晶体结构，离子电导率1.4mS/cm，电子电导率降至＜10⁻⁹S/cm，电化学稳定窗口拓宽至2-6V，库仑效率提升至86%，已进入电池级测试阶段，未来将构建更高能量密度、更宽温区的固态电解质体系；此外，公司拟开发目标离子电导率达到4mS/cm 的第三代卤化物固态电解质材料，未来还将基于三代材料体系完成软包全固态电池综合评估，加速卤化物固态电池产业化落地。感谢您对公司的关注！</w:t>
            </w:r>
          </w:p>
          <w:p>
            <w:pPr>
              <w:numPr>
                <w:ilvl w:val="0"/>
                <w:numId w:val="1"/>
              </w:numPr>
              <w:spacing w:line="440" w:lineRule="exact"/>
              <w:rPr>
                <w:rFonts w:hint="eastAsia" w:ascii="宋体" w:hAnsi="宋体" w:eastAsia="宋体" w:cs="Times New Roman"/>
                <w:b/>
                <w:iCs/>
                <w:sz w:val="24"/>
                <w:szCs w:val="24"/>
              </w:rPr>
            </w:pPr>
            <w:r>
              <w:rPr>
                <w:rFonts w:ascii="宋体" w:hAnsi="宋体" w:eastAsia="宋体" w:cs="Times New Roman"/>
                <w:b/>
                <w:iCs/>
                <w:sz w:val="24"/>
                <w:szCs w:val="24"/>
              </w:rPr>
              <w:t>既然当年上半年签订的订单，往往会在第四季度集中通过验收，那么2025年签订的几个亿项目为何2026年年终了，还没有确认2025年订单的收入，是项目无法验收通过，才导致巨额亏损的局面吗？那后续的项目合同是否同样存在 验收困难问题，岂不是项目越多，亏损越来越大？中报若是继续巨额亏损，将导致公司市值净资产为负值，公司无视股价连续暴跌，为何没有实施市制管理？是已经坦然接收注定退市的局面了吗？</w:t>
            </w:r>
          </w:p>
          <w:p>
            <w:pPr>
              <w:spacing w:line="440" w:lineRule="exact"/>
              <w:ind w:firstLine="480" w:firstLineChars="200"/>
              <w:rPr>
                <w:rFonts w:hint="eastAsia" w:asciiTheme="minorEastAsia" w:hAnsiTheme="minorEastAsia" w:cstheme="minorEastAsia"/>
                <w:sz w:val="24"/>
              </w:rPr>
            </w:pPr>
            <w:r>
              <w:rPr>
                <w:rFonts w:asciiTheme="minorEastAsia" w:hAnsiTheme="minorEastAsia" w:cstheme="minorEastAsia"/>
                <w:sz w:val="24"/>
              </w:rPr>
              <w:t>尊敬的投资者，您好！一般情况下，当年上半年签订的订单，往往会在第四季度集中通过验收。但同时，公司订单以非标定制产品为主，且各客户产品之间存在较大差异，因此从订单到确认收入的时间具体还要看实际交付以及客户验收情况。公司始终高度重视股东权益，但二级市场表现与宏观环境、市场资金偏好、投资者预期等均具有较大相关性。未来公司将依托“装备+工艺+材料”三位一体布局，进一步深耕智能制造高端装备的研发、制造与销售，努力以更好的经营业绩回报股东。感谢您对公司的关注！</w:t>
            </w:r>
          </w:p>
          <w:p>
            <w:pPr>
              <w:numPr>
                <w:ilvl w:val="0"/>
                <w:numId w:val="1"/>
              </w:numPr>
              <w:spacing w:line="440" w:lineRule="exact"/>
              <w:rPr>
                <w:rFonts w:hint="eastAsia" w:ascii="宋体" w:hAnsi="宋体" w:eastAsia="宋体" w:cs="Times New Roman"/>
                <w:b/>
                <w:iCs/>
                <w:sz w:val="24"/>
                <w:szCs w:val="24"/>
              </w:rPr>
            </w:pPr>
            <w:r>
              <w:rPr>
                <w:rFonts w:ascii="宋体" w:hAnsi="宋体" w:eastAsia="宋体" w:cs="Times New Roman"/>
                <w:b/>
                <w:iCs/>
                <w:sz w:val="24"/>
                <w:szCs w:val="24"/>
              </w:rPr>
              <w:t>作为投资者，我注意到贵公司2024年及本次均未采用直播形式的业绩说明会并提供视频回放。业绩说明会有助于投资者全面了解公司经营和管理层观点，支持理性决策。缺少视频直播或回放可能导致信息获取不够充分直观。请问贵公司在2025年的业绩说明会中，是否考虑采用视频直播并提供会后回放，以便投资者能够更加便捷、充分地获取相关信息？此外，是否计划在问答环节引入线上视频互动，以增强沟通效果，更好满足投资者信息需求？</w:t>
            </w:r>
          </w:p>
          <w:p>
            <w:pPr>
              <w:spacing w:line="440" w:lineRule="exact"/>
              <w:ind w:firstLine="480" w:firstLineChars="200"/>
              <w:rPr>
                <w:rFonts w:hint="eastAsia" w:asciiTheme="minorEastAsia" w:hAnsiTheme="minorEastAsia" w:cstheme="minorEastAsia"/>
                <w:sz w:val="24"/>
              </w:rPr>
            </w:pPr>
            <w:r>
              <w:rPr>
                <w:rFonts w:asciiTheme="minorEastAsia" w:hAnsiTheme="minorEastAsia" w:cstheme="minorEastAsia"/>
                <w:sz w:val="24"/>
              </w:rPr>
              <w:t>尊敬的投资者，您好！公司2025年度暨2026年第一季度业绩说明会于2026年6月26日在上证路演中心举行，感谢您提出的宝贵建议，若公司后续有相关安排将及时公告。感谢您对公司的关注！</w:t>
            </w:r>
          </w:p>
          <w:p>
            <w:pPr>
              <w:numPr>
                <w:ilvl w:val="0"/>
                <w:numId w:val="1"/>
              </w:numPr>
              <w:spacing w:line="440" w:lineRule="exact"/>
              <w:rPr>
                <w:rFonts w:hint="eastAsia" w:ascii="宋体" w:hAnsi="宋体" w:eastAsia="宋体" w:cs="Times New Roman"/>
                <w:b/>
                <w:iCs/>
                <w:sz w:val="24"/>
                <w:szCs w:val="24"/>
              </w:rPr>
            </w:pPr>
            <w:r>
              <w:rPr>
                <w:rFonts w:ascii="宋体" w:hAnsi="宋体" w:eastAsia="宋体" w:cs="Times New Roman"/>
                <w:b/>
                <w:iCs/>
                <w:sz w:val="24"/>
                <w:szCs w:val="24"/>
              </w:rPr>
              <w:t>问公司连年亏损，股价连创新低，贵司是否有维护公司价值的措施办法？</w:t>
            </w:r>
          </w:p>
          <w:p>
            <w:pPr>
              <w:spacing w:line="440" w:lineRule="exact"/>
              <w:ind w:firstLine="480" w:firstLineChars="200"/>
              <w:rPr>
                <w:rFonts w:hint="eastAsia" w:asciiTheme="minorEastAsia" w:hAnsiTheme="minorEastAsia" w:cstheme="minorEastAsia"/>
                <w:sz w:val="24"/>
              </w:rPr>
            </w:pPr>
            <w:r>
              <w:rPr>
                <w:rFonts w:asciiTheme="minorEastAsia" w:hAnsiTheme="minorEastAsia" w:cstheme="minorEastAsia"/>
                <w:sz w:val="24"/>
              </w:rPr>
              <w:t>尊敬的投资者，您好！二级市场股价受宏观环境、市场行情、投资者预期等多种因素影响，具有一定的波动性。未来公司将依托“装备+工艺+材料”三位一体布局，进一步深耕智能制造高端装备的研发、制造与销售，努力以更好的经营业绩回报股东。感谢您对公司的关注！</w:t>
            </w:r>
          </w:p>
          <w:p>
            <w:pPr>
              <w:numPr>
                <w:ilvl w:val="0"/>
                <w:numId w:val="1"/>
              </w:numPr>
              <w:spacing w:line="440" w:lineRule="exact"/>
              <w:rPr>
                <w:rFonts w:hint="eastAsia" w:ascii="宋体" w:hAnsi="宋体" w:eastAsia="宋体" w:cs="Times New Roman"/>
                <w:b/>
                <w:iCs/>
                <w:sz w:val="24"/>
                <w:szCs w:val="24"/>
              </w:rPr>
            </w:pPr>
            <w:r>
              <w:rPr>
                <w:rFonts w:ascii="宋体" w:hAnsi="宋体" w:eastAsia="宋体" w:cs="Times New Roman"/>
                <w:b/>
                <w:iCs/>
                <w:sz w:val="24"/>
                <w:szCs w:val="24"/>
              </w:rPr>
              <w:t>公司根据客户海外市场拓展需求，于今年上半年成立匈牙利子公司并开展相关业务。请问公司近年是否存在向欧盟成员国出口或销售的相关业务？如有，欧盟地区业务收入在公司整体营业收入中的占比大致为多少？</w:t>
            </w:r>
          </w:p>
          <w:p>
            <w:pPr>
              <w:spacing w:line="440" w:lineRule="exact"/>
              <w:ind w:firstLine="480" w:firstLineChars="200"/>
              <w:rPr>
                <w:rFonts w:hint="eastAsia" w:ascii="宋体" w:hAnsi="宋体" w:eastAsia="宋体" w:cs="Times New Roman"/>
                <w:b/>
                <w:iCs/>
                <w:sz w:val="24"/>
                <w:szCs w:val="24"/>
              </w:rPr>
            </w:pPr>
            <w:r>
              <w:rPr>
                <w:rFonts w:asciiTheme="minorEastAsia" w:hAnsiTheme="minorEastAsia" w:cstheme="minorEastAsia"/>
                <w:sz w:val="24"/>
              </w:rPr>
              <w:t>尊敬的投资者，您好！公司对欧盟市场的销售主要通过在欧盟国家设立的子公司开展相关业务，该业务收入占公司整体收入的比例较小。感谢您对公司的关注！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4" w:type="dxa"/>
            <w:vAlign w:val="center"/>
          </w:tcPr>
          <w:p>
            <w:pPr>
              <w:spacing w:line="360" w:lineRule="auto"/>
              <w:rPr>
                <w:rFonts w:hint="eastAsia" w:ascii="宋体" w:hAnsi="宋体" w:eastAsia="宋体" w:cs="Times New Roman"/>
                <w:b/>
                <w:bCs/>
                <w:iCs/>
                <w:sz w:val="24"/>
                <w:szCs w:val="24"/>
              </w:rPr>
            </w:pPr>
            <w:r>
              <w:rPr>
                <w:rFonts w:hint="eastAsia" w:ascii="宋体" w:hAnsi="宋体" w:eastAsia="宋体" w:cs="Times New Roman"/>
                <w:b/>
                <w:bCs/>
                <w:iCs/>
                <w:sz w:val="24"/>
                <w:szCs w:val="24"/>
              </w:rPr>
              <w:t>附件清单（如有）</w:t>
            </w:r>
          </w:p>
        </w:tc>
        <w:tc>
          <w:tcPr>
            <w:tcW w:w="7374" w:type="dxa"/>
          </w:tcPr>
          <w:p>
            <w:pPr>
              <w:spacing w:line="360" w:lineRule="auto"/>
              <w:rPr>
                <w:rFonts w:hint="eastAsia" w:ascii="宋体" w:hAnsi="宋体" w:eastAsia="宋体" w:cs="Times New Roman"/>
                <w:bCs/>
                <w:iCs/>
                <w:sz w:val="24"/>
                <w:szCs w:val="24"/>
              </w:rPr>
            </w:pPr>
            <w:r>
              <w:rPr>
                <w:rFonts w:hint="eastAsia" w:ascii="宋体" w:hAnsi="宋体" w:eastAsia="宋体" w:cs="Times New Roman"/>
                <w:bCs/>
                <w:iCs/>
                <w:sz w:val="24"/>
                <w:szCs w:val="24"/>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4" w:type="dxa"/>
            <w:vAlign w:val="center"/>
          </w:tcPr>
          <w:p>
            <w:pPr>
              <w:spacing w:line="360" w:lineRule="auto"/>
              <w:rPr>
                <w:rFonts w:hint="eastAsia" w:ascii="宋体" w:hAnsi="宋体" w:eastAsia="宋体" w:cs="Times New Roman"/>
                <w:b/>
                <w:bCs/>
                <w:iCs/>
                <w:sz w:val="24"/>
                <w:szCs w:val="24"/>
              </w:rPr>
            </w:pPr>
            <w:r>
              <w:rPr>
                <w:rFonts w:hint="eastAsia" w:ascii="宋体" w:hAnsi="宋体" w:eastAsia="宋体" w:cs="Times New Roman"/>
                <w:b/>
                <w:bCs/>
                <w:iCs/>
                <w:sz w:val="24"/>
                <w:szCs w:val="24"/>
              </w:rPr>
              <w:t>是否涉及应当披露重大信息</w:t>
            </w:r>
          </w:p>
        </w:tc>
        <w:tc>
          <w:tcPr>
            <w:tcW w:w="7374" w:type="dxa"/>
          </w:tcPr>
          <w:p>
            <w:pPr>
              <w:spacing w:line="360" w:lineRule="auto"/>
              <w:jc w:val="left"/>
              <w:rPr>
                <w:rFonts w:hint="eastAsia" w:ascii="宋体" w:hAnsi="宋体" w:eastAsia="宋体" w:cs="Times New Roman"/>
                <w:bCs/>
                <w:iCs/>
                <w:sz w:val="24"/>
                <w:szCs w:val="24"/>
              </w:rPr>
            </w:pPr>
            <w:r>
              <w:rPr>
                <w:rFonts w:hint="eastAsia" w:ascii="宋体" w:hAnsi="宋体" w:eastAsia="宋体" w:cs="Times New Roman"/>
                <w:bCs/>
                <w:iCs/>
                <w:sz w:val="24"/>
                <w:szCs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4" w:type="dxa"/>
            <w:vAlign w:val="center"/>
          </w:tcPr>
          <w:p>
            <w:pPr>
              <w:spacing w:line="360" w:lineRule="auto"/>
              <w:rPr>
                <w:rFonts w:hint="eastAsia" w:ascii="宋体" w:hAnsi="宋体" w:eastAsia="宋体" w:cs="Times New Roman"/>
                <w:b/>
                <w:bCs/>
                <w:iCs/>
                <w:sz w:val="24"/>
                <w:szCs w:val="24"/>
              </w:rPr>
            </w:pPr>
            <w:r>
              <w:rPr>
                <w:rFonts w:hint="eastAsia" w:ascii="宋体" w:hAnsi="宋体" w:eastAsia="宋体" w:cs="Times New Roman"/>
                <w:b/>
                <w:bCs/>
                <w:iCs/>
                <w:sz w:val="24"/>
                <w:szCs w:val="24"/>
              </w:rPr>
              <w:t>日期</w:t>
            </w:r>
          </w:p>
        </w:tc>
        <w:tc>
          <w:tcPr>
            <w:tcW w:w="7374" w:type="dxa"/>
            <w:vAlign w:val="center"/>
          </w:tcPr>
          <w:p>
            <w:pPr>
              <w:spacing w:line="360" w:lineRule="auto"/>
              <w:rPr>
                <w:rFonts w:hint="eastAsia" w:ascii="宋体" w:hAnsi="宋体" w:eastAsia="宋体" w:cs="Times New Roman"/>
                <w:iCs/>
                <w:sz w:val="24"/>
                <w:szCs w:val="24"/>
              </w:rPr>
            </w:pPr>
            <w:r>
              <w:rPr>
                <w:rFonts w:hint="eastAsia" w:ascii="宋体" w:hAnsi="宋体" w:eastAsia="宋体" w:cs="Times New Roman"/>
                <w:iCs/>
                <w:sz w:val="24"/>
                <w:szCs w:val="24"/>
              </w:rPr>
              <w:t>2026年6月2</w:t>
            </w:r>
            <w:r>
              <w:rPr>
                <w:rFonts w:hint="eastAsia" w:ascii="宋体" w:hAnsi="宋体" w:eastAsia="宋体" w:cs="Times New Roman"/>
                <w:iCs/>
                <w:sz w:val="24"/>
                <w:szCs w:val="24"/>
                <w:lang w:val="en-US" w:eastAsia="zh-CN"/>
              </w:rPr>
              <w:t>9</w:t>
            </w:r>
            <w:r>
              <w:rPr>
                <w:rFonts w:hint="eastAsia" w:ascii="宋体" w:hAnsi="宋体" w:eastAsia="宋体" w:cs="Times New Roman"/>
                <w:iCs/>
                <w:sz w:val="24"/>
                <w:szCs w:val="24"/>
              </w:rPr>
              <w:t>日</w:t>
            </w:r>
          </w:p>
        </w:tc>
      </w:tr>
    </w:tbl>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4"/>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pStyle w:val="4"/>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1DB4ECA"/>
    <w:multiLevelType w:val="singleLevel"/>
    <w:tmpl w:val="F1DB4ECA"/>
    <w:lvl w:ilvl="0" w:tentative="0">
      <w:start w:val="2"/>
      <w:numFmt w:val="chineseCounting"/>
      <w:suff w:val="nothing"/>
      <w:lvlText w:val="%1、"/>
      <w:lvlJc w:val="left"/>
      <w:rPr>
        <w:rFonts w:hint="eastAsia"/>
        <w:b/>
        <w:bC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E1MDY3Y2RiZDljNTAxNDIzMzNlMTRkMmRkYjJhZGMifQ=="/>
  </w:docVars>
  <w:rsids>
    <w:rsidRoot w:val="00D20A50"/>
    <w:rsid w:val="000A72F2"/>
    <w:rsid w:val="000C3350"/>
    <w:rsid w:val="00194BFD"/>
    <w:rsid w:val="001F7DB4"/>
    <w:rsid w:val="00252C5E"/>
    <w:rsid w:val="004C0075"/>
    <w:rsid w:val="005634F6"/>
    <w:rsid w:val="00617E4A"/>
    <w:rsid w:val="006244DD"/>
    <w:rsid w:val="00684C5E"/>
    <w:rsid w:val="007D17C3"/>
    <w:rsid w:val="00A9489F"/>
    <w:rsid w:val="00AE4EAC"/>
    <w:rsid w:val="00AE5D8A"/>
    <w:rsid w:val="00BE6824"/>
    <w:rsid w:val="00C46414"/>
    <w:rsid w:val="00C736CB"/>
    <w:rsid w:val="00C9538C"/>
    <w:rsid w:val="00D20A50"/>
    <w:rsid w:val="00DC643F"/>
    <w:rsid w:val="00EE194E"/>
    <w:rsid w:val="00F02B9B"/>
    <w:rsid w:val="00FB07AB"/>
    <w:rsid w:val="04FF506B"/>
    <w:rsid w:val="05607865"/>
    <w:rsid w:val="07745BAA"/>
    <w:rsid w:val="09B33B03"/>
    <w:rsid w:val="0D1A02B4"/>
    <w:rsid w:val="0DDF7656"/>
    <w:rsid w:val="11796994"/>
    <w:rsid w:val="184328A0"/>
    <w:rsid w:val="18CB6C94"/>
    <w:rsid w:val="1B71020D"/>
    <w:rsid w:val="1D80344C"/>
    <w:rsid w:val="1DF520F2"/>
    <w:rsid w:val="20073C97"/>
    <w:rsid w:val="21226945"/>
    <w:rsid w:val="270C74B9"/>
    <w:rsid w:val="27430976"/>
    <w:rsid w:val="28DA1DEF"/>
    <w:rsid w:val="2D551541"/>
    <w:rsid w:val="32BF120B"/>
    <w:rsid w:val="32C67EE7"/>
    <w:rsid w:val="32DC0D89"/>
    <w:rsid w:val="376437A6"/>
    <w:rsid w:val="385036BB"/>
    <w:rsid w:val="3DA2332F"/>
    <w:rsid w:val="43062FC1"/>
    <w:rsid w:val="48DD3F9B"/>
    <w:rsid w:val="4B345702"/>
    <w:rsid w:val="4BEA6ADC"/>
    <w:rsid w:val="4C602A7D"/>
    <w:rsid w:val="4CD90842"/>
    <w:rsid w:val="519A433C"/>
    <w:rsid w:val="54060014"/>
    <w:rsid w:val="55FC65E0"/>
    <w:rsid w:val="59663055"/>
    <w:rsid w:val="5B9223A9"/>
    <w:rsid w:val="5D617135"/>
    <w:rsid w:val="5EBF2697"/>
    <w:rsid w:val="5FF21B28"/>
    <w:rsid w:val="63E00ABA"/>
    <w:rsid w:val="67746F85"/>
    <w:rsid w:val="68F64248"/>
    <w:rsid w:val="691F746E"/>
    <w:rsid w:val="6FE91939"/>
    <w:rsid w:val="70143ED4"/>
    <w:rsid w:val="71C24EFF"/>
    <w:rsid w:val="72D158A9"/>
    <w:rsid w:val="76FA74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autoRedefine/>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2">
    <w:name w:val="annotation text"/>
    <w:basedOn w:val="1"/>
    <w:link w:val="14"/>
    <w:autoRedefine/>
    <w:unhideWhenUsed/>
    <w:qFormat/>
    <w:uiPriority w:val="99"/>
    <w:pPr>
      <w:jc w:val="left"/>
    </w:pPr>
  </w:style>
  <w:style w:type="paragraph" w:styleId="3">
    <w:name w:val="Balloon Text"/>
    <w:basedOn w:val="1"/>
    <w:link w:val="16"/>
    <w:autoRedefine/>
    <w:unhideWhenUsed/>
    <w:qFormat/>
    <w:uiPriority w:val="99"/>
    <w:rPr>
      <w:sz w:val="18"/>
      <w:szCs w:val="18"/>
    </w:rPr>
  </w:style>
  <w:style w:type="paragraph" w:styleId="4">
    <w:name w:val="footer"/>
    <w:basedOn w:val="1"/>
    <w:link w:val="12"/>
    <w:autoRedefine/>
    <w:unhideWhenUsed/>
    <w:qFormat/>
    <w:uiPriority w:val="99"/>
    <w:pPr>
      <w:tabs>
        <w:tab w:val="center" w:pos="4153"/>
        <w:tab w:val="right" w:pos="8306"/>
      </w:tabs>
      <w:snapToGrid w:val="0"/>
      <w:jc w:val="left"/>
    </w:pPr>
    <w:rPr>
      <w:sz w:val="18"/>
      <w:szCs w:val="18"/>
    </w:rPr>
  </w:style>
  <w:style w:type="paragraph" w:styleId="5">
    <w:name w:val="header"/>
    <w:basedOn w:val="1"/>
    <w:link w:val="11"/>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5"/>
    <w:autoRedefine/>
    <w:unhideWhenUsed/>
    <w:qFormat/>
    <w:uiPriority w:val="99"/>
    <w:rPr>
      <w:b/>
      <w:bCs/>
    </w:rPr>
  </w:style>
  <w:style w:type="table" w:styleId="8">
    <w:name w:val="Table Grid"/>
    <w:basedOn w:val="7"/>
    <w:autoRedefine/>
    <w:qFormat/>
    <w:uiPriority w:val="3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0">
    <w:name w:val="annotation reference"/>
    <w:basedOn w:val="9"/>
    <w:autoRedefine/>
    <w:unhideWhenUsed/>
    <w:qFormat/>
    <w:uiPriority w:val="99"/>
    <w:rPr>
      <w:sz w:val="21"/>
      <w:szCs w:val="21"/>
    </w:rPr>
  </w:style>
  <w:style w:type="character" w:customStyle="1" w:styleId="11">
    <w:name w:val="页眉 字符"/>
    <w:basedOn w:val="9"/>
    <w:link w:val="5"/>
    <w:autoRedefine/>
    <w:qFormat/>
    <w:uiPriority w:val="99"/>
    <w:rPr>
      <w:kern w:val="2"/>
      <w:sz w:val="18"/>
      <w:szCs w:val="18"/>
    </w:rPr>
  </w:style>
  <w:style w:type="character" w:customStyle="1" w:styleId="12">
    <w:name w:val="页脚 字符"/>
    <w:basedOn w:val="9"/>
    <w:link w:val="4"/>
    <w:autoRedefine/>
    <w:qFormat/>
    <w:uiPriority w:val="99"/>
    <w:rPr>
      <w:kern w:val="2"/>
      <w:sz w:val="18"/>
      <w:szCs w:val="18"/>
    </w:rPr>
  </w:style>
  <w:style w:type="paragraph" w:customStyle="1" w:styleId="13">
    <w:name w:val="列出段落1"/>
    <w:basedOn w:val="1"/>
    <w:autoRedefine/>
    <w:qFormat/>
    <w:uiPriority w:val="99"/>
    <w:pPr>
      <w:ind w:firstLine="420" w:firstLineChars="200"/>
    </w:pPr>
  </w:style>
  <w:style w:type="character" w:customStyle="1" w:styleId="14">
    <w:name w:val="批注文字 字符"/>
    <w:basedOn w:val="9"/>
    <w:link w:val="2"/>
    <w:autoRedefine/>
    <w:semiHidden/>
    <w:qFormat/>
    <w:uiPriority w:val="99"/>
    <w:rPr>
      <w:kern w:val="2"/>
      <w:sz w:val="21"/>
      <w:szCs w:val="22"/>
    </w:rPr>
  </w:style>
  <w:style w:type="character" w:customStyle="1" w:styleId="15">
    <w:name w:val="批注主题 字符"/>
    <w:basedOn w:val="14"/>
    <w:link w:val="6"/>
    <w:autoRedefine/>
    <w:semiHidden/>
    <w:qFormat/>
    <w:uiPriority w:val="99"/>
    <w:rPr>
      <w:b/>
      <w:bCs/>
      <w:kern w:val="2"/>
      <w:sz w:val="21"/>
      <w:szCs w:val="22"/>
    </w:rPr>
  </w:style>
  <w:style w:type="character" w:customStyle="1" w:styleId="16">
    <w:name w:val="批注框文本 字符"/>
    <w:basedOn w:val="9"/>
    <w:link w:val="3"/>
    <w:autoRedefine/>
    <w:semiHidden/>
    <w:qFormat/>
    <w:uiPriority w:val="99"/>
    <w:rPr>
      <w:kern w:val="2"/>
      <w:sz w:val="18"/>
      <w:szCs w:val="18"/>
    </w:rPr>
  </w:style>
  <w:style w:type="paragraph" w:styleId="17">
    <w:name w:val="List Paragraph"/>
    <w:basedOn w:val="1"/>
    <w:autoRedefine/>
    <w:qFormat/>
    <w:uiPriority w:val="99"/>
    <w:pPr>
      <w:ind w:firstLine="420" w:firstLineChars="200"/>
    </w:pPr>
  </w:style>
  <w:style w:type="paragraph" w:customStyle="1" w:styleId="18">
    <w:name w:val="Revision"/>
    <w:autoRedefine/>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588</Words>
  <Characters>3356</Characters>
  <Lines>27</Lines>
  <Paragraphs>7</Paragraphs>
  <TotalTime>22</TotalTime>
  <ScaleCrop>false</ScaleCrop>
  <LinksUpToDate>false</LinksUpToDate>
  <CharactersWithSpaces>3937</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2025-06-11T04:08:00Z</dcterms:created>
  <dc:creator>Li Xiang</dc:creator>
  <cp:lastModifiedBy>谢怡凡</cp:lastModifiedBy>
  <cp:lastPrinted>2026-06-29T06:42:30Z</cp:lastPrinted>
  <dcterms:modified xsi:type="dcterms:W3CDTF">2026-06-29T06:43:39Z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E1A8CA8A852F41E698FBBC1D47AA9CC9_13</vt:lpwstr>
  </property>
</Properties>
</file>