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2580B7">
      <w:pPr>
        <w:pStyle w:val="2"/>
        <w:spacing w:before="40"/>
        <w:ind w:left="0" w:leftChars="0" w:firstLine="240" w:firstLineChars="100"/>
        <w:jc w:val="left"/>
        <w:rPr>
          <w:rFonts w:hint="default" w:eastAsia="宋体"/>
          <w:lang w:val="en-US" w:eastAsia="zh-CN"/>
        </w:rPr>
      </w:pPr>
      <w:r>
        <w:t>证券代码：</w:t>
      </w:r>
      <w:r>
        <w:rPr>
          <w:rFonts w:hint="eastAsia"/>
          <w:lang w:val="en-US" w:eastAsia="zh-CN"/>
        </w:rPr>
        <w:t>688380</w:t>
      </w:r>
      <w:r>
        <w:t xml:space="preserve"> </w:t>
      </w:r>
      <w:r>
        <w:rPr>
          <w:rFonts w:hint="eastAsia"/>
          <w:lang w:val="en-US" w:eastAsia="zh-CN"/>
        </w:rPr>
        <w:t xml:space="preserve">                                           </w:t>
      </w:r>
      <w:r>
        <w:t>证券简称：</w:t>
      </w:r>
      <w:r>
        <w:rPr>
          <w:rFonts w:hint="eastAsia"/>
          <w:lang w:val="en-US" w:eastAsia="zh-CN"/>
        </w:rPr>
        <w:t>中微半导</w:t>
      </w:r>
    </w:p>
    <w:p w14:paraId="1F057622">
      <w:pPr>
        <w:pStyle w:val="2"/>
        <w:rPr>
          <w:sz w:val="29"/>
        </w:rPr>
      </w:pPr>
    </w:p>
    <w:p w14:paraId="33664230">
      <w:pPr>
        <w:spacing w:before="54"/>
        <w:ind w:left="1943" w:right="1782" w:firstLine="0"/>
        <w:jc w:val="center"/>
        <w:rPr>
          <w:b/>
          <w:sz w:val="32"/>
        </w:rPr>
      </w:pPr>
      <w:r>
        <w:rPr>
          <w:rFonts w:hint="eastAsia"/>
          <w:b/>
          <w:sz w:val="32"/>
          <w:lang w:val="en-US" w:eastAsia="zh-CN"/>
        </w:rPr>
        <w:t>中微半导体（深圳）</w:t>
      </w:r>
      <w:r>
        <w:rPr>
          <w:b/>
          <w:sz w:val="32"/>
        </w:rPr>
        <w:t>股份有限公司</w:t>
      </w:r>
    </w:p>
    <w:p w14:paraId="1973570D">
      <w:pPr>
        <w:spacing w:before="54"/>
        <w:ind w:left="1943" w:right="1782" w:firstLine="0"/>
        <w:jc w:val="center"/>
        <w:rPr>
          <w:rFonts w:hint="default"/>
          <w:b/>
          <w:sz w:val="32"/>
          <w:lang w:val="en-US"/>
        </w:rPr>
      </w:pPr>
      <w:r>
        <w:rPr>
          <w:b/>
          <w:sz w:val="32"/>
        </w:rPr>
        <w:t>投资者关系活动记录表</w:t>
      </w:r>
      <w:r>
        <w:rPr>
          <w:b/>
          <w:w w:val="98"/>
          <w:sz w:val="32"/>
        </w:rPr>
        <w:t xml:space="preserve"> </w:t>
      </w:r>
    </w:p>
    <w:p w14:paraId="04D080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2" w:after="21"/>
        <w:ind w:left="0" w:right="0" w:firstLine="0"/>
        <w:jc w:val="center"/>
        <w:textAlignment w:val="auto"/>
        <w:rPr>
          <w:rFonts w:hint="default"/>
          <w:sz w:val="24"/>
          <w:szCs w:val="28"/>
          <w:highlight w:val="yellow"/>
          <w:lang w:val="en-US"/>
        </w:rPr>
      </w:pPr>
      <w:r>
        <w:rPr>
          <w:rFonts w:hint="eastAsia"/>
          <w:sz w:val="24"/>
          <w:szCs w:val="28"/>
          <w:highlight w:val="none"/>
          <w:lang w:val="en-US" w:eastAsia="zh-CN"/>
        </w:rPr>
        <w:t xml:space="preserve">                                                                 </w:t>
      </w:r>
      <w:r>
        <w:rPr>
          <w:sz w:val="24"/>
          <w:szCs w:val="28"/>
          <w:highlight w:val="none"/>
        </w:rPr>
        <w:t>编号</w:t>
      </w:r>
      <w:r>
        <w:rPr>
          <w:rFonts w:hint="eastAsia"/>
          <w:sz w:val="24"/>
          <w:szCs w:val="28"/>
          <w:highlight w:val="none"/>
          <w:lang w:eastAsia="zh-CN"/>
        </w:rPr>
        <w:t>：</w:t>
      </w:r>
      <w:r>
        <w:rPr>
          <w:sz w:val="24"/>
          <w:szCs w:val="28"/>
          <w:highlight w:val="none"/>
        </w:rPr>
        <w:t>202</w:t>
      </w:r>
      <w:r>
        <w:rPr>
          <w:rFonts w:hint="eastAsia"/>
          <w:sz w:val="24"/>
          <w:szCs w:val="28"/>
          <w:highlight w:val="none"/>
          <w:lang w:val="en-US" w:eastAsia="zh-CN"/>
        </w:rPr>
        <w:t>6</w:t>
      </w:r>
      <w:r>
        <w:rPr>
          <w:sz w:val="24"/>
          <w:szCs w:val="28"/>
          <w:highlight w:val="none"/>
        </w:rPr>
        <w:t>-</w:t>
      </w:r>
      <w:r>
        <w:rPr>
          <w:rFonts w:hint="eastAsia"/>
          <w:sz w:val="24"/>
          <w:szCs w:val="28"/>
          <w:highlight w:val="none"/>
          <w:lang w:val="en-US" w:eastAsia="zh-CN"/>
        </w:rPr>
        <w:t>0</w:t>
      </w:r>
      <w:r>
        <w:rPr>
          <w:rFonts w:hint="default"/>
          <w:sz w:val="24"/>
          <w:szCs w:val="28"/>
          <w:highlight w:val="none"/>
          <w:lang w:val="en-US" w:eastAsia="zh-CN"/>
        </w:rPr>
        <w:t>0</w:t>
      </w:r>
      <w:r>
        <w:rPr>
          <w:rFonts w:hint="eastAsia"/>
          <w:sz w:val="24"/>
          <w:szCs w:val="28"/>
          <w:highlight w:val="none"/>
          <w:lang w:val="en-US" w:eastAsia="zh-CN"/>
        </w:rPr>
        <w:t>7</w:t>
      </w:r>
      <w:bookmarkStart w:id="0" w:name="_GoBack"/>
      <w:bookmarkEnd w:id="0"/>
    </w:p>
    <w:tbl>
      <w:tblPr>
        <w:tblStyle w:val="4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4"/>
        <w:gridCol w:w="8220"/>
      </w:tblGrid>
      <w:tr w14:paraId="51DE1D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2" w:hRule="atLeast"/>
          <w:jc w:val="center"/>
        </w:trPr>
        <w:tc>
          <w:tcPr>
            <w:tcW w:w="1524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C30FA51">
            <w:pPr>
              <w:pStyle w:val="8"/>
              <w:spacing w:line="242" w:lineRule="auto"/>
              <w:ind w:left="0" w:leftChars="0" w:right="72" w:firstLine="0" w:firstLineChars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投资者来访类别</w:t>
            </w:r>
          </w:p>
        </w:tc>
        <w:tc>
          <w:tcPr>
            <w:tcW w:w="8220" w:type="dxa"/>
            <w:vAlign w:val="center"/>
          </w:tcPr>
          <w:p w14:paraId="786097AF">
            <w:pPr>
              <w:pStyle w:val="8"/>
              <w:numPr>
                <w:ilvl w:val="0"/>
                <w:numId w:val="0"/>
              </w:numPr>
              <w:tabs>
                <w:tab w:val="left" w:pos="390"/>
              </w:tabs>
              <w:spacing w:before="132" w:after="0" w:line="240" w:lineRule="auto"/>
              <w:ind w:right="0" w:rightChars="0" w:firstLine="236" w:firstLineChars="10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sym w:font="Wingdings 2" w:char="00A3"/>
            </w:r>
            <w:r>
              <w:rPr>
                <w:spacing w:val="-2"/>
                <w:sz w:val="24"/>
                <w:szCs w:val="24"/>
              </w:rPr>
              <w:t xml:space="preserve"> 特定对象调研 </w:t>
            </w:r>
            <w:r>
              <w:rPr>
                <w:rFonts w:hint="eastAsia"/>
                <w:spacing w:val="-2"/>
                <w:sz w:val="24"/>
                <w:szCs w:val="24"/>
                <w:lang w:val="en-US" w:eastAsia="zh-CN"/>
              </w:rPr>
              <w:t xml:space="preserve">                    </w:t>
            </w:r>
            <w:r>
              <w:rPr>
                <w:spacing w:val="-2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pacing w:val="-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分析师会议</w:t>
            </w:r>
          </w:p>
          <w:p w14:paraId="6CDE1B41">
            <w:pPr>
              <w:pStyle w:val="8"/>
              <w:spacing w:before="9"/>
              <w:ind w:left="0"/>
              <w:jc w:val="both"/>
              <w:rPr>
                <w:sz w:val="24"/>
                <w:szCs w:val="24"/>
              </w:rPr>
            </w:pPr>
          </w:p>
          <w:p w14:paraId="732BB210">
            <w:pPr>
              <w:pStyle w:val="8"/>
              <w:ind w:left="0" w:leftChars="0" w:firstLine="240" w:firstLineChars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 2" w:char="00A3"/>
            </w:r>
            <w:r>
              <w:rPr>
                <w:sz w:val="24"/>
                <w:szCs w:val="24"/>
              </w:rPr>
              <w:t xml:space="preserve"> 媒体采访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  </w:t>
            </w:r>
            <w:r>
              <w:rPr>
                <w:spacing w:val="-2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pacing w:val="-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sz w:val="24"/>
                <w:szCs w:val="24"/>
              </w:rPr>
              <w:t>业绩说明会</w:t>
            </w:r>
          </w:p>
          <w:p w14:paraId="1B424389">
            <w:pPr>
              <w:pStyle w:val="8"/>
              <w:spacing w:before="9"/>
              <w:ind w:left="0"/>
              <w:jc w:val="both"/>
              <w:rPr>
                <w:sz w:val="24"/>
                <w:szCs w:val="24"/>
              </w:rPr>
            </w:pPr>
          </w:p>
          <w:p w14:paraId="2EDC7824">
            <w:pPr>
              <w:pStyle w:val="8"/>
              <w:ind w:left="0" w:leftChars="0" w:firstLine="240" w:firstLineChars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sz w:val="24"/>
                <w:szCs w:val="24"/>
              </w:rPr>
              <w:t>新闻发布会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 </w:t>
            </w:r>
            <w:r>
              <w:rPr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sz w:val="24"/>
                <w:szCs w:val="24"/>
              </w:rPr>
              <w:t>路演活动</w:t>
            </w:r>
          </w:p>
          <w:p w14:paraId="10160FA8">
            <w:pPr>
              <w:pStyle w:val="8"/>
              <w:spacing w:before="9"/>
              <w:ind w:left="0"/>
              <w:jc w:val="both"/>
              <w:rPr>
                <w:sz w:val="24"/>
                <w:szCs w:val="24"/>
              </w:rPr>
            </w:pPr>
          </w:p>
          <w:p w14:paraId="691182BC">
            <w:pPr>
              <w:pStyle w:val="8"/>
              <w:ind w:left="0" w:leftChars="0" w:firstLine="236" w:firstLineChars="100"/>
              <w:jc w:val="both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spacing w:val="-2"/>
                <w:sz w:val="24"/>
                <w:szCs w:val="24"/>
              </w:rPr>
              <w:sym w:font="Wingdings 2" w:char="0052"/>
            </w:r>
            <w:r>
              <w:rPr>
                <w:rFonts w:hint="eastAsia"/>
                <w:spacing w:val="-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sz w:val="24"/>
                <w:szCs w:val="24"/>
              </w:rPr>
              <w:t>现场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调研                         </w:t>
            </w:r>
            <w:r>
              <w:rPr>
                <w:sz w:val="24"/>
                <w:szCs w:val="24"/>
              </w:rPr>
              <w:sym w:font="Wingdings 2" w:char="00A3"/>
            </w:r>
            <w:r>
              <w:rPr>
                <w:sz w:val="24"/>
                <w:szCs w:val="24"/>
              </w:rPr>
              <w:t xml:space="preserve"> 其他 </w:t>
            </w:r>
            <w:r>
              <w:rPr>
                <w:rFonts w:hint="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线上调研）</w:t>
            </w:r>
          </w:p>
        </w:tc>
      </w:tr>
      <w:tr w14:paraId="7220FC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8" w:hRule="atLeast"/>
          <w:jc w:val="center"/>
        </w:trPr>
        <w:tc>
          <w:tcPr>
            <w:tcW w:w="1524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8FE3DEB">
            <w:pPr>
              <w:pStyle w:val="8"/>
              <w:spacing w:before="156" w:line="242" w:lineRule="auto"/>
              <w:ind w:left="107" w:right="71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参与单位名称</w:t>
            </w:r>
          </w:p>
        </w:tc>
        <w:tc>
          <w:tcPr>
            <w:tcW w:w="8220" w:type="dxa"/>
            <w:vAlign w:val="center"/>
          </w:tcPr>
          <w:p w14:paraId="1D525856">
            <w:pPr>
              <w:pStyle w:val="8"/>
              <w:spacing w:before="156" w:line="242" w:lineRule="auto"/>
              <w:ind w:right="-29"/>
              <w:jc w:val="both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华鑫证劵、Point72、国海电子、华泰资产、景顺长城、申万电子</w:t>
            </w:r>
          </w:p>
        </w:tc>
      </w:tr>
      <w:tr w14:paraId="139FA6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  <w:jc w:val="center"/>
        </w:trPr>
        <w:tc>
          <w:tcPr>
            <w:tcW w:w="1524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1BBEB87">
            <w:pPr>
              <w:pStyle w:val="8"/>
              <w:spacing w:before="170" w:line="289" w:lineRule="exact"/>
              <w:ind w:left="107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时间</w:t>
            </w:r>
          </w:p>
        </w:tc>
        <w:tc>
          <w:tcPr>
            <w:tcW w:w="8220" w:type="dxa"/>
            <w:vAlign w:val="center"/>
          </w:tcPr>
          <w:p w14:paraId="075846D8">
            <w:pPr>
              <w:pStyle w:val="8"/>
              <w:spacing w:before="170" w:line="289" w:lineRule="exact"/>
              <w:jc w:val="both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2026</w:t>
            </w: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>6月24日、6月25日、6月26日</w:t>
            </w:r>
          </w:p>
        </w:tc>
      </w:tr>
      <w:tr w14:paraId="77F45B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  <w:jc w:val="center"/>
        </w:trPr>
        <w:tc>
          <w:tcPr>
            <w:tcW w:w="1524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9EB5C8F">
            <w:pPr>
              <w:pStyle w:val="8"/>
              <w:spacing w:before="170" w:line="289" w:lineRule="exact"/>
              <w:ind w:left="107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地点</w:t>
            </w:r>
          </w:p>
        </w:tc>
        <w:tc>
          <w:tcPr>
            <w:tcW w:w="8220" w:type="dxa"/>
            <w:vAlign w:val="center"/>
          </w:tcPr>
          <w:p w14:paraId="53186284">
            <w:pPr>
              <w:pStyle w:val="8"/>
              <w:spacing w:before="170" w:line="289" w:lineRule="exact"/>
              <w:jc w:val="both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公司</w:t>
            </w:r>
          </w:p>
        </w:tc>
      </w:tr>
      <w:tr w14:paraId="2CDEDF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  <w:jc w:val="center"/>
        </w:trPr>
        <w:tc>
          <w:tcPr>
            <w:tcW w:w="1524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8421AAF">
            <w:pPr>
              <w:pStyle w:val="8"/>
              <w:spacing w:before="60" w:line="242" w:lineRule="auto"/>
              <w:ind w:left="107" w:right="72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上市公司接待人员姓名</w:t>
            </w:r>
          </w:p>
        </w:tc>
        <w:tc>
          <w:tcPr>
            <w:tcW w:w="8220" w:type="dxa"/>
            <w:vAlign w:val="center"/>
          </w:tcPr>
          <w:p w14:paraId="0EB18801">
            <w:pPr>
              <w:pStyle w:val="8"/>
              <w:spacing w:before="170"/>
              <w:jc w:val="both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董事会秘书吴新元</w:t>
            </w:r>
          </w:p>
        </w:tc>
      </w:tr>
      <w:tr w14:paraId="421F5F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  <w:jc w:val="center"/>
        </w:trPr>
        <w:tc>
          <w:tcPr>
            <w:tcW w:w="1524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7AA6BEC">
            <w:pPr>
              <w:pStyle w:val="8"/>
              <w:spacing w:before="60" w:line="242" w:lineRule="auto"/>
              <w:ind w:left="107" w:right="72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</w:rPr>
              <w:t>投资者关系活动主要内容介绍</w:t>
            </w:r>
          </w:p>
        </w:tc>
        <w:tc>
          <w:tcPr>
            <w:tcW w:w="8220" w:type="dxa"/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 w14:paraId="6DA658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200" w:right="0" w:rightChars="0"/>
              <w:jc w:val="both"/>
              <w:textAlignment w:val="auto"/>
              <w:rPr>
                <w:rFonts w:hint="eastAsia" w:cs="宋体"/>
                <w:b w:val="0"/>
                <w:bCs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cs="宋体"/>
                <w:b w:val="0"/>
                <w:bCs w:val="0"/>
                <w:sz w:val="24"/>
                <w:szCs w:val="24"/>
                <w:lang w:val="en-US" w:eastAsia="zh-CN" w:bidi="zh-CN"/>
              </w:rPr>
              <w:t>公司介绍</w:t>
            </w:r>
          </w:p>
          <w:p w14:paraId="463837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right="0" w:rightChars="0" w:firstLine="480" w:firstLineChars="200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公司发展历程及技术布局，同学创业的公司，从应用走向设计，MCU中国之源，域名www.mcu.com.cn，坚持以MCU为核心，布局MCU周边技术，实施MCU+战略，相继发布NOR Flash的存储产品、AC-DC及DC-DC电源产品、蓝牙产品，力求为客户提供智能控制一站式整体解决方案，打造第二、第三增长曲线。在自己发布存储产品的同时，公司还收购了珠海博雅21%的股份，是从内生式发展迈出外延式发展的第一步。珠海博雅是一家存储产品设计公司，创始团队来自北大物理系，其存储产品设计与市场都具备很深的积累。</w:t>
            </w:r>
          </w:p>
          <w:p w14:paraId="034CB29F">
            <w:pPr>
              <w:numPr>
                <w:ilvl w:val="0"/>
                <w:numId w:val="0"/>
              </w:numPr>
              <w:ind w:right="0" w:rightChars="0" w:firstLine="440" w:firstLineChars="200"/>
              <w:rPr>
                <w:rFonts w:hint="default" w:ascii="仿宋" w:hAnsi="仿宋" w:eastAsia="仿宋" w:cs="仿宋"/>
                <w:lang w:val="en-US" w:eastAsia="zh-CN"/>
              </w:rPr>
            </w:pPr>
          </w:p>
          <w:p w14:paraId="00CF22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200" w:right="0" w:rightChars="0"/>
              <w:jc w:val="both"/>
              <w:textAlignment w:val="auto"/>
              <w:rPr>
                <w:rFonts w:hint="default" w:cs="宋体"/>
                <w:b w:val="0"/>
                <w:bCs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cs="宋体"/>
                <w:b w:val="0"/>
                <w:bCs w:val="0"/>
                <w:sz w:val="24"/>
                <w:szCs w:val="24"/>
                <w:lang w:val="en-US" w:eastAsia="zh-CN" w:bidi="zh-CN"/>
              </w:rPr>
              <w:t>交流问答</w:t>
            </w:r>
          </w:p>
          <w:p w14:paraId="662E9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50"/>
              <w:ind w:firstLine="480" w:firstLineChars="200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1.今年业务情况？</w:t>
            </w:r>
          </w:p>
          <w:p w14:paraId="34A492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50"/>
              <w:ind w:right="0" w:rightChars="0" w:firstLine="480" w:firstLineChars="200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答：公司当前营业收入主要还是MCU，下游消费电子、家用电器、工业控制和汽车电子，每一块业务今年均在增长，而且增长超过历史平均水平。</w:t>
            </w:r>
          </w:p>
          <w:p w14:paraId="1E46B4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50"/>
              <w:ind w:firstLine="480" w:firstLineChars="200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公司出现供应紧张的原因？</w:t>
            </w:r>
          </w:p>
          <w:p w14:paraId="113F2C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50"/>
              <w:ind w:right="0" w:rightChars="0" w:firstLine="480" w:firstLineChars="200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答：主要原因是公司产能增长的速度没赶上下游客户需求增长的速度，与历史同期相比，当前公司产能是增长的，出货量是增长的，未交货订单也是增长的。</w:t>
            </w:r>
          </w:p>
          <w:p w14:paraId="2730135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50"/>
              <w:ind w:left="0" w:leftChars="0" w:right="0" w:rightChars="0" w:firstLine="480" w:firstLineChars="200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哪些领域导致对公司产品需求增长？</w:t>
            </w:r>
          </w:p>
          <w:p w14:paraId="00EB60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50"/>
              <w:ind w:right="0" w:rightChars="0" w:firstLine="480" w:firstLineChars="200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答：首先是新兴领域对MCU的需求，无论是机器人、AI、算力、低空经济等，没有哪个领域不需要MCU。机器人的关节控制需要MCU，AI的端侧处理需要MCU，算力建设的通风降温需要MCU，低空经济飞行器需要MCU。其次，传统应用领域需求在增长，比如今年电器产品需求的增长，用油的改成用电，电磁炉、电动工具如此；大家电通过几年的深耕，今年需求开始放量。</w:t>
            </w:r>
          </w:p>
          <w:p w14:paraId="7CF26C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50"/>
              <w:ind w:left="0" w:leftChars="0" w:right="0" w:rightChars="0" w:firstLine="480" w:firstLineChars="200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请问MCU涨价的逻辑？</w:t>
            </w:r>
          </w:p>
          <w:p w14:paraId="6FE4F1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50"/>
              <w:ind w:right="0" w:rightChars="0" w:firstLine="480" w:firstLineChars="200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答：价格是供求关系决定的，MCU需求增长速度超过了MCU产能增长速度，出现供不应求，所以出现涨价。当前，MCU的产能不但没有增长，可能还有负增长，其产能被存储等产品挤压。</w:t>
            </w:r>
          </w:p>
          <w:p w14:paraId="5888C7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50"/>
              <w:ind w:right="0" w:rightChars="0" w:firstLine="480" w:firstLineChars="200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5.收入结构上有什么变化？</w:t>
            </w:r>
          </w:p>
          <w:p w14:paraId="225F8A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50"/>
              <w:ind w:right="0" w:rightChars="0" w:firstLine="480" w:firstLineChars="200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答：消费电子和家电各占35%，工业控制和汽车占30%。</w:t>
            </w:r>
          </w:p>
          <w:p w14:paraId="6F1BA7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50"/>
              <w:ind w:right="0" w:rightChars="0" w:firstLine="480" w:firstLineChars="200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6.上游交期变化？</w:t>
            </w:r>
          </w:p>
          <w:p w14:paraId="4FA794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50"/>
              <w:ind w:right="0" w:rightChars="0" w:firstLine="480" w:firstLineChars="200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答：晶圆和封测交期都在拉长。</w:t>
            </w:r>
          </w:p>
          <w:p w14:paraId="0402FB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50"/>
              <w:ind w:right="0" w:rightChars="0" w:firstLine="480" w:firstLineChars="200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7.公司产能情况？</w:t>
            </w:r>
          </w:p>
          <w:p w14:paraId="0BE5CA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50"/>
              <w:ind w:right="0" w:rightChars="0" w:firstLine="480" w:firstLineChars="200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答：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通过与多家晶圆厂合作，持续增加产能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。</w:t>
            </w:r>
          </w:p>
          <w:p w14:paraId="69F51D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50"/>
              <w:ind w:right="0" w:rightChars="0" w:firstLine="480" w:firstLineChars="200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8.公司持有电科芯片股票的原因？</w:t>
            </w:r>
          </w:p>
          <w:p w14:paraId="2A1C1E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50"/>
              <w:ind w:right="0" w:rightChars="0" w:firstLine="480" w:firstLineChars="200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答：2009年公司与重庆声光电合资成立子公司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——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中科芯亿达，该子公司在2020年被电科芯片通过发行股票收购，从而公司持有电科芯片1800多万股股票。</w:t>
            </w:r>
          </w:p>
          <w:p w14:paraId="7500F4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 w:firstLine="480" w:firstLineChars="200"/>
              <w:jc w:val="both"/>
              <w:textAlignment w:val="auto"/>
              <w:rPr>
                <w:rFonts w:hint="default" w:cs="宋体"/>
                <w:b w:val="0"/>
                <w:bCs w:val="0"/>
                <w:sz w:val="24"/>
                <w:szCs w:val="24"/>
                <w:lang w:val="en-US" w:eastAsia="zh-CN" w:bidi="zh-CN"/>
              </w:rPr>
            </w:pPr>
          </w:p>
        </w:tc>
      </w:tr>
    </w:tbl>
    <w:p w14:paraId="4E79A505">
      <w:pPr>
        <w:spacing w:before="23"/>
        <w:ind w:right="0"/>
        <w:jc w:val="left"/>
        <w:rPr>
          <w:sz w:val="21"/>
        </w:rPr>
      </w:pPr>
    </w:p>
    <w:sectPr>
      <w:pgSz w:w="11910" w:h="16840"/>
      <w:pgMar w:top="1417" w:right="1134" w:bottom="1417" w:left="1134" w:header="720" w:footer="720" w:gutter="0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3BF66C6"/>
    <w:multiLevelType w:val="singleLevel"/>
    <w:tmpl w:val="E3BF66C6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7580FB9B"/>
    <w:multiLevelType w:val="singleLevel"/>
    <w:tmpl w:val="7580FB9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21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BlMDY5ZWU5ZTU1NWY2ODBmOTlkNmNjYWI5MGJjNTAifQ=="/>
  </w:docVars>
  <w:rsids>
    <w:rsidRoot w:val="00000000"/>
    <w:rsid w:val="00FD233D"/>
    <w:rsid w:val="034E33FD"/>
    <w:rsid w:val="049B5140"/>
    <w:rsid w:val="04B97099"/>
    <w:rsid w:val="062260D2"/>
    <w:rsid w:val="06B7310D"/>
    <w:rsid w:val="0BCE5827"/>
    <w:rsid w:val="0BEA58E4"/>
    <w:rsid w:val="0DDA5BAA"/>
    <w:rsid w:val="0E561013"/>
    <w:rsid w:val="0E842633"/>
    <w:rsid w:val="103109BE"/>
    <w:rsid w:val="1047628F"/>
    <w:rsid w:val="10BF3A32"/>
    <w:rsid w:val="10CC52F7"/>
    <w:rsid w:val="140D0007"/>
    <w:rsid w:val="144018FC"/>
    <w:rsid w:val="14E46C49"/>
    <w:rsid w:val="1BA42A8E"/>
    <w:rsid w:val="1D3E4D84"/>
    <w:rsid w:val="1E491273"/>
    <w:rsid w:val="1E6B5B60"/>
    <w:rsid w:val="1F0D324E"/>
    <w:rsid w:val="204505AD"/>
    <w:rsid w:val="20E85DAE"/>
    <w:rsid w:val="23EB2FAA"/>
    <w:rsid w:val="23EE6D8C"/>
    <w:rsid w:val="24E24D18"/>
    <w:rsid w:val="24EC5A02"/>
    <w:rsid w:val="26CB631A"/>
    <w:rsid w:val="275135B6"/>
    <w:rsid w:val="28064645"/>
    <w:rsid w:val="287034F4"/>
    <w:rsid w:val="296C29CE"/>
    <w:rsid w:val="2C9E0453"/>
    <w:rsid w:val="2D0F4D53"/>
    <w:rsid w:val="2D600F4C"/>
    <w:rsid w:val="2DA05DE6"/>
    <w:rsid w:val="2DF857E7"/>
    <w:rsid w:val="2E567099"/>
    <w:rsid w:val="2ED94800"/>
    <w:rsid w:val="2F1228D8"/>
    <w:rsid w:val="302C44F1"/>
    <w:rsid w:val="32954240"/>
    <w:rsid w:val="335039CF"/>
    <w:rsid w:val="337066A2"/>
    <w:rsid w:val="33CF2630"/>
    <w:rsid w:val="36576A45"/>
    <w:rsid w:val="36CF10AF"/>
    <w:rsid w:val="37B625EF"/>
    <w:rsid w:val="380A05F1"/>
    <w:rsid w:val="38A547BD"/>
    <w:rsid w:val="39F5707E"/>
    <w:rsid w:val="3A0A3E69"/>
    <w:rsid w:val="3B073DC4"/>
    <w:rsid w:val="3B762441"/>
    <w:rsid w:val="3CC11A84"/>
    <w:rsid w:val="402D334F"/>
    <w:rsid w:val="417A669A"/>
    <w:rsid w:val="42417305"/>
    <w:rsid w:val="437368FD"/>
    <w:rsid w:val="44E37ACA"/>
    <w:rsid w:val="46DB063D"/>
    <w:rsid w:val="4B5A4F93"/>
    <w:rsid w:val="4F3A3B86"/>
    <w:rsid w:val="50374B15"/>
    <w:rsid w:val="51CD61A5"/>
    <w:rsid w:val="584529E7"/>
    <w:rsid w:val="58B36C53"/>
    <w:rsid w:val="58B91A1A"/>
    <w:rsid w:val="5C054669"/>
    <w:rsid w:val="5C7560D1"/>
    <w:rsid w:val="5E056C86"/>
    <w:rsid w:val="61AB2679"/>
    <w:rsid w:val="64360FA4"/>
    <w:rsid w:val="645218B2"/>
    <w:rsid w:val="64542A70"/>
    <w:rsid w:val="64E10284"/>
    <w:rsid w:val="65864EAB"/>
    <w:rsid w:val="65AC0BA1"/>
    <w:rsid w:val="684E7F52"/>
    <w:rsid w:val="6860573C"/>
    <w:rsid w:val="69007D35"/>
    <w:rsid w:val="69814922"/>
    <w:rsid w:val="6A8F2D01"/>
    <w:rsid w:val="6AA221E0"/>
    <w:rsid w:val="6AFE35FB"/>
    <w:rsid w:val="6BF33738"/>
    <w:rsid w:val="6BFF7765"/>
    <w:rsid w:val="6C060AF4"/>
    <w:rsid w:val="6E3A2CD6"/>
    <w:rsid w:val="6E5114E1"/>
    <w:rsid w:val="6F441EB0"/>
    <w:rsid w:val="6F800BBD"/>
    <w:rsid w:val="6F8659FF"/>
    <w:rsid w:val="6FD3643D"/>
    <w:rsid w:val="70852816"/>
    <w:rsid w:val="73187DD2"/>
    <w:rsid w:val="73BF77DA"/>
    <w:rsid w:val="78471C35"/>
    <w:rsid w:val="79213DD0"/>
    <w:rsid w:val="7A117945"/>
    <w:rsid w:val="7BC17493"/>
    <w:rsid w:val="7C943EFA"/>
    <w:rsid w:val="7D2045FF"/>
    <w:rsid w:val="7E652935"/>
    <w:rsid w:val="7F0A225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1"/>
    <w:pPr>
      <w:spacing w:before="6"/>
    </w:pPr>
    <w:rPr>
      <w:rFonts w:ascii="宋体" w:hAnsi="宋体" w:eastAsia="宋体" w:cs="宋体"/>
      <w:sz w:val="24"/>
      <w:szCs w:val="24"/>
      <w:lang w:val="zh-CN" w:eastAsia="zh-CN" w:bidi="zh-CN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autoRedefine/>
    <w:qFormat/>
    <w:uiPriority w:val="1"/>
    <w:rPr>
      <w:lang w:val="zh-CN" w:eastAsia="zh-CN" w:bidi="zh-CN"/>
    </w:rPr>
  </w:style>
  <w:style w:type="paragraph" w:customStyle="1" w:styleId="8">
    <w:name w:val="Table Paragraph"/>
    <w:basedOn w:val="1"/>
    <w:autoRedefine/>
    <w:qFormat/>
    <w:uiPriority w:val="1"/>
    <w:pPr>
      <w:ind w:left="108"/>
    </w:pPr>
    <w:rPr>
      <w:rFonts w:ascii="宋体" w:hAnsi="宋体" w:eastAsia="宋体" w:cs="宋体"/>
      <w:lang w:val="zh-CN" w:eastAsia="zh-CN" w:bidi="zh-CN"/>
    </w:rPr>
  </w:style>
  <w:style w:type="paragraph" w:customStyle="1" w:styleId="9">
    <w:name w:val="1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lang w:val="en-US" w:eastAsia="zh-CN" w:bidi="ar-SA"/>
    </w:rPr>
  </w:style>
  <w:style w:type="paragraph" w:customStyle="1" w:styleId="10">
    <w:name w:val="正文5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986</Words>
  <Characters>1089</Characters>
  <TotalTime>12</TotalTime>
  <ScaleCrop>false</ScaleCrop>
  <LinksUpToDate>false</LinksUpToDate>
  <CharactersWithSpaces>1303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2022-08-11T01:07:00Z</dcterms:created>
  <dc:creator>XIONG</dc:creator>
  <cp:lastModifiedBy>董秘办</cp:lastModifiedBy>
  <cp:lastPrinted>2022-09-29T09:35:00Z</cp:lastPrinted>
  <dcterms:modified xsi:type="dcterms:W3CDTF">2026-06-26T09:28:56Z</dcterms:modified>
  <dc:title>证券代码：300327                      证券简称：中颖电子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2022-08-11T00:00:00Z</vt:filetime>
  </property>
  <property fmtid="{D5CDD505-2E9C-101B-9397-08002B2CF9AE}" pid="5" name="KSOProductBuildVer">
    <vt:lpwstr>2052-12.1.0.26895</vt:lpwstr>
  </property>
  <property fmtid="{D5CDD505-2E9C-101B-9397-08002B2CF9AE}" pid="6" name="ICV">
    <vt:lpwstr>BD49C2353EA441B5AED08B55346F2F1B_13</vt:lpwstr>
  </property>
  <property fmtid="{D5CDD505-2E9C-101B-9397-08002B2CF9AE}" pid="7" name="KSOTemplateDocerSaveRecord">
    <vt:lpwstr>eyJoZGlkIjoiMThmYzhlYWI0OTY1NmNiZjMzMWE5ODgyNGM3NDZhMzIiLCJ1c2VySWQiOiIyNDk3MTA2NDYifQ==</vt:lpwstr>
  </property>
</Properties>
</file>