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BEBD3">
      <w:pPr>
        <w:keepNext/>
        <w:keepLines/>
        <w:spacing w:before="260" w:after="260" w:line="360" w:lineRule="auto"/>
        <w:jc w:val="center"/>
        <w:outlineLvl w:val="1"/>
        <w:rPr>
          <w:rFonts w:ascii="Times New Roman" w:hAnsi="Times New Roman" w:cs="Times New Roman"/>
          <w:b/>
          <w:bCs/>
          <w:iCs/>
          <w:sz w:val="24"/>
        </w:rPr>
      </w:pPr>
      <w:r>
        <w:rPr>
          <w:rFonts w:hint="eastAsia" w:ascii="Times New Roman" w:hAnsi="Times New Roman" w:eastAsia="宋体" w:cs="Times New Roman"/>
          <w:b/>
          <w:bCs/>
          <w:iCs/>
          <w:sz w:val="24"/>
          <w:lang w:bidi="ar"/>
        </w:rPr>
        <w:t>证券简称：莱特光电</w:t>
      </w:r>
      <w:r>
        <w:rPr>
          <w:rFonts w:ascii="Times New Roman" w:hAnsi="Times New Roman" w:eastAsia="宋体" w:cs="Times New Roman"/>
          <w:b/>
          <w:bCs/>
          <w:iCs/>
          <w:sz w:val="24"/>
          <w:lang w:bidi="ar"/>
        </w:rPr>
        <w:t xml:space="preserve">                                      </w:t>
      </w:r>
      <w:r>
        <w:rPr>
          <w:rFonts w:hint="eastAsia" w:ascii="Times New Roman" w:hAnsi="Times New Roman" w:eastAsia="宋体" w:cs="Times New Roman"/>
          <w:b/>
          <w:bCs/>
          <w:iCs/>
          <w:sz w:val="24"/>
          <w:lang w:bidi="ar"/>
        </w:rPr>
        <w:t>证券代码：</w:t>
      </w:r>
      <w:r>
        <w:rPr>
          <w:rFonts w:ascii="Times New Roman" w:hAnsi="Times New Roman" w:eastAsia="宋体" w:cs="Times New Roman"/>
          <w:b/>
          <w:bCs/>
          <w:iCs/>
          <w:sz w:val="24"/>
          <w:lang w:bidi="ar"/>
        </w:rPr>
        <w:t>688150</w:t>
      </w:r>
    </w:p>
    <w:p w14:paraId="5C0ED973">
      <w:pPr>
        <w:keepNext/>
        <w:keepLines/>
        <w:spacing w:before="156" w:beforeLines="50" w:after="156" w:afterLines="50" w:line="360" w:lineRule="auto"/>
        <w:jc w:val="center"/>
        <w:outlineLvl w:val="1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bidi="ar"/>
        </w:rPr>
        <w:t>陕西莱特光电材料股份有限公司</w:t>
      </w:r>
    </w:p>
    <w:p w14:paraId="4BE72FEF">
      <w:pPr>
        <w:keepNext/>
        <w:keepLines/>
        <w:spacing w:before="156" w:beforeLines="50" w:after="156" w:afterLines="50" w:line="360" w:lineRule="auto"/>
        <w:jc w:val="center"/>
        <w:outlineLvl w:val="1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bidi="ar"/>
        </w:rPr>
        <w:t>投资者关系活动记录表</w:t>
      </w:r>
    </w:p>
    <w:p w14:paraId="00A6509C">
      <w:pPr>
        <w:keepNext/>
        <w:keepLines/>
        <w:spacing w:before="260" w:after="260" w:line="360" w:lineRule="auto"/>
        <w:jc w:val="right"/>
        <w:outlineLvl w:val="1"/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bidi="ar"/>
        </w:rPr>
        <w:t>编号：</w:t>
      </w:r>
      <w:r>
        <w:rPr>
          <w:rFonts w:ascii="Times New Roman" w:hAnsi="Times New Roman" w:eastAsia="宋体" w:cs="Times New Roman"/>
          <w:b/>
          <w:bCs/>
          <w:sz w:val="24"/>
          <w:lang w:bidi="ar"/>
        </w:rPr>
        <w:t>202</w:t>
      </w:r>
      <w:r>
        <w:rPr>
          <w:rFonts w:hint="eastAsia" w:ascii="Times New Roman" w:hAnsi="Times New Roman" w:eastAsia="宋体" w:cs="Times New Roman"/>
          <w:b/>
          <w:bCs/>
          <w:sz w:val="24"/>
          <w:lang w:bidi="ar"/>
        </w:rPr>
        <w:t>6</w:t>
      </w:r>
      <w:r>
        <w:rPr>
          <w:rFonts w:ascii="Times New Roman" w:hAnsi="Times New Roman" w:eastAsia="宋体" w:cs="Times New Roman"/>
          <w:b/>
          <w:bCs/>
          <w:sz w:val="24"/>
          <w:lang w:bidi="ar"/>
        </w:rPr>
        <w:t>-</w:t>
      </w:r>
      <w:r>
        <w:rPr>
          <w:rFonts w:hint="eastAsia" w:ascii="Times New Roman" w:hAnsi="Times New Roman" w:eastAsia="宋体" w:cs="Times New Roman"/>
          <w:b/>
          <w:bCs/>
          <w:sz w:val="24"/>
          <w:lang w:bidi="ar"/>
        </w:rPr>
        <w:t>00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 w:bidi="ar"/>
        </w:rPr>
        <w:t>4</w:t>
      </w:r>
    </w:p>
    <w:tbl>
      <w:tblPr>
        <w:tblStyle w:val="7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8160"/>
      </w:tblGrid>
      <w:tr w14:paraId="2E10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0807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sz w:val="24"/>
                <w:lang w:bidi="ar"/>
              </w:rPr>
              <w:t>投资者关系活动类别</w:t>
            </w:r>
          </w:p>
        </w:tc>
        <w:tc>
          <w:tcPr>
            <w:tcW w:w="8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85CD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Wingdings 2" w:hAnsi="Wingdings 2" w:eastAsia="Wingdings 2" w:cs="Times New Roman"/>
                <w:sz w:val="24"/>
                <w:szCs w:val="22"/>
                <w:lang w:bidi="ar"/>
              </w:rPr>
              <w:sym w:font="Wingdings 2" w:char="0052"/>
            </w:r>
            <w:r>
              <w:rPr>
                <w:rFonts w:hint="eastAsia" w:ascii="Wingdings 2" w:hAnsi="Wingdings 2" w:eastAsia="宋体" w:cs="Times New Roman"/>
                <w:sz w:val="24"/>
                <w:lang w:bidi="ar"/>
              </w:rPr>
              <w:t>特定</w:t>
            </w:r>
            <w:r>
              <w:rPr>
                <w:rFonts w:hint="eastAsia" w:ascii="Times New Roman" w:hAnsi="Times New Roman" w:eastAsia="宋体" w:cs="Times New Roman"/>
                <w:sz w:val="24"/>
                <w:lang w:bidi="ar"/>
              </w:rPr>
              <w:t>对象调研</w:t>
            </w:r>
            <w:r>
              <w:rPr>
                <w:rFonts w:ascii="Times New Roman" w:hAnsi="Times New Roman" w:eastAsia="宋体" w:cs="Times New Roman"/>
                <w:sz w:val="24"/>
                <w:lang w:bidi="ar"/>
              </w:rPr>
              <w:t xml:space="preserve">          </w:t>
            </w:r>
            <w:r>
              <w:rPr>
                <w:rFonts w:ascii="Wingdings 2" w:hAnsi="Wingdings 2" w:eastAsia="Wingdings 2" w:cs="Times New Roman"/>
                <w:sz w:val="24"/>
                <w:szCs w:val="22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lang w:bidi="ar"/>
              </w:rPr>
              <w:t>分析师会议</w:t>
            </w:r>
            <w:r>
              <w:rPr>
                <w:rFonts w:ascii="Times New Roman" w:hAnsi="Times New Roman" w:eastAsia="宋体" w:cs="Times New Roman"/>
                <w:bCs/>
                <w:iCs/>
                <w:sz w:val="24"/>
                <w:lang w:bidi="ar"/>
              </w:rPr>
              <w:t xml:space="preserve">          </w:t>
            </w:r>
            <w:r>
              <w:rPr>
                <w:rFonts w:ascii="Wingdings 2" w:hAnsi="Wingdings 2" w:eastAsia="Wingdings 2" w:cs="Times New Roman"/>
                <w:sz w:val="24"/>
                <w:szCs w:val="22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lang w:bidi="ar"/>
              </w:rPr>
              <w:t>媒体采访</w:t>
            </w:r>
            <w:r>
              <w:rPr>
                <w:rFonts w:ascii="Times New Roman" w:hAnsi="Times New Roman" w:eastAsia="宋体" w:cs="Times New Roman"/>
                <w:sz w:val="24"/>
                <w:lang w:bidi="ar"/>
              </w:rPr>
              <w:br w:type="textWrapping"/>
            </w:r>
            <w:r>
              <w:rPr>
                <w:rFonts w:ascii="Wingdings 2" w:hAnsi="Wingdings 2" w:eastAsia="Wingdings 2" w:cs="Times New Roman"/>
                <w:sz w:val="24"/>
                <w:szCs w:val="22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lang w:bidi="ar"/>
              </w:rPr>
              <w:t>业绩说明会</w:t>
            </w:r>
            <w:r>
              <w:rPr>
                <w:rFonts w:ascii="Times New Roman" w:hAnsi="Times New Roman" w:eastAsia="宋体" w:cs="Times New Roman"/>
                <w:bCs/>
                <w:iCs/>
                <w:sz w:val="24"/>
                <w:lang w:bidi="ar"/>
              </w:rPr>
              <w:t xml:space="preserve">           </w:t>
            </w:r>
            <w:bookmarkStart w:id="0" w:name="OLE_LINK9"/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lang w:val="en-US" w:eastAsia="zh-CN" w:bidi="ar"/>
              </w:rPr>
              <w:t xml:space="preserve"> </w:t>
            </w:r>
            <w:r>
              <w:rPr>
                <w:rFonts w:ascii="Wingdings 2" w:hAnsi="Wingdings 2" w:eastAsia="Wingdings 2" w:cs="Times New Roman"/>
                <w:sz w:val="24"/>
                <w:szCs w:val="22"/>
                <w:lang w:bidi="ar"/>
              </w:rPr>
              <w:sym w:font="Wingdings 2" w:char="00A3"/>
            </w:r>
            <w:bookmarkEnd w:id="0"/>
            <w:r>
              <w:rPr>
                <w:rFonts w:hint="eastAsia" w:ascii="Times New Roman" w:hAnsi="Times New Roman" w:eastAsia="宋体" w:cs="Times New Roman"/>
                <w:sz w:val="24"/>
                <w:lang w:bidi="ar"/>
              </w:rPr>
              <w:t>新闻发布会</w:t>
            </w:r>
            <w:r>
              <w:rPr>
                <w:rFonts w:ascii="Times New Roman" w:hAnsi="Times New Roman" w:eastAsia="宋体" w:cs="Times New Roman"/>
                <w:sz w:val="24"/>
                <w:lang w:bidi="ar"/>
              </w:rPr>
              <w:t xml:space="preserve">          </w:t>
            </w:r>
            <w:r>
              <w:rPr>
                <w:rFonts w:ascii="Wingdings 2" w:hAnsi="Wingdings 2" w:eastAsia="Wingdings 2" w:cs="Times New Roman"/>
                <w:sz w:val="24"/>
                <w:szCs w:val="22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lang w:bidi="ar"/>
              </w:rPr>
              <w:t>路演活动</w:t>
            </w:r>
          </w:p>
          <w:p w14:paraId="407AAC8C">
            <w:pPr>
              <w:tabs>
                <w:tab w:val="left" w:pos="2690"/>
                <w:tab w:val="center" w:pos="3199"/>
              </w:tabs>
              <w:spacing w:line="360" w:lineRule="auto"/>
              <w:jc w:val="left"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Wingdings 2" w:hAnsi="Wingdings 2" w:eastAsia="Wingdings 2" w:cs="Times New Roman"/>
                <w:sz w:val="24"/>
                <w:szCs w:val="22"/>
                <w:lang w:bidi="ar"/>
              </w:rPr>
              <w:sym w:font="Wingdings 2" w:char="0052"/>
            </w:r>
            <w:r>
              <w:rPr>
                <w:rFonts w:hint="eastAsia" w:ascii="Wingdings 2" w:hAnsi="Wingdings 2" w:eastAsia="宋体" w:cs="Times New Roman"/>
                <w:sz w:val="24"/>
                <w:lang w:bidi="ar"/>
              </w:rPr>
              <w:t>现</w:t>
            </w:r>
            <w:r>
              <w:rPr>
                <w:rFonts w:hint="eastAsia" w:ascii="Times New Roman" w:hAnsi="Times New Roman" w:eastAsia="宋体" w:cs="Times New Roman"/>
                <w:sz w:val="24"/>
                <w:lang w:bidi="ar"/>
              </w:rPr>
              <w:t>场参观</w:t>
            </w:r>
            <w:r>
              <w:rPr>
                <w:rFonts w:ascii="Times New Roman" w:hAnsi="Times New Roman" w:eastAsia="宋体" w:cs="Times New Roman"/>
                <w:sz w:val="24"/>
                <w:lang w:bidi="ar"/>
              </w:rPr>
              <w:t xml:space="preserve">              </w:t>
            </w:r>
            <w:r>
              <w:rPr>
                <w:rFonts w:ascii="Wingdings 2" w:hAnsi="Wingdings 2" w:eastAsia="Wingdings 2" w:cs="Times New Roman"/>
                <w:sz w:val="24"/>
                <w:szCs w:val="22"/>
                <w:lang w:bidi="ar"/>
              </w:rPr>
              <w:sym w:font="Wingdings 2" w:char="00A3"/>
            </w:r>
            <w:r>
              <w:rPr>
                <w:rFonts w:hint="eastAsia" w:ascii="Wingdings 2" w:hAnsi="Wingdings 2" w:eastAsia="宋体" w:cs="Times New Roman"/>
                <w:sz w:val="24"/>
                <w:lang w:bidi="ar"/>
              </w:rPr>
              <w:t>电话会议</w:t>
            </w:r>
            <w:r>
              <w:rPr>
                <w:rFonts w:ascii="Times New Roman" w:hAnsi="Times New Roman" w:eastAsia="宋体" w:cs="Times New Roman"/>
                <w:bCs/>
                <w:iCs/>
                <w:sz w:val="24"/>
                <w:lang w:bidi="ar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lang w:bidi="ar"/>
              </w:rPr>
              <w:t xml:space="preserve"> </w:t>
            </w:r>
            <w:r>
              <w:rPr>
                <w:rFonts w:ascii="Wingdings 2" w:hAnsi="Wingdings 2" w:eastAsia="Wingdings 2" w:cs="Wingdings 2"/>
                <w:bCs/>
                <w:iCs/>
                <w:sz w:val="24"/>
                <w:lang w:bidi="ar"/>
              </w:rPr>
              <w:t></w:t>
            </w:r>
            <w:r>
              <w:rPr>
                <w:rFonts w:ascii="Wingdings 2" w:hAnsi="Wingdings 2" w:eastAsia="Wingdings 2" w:cs="Times New Roman"/>
                <w:sz w:val="24"/>
                <w:szCs w:val="22"/>
                <w:lang w:bidi="ar"/>
              </w:rPr>
              <w:sym w:font="Wingdings 2" w:char="00A3"/>
            </w:r>
            <w:r>
              <w:rPr>
                <w:rFonts w:hint="eastAsia" w:ascii="Wingdings 2" w:hAnsi="Wingdings 2" w:eastAsia="宋体" w:cs="Wingdings 2"/>
                <w:sz w:val="24"/>
                <w:szCs w:val="22"/>
                <w:lang w:bidi="ar"/>
              </w:rPr>
              <w:t>其他</w:t>
            </w:r>
            <w:r>
              <w:rPr>
                <w:rFonts w:ascii="Wingdings 2" w:hAnsi="Wingdings 2" w:eastAsia="Wingdings 2" w:cs="Wingdings 2"/>
                <w:sz w:val="24"/>
                <w:szCs w:val="22"/>
                <w:u w:val="single"/>
                <w:lang w:bidi="ar"/>
              </w:rPr>
              <w:t></w:t>
            </w:r>
          </w:p>
        </w:tc>
      </w:tr>
      <w:tr w14:paraId="47896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70C74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lang w:bidi="ar"/>
              </w:rPr>
              <w:t>参与单位名称及人员姓名</w:t>
            </w:r>
          </w:p>
        </w:tc>
        <w:tc>
          <w:tcPr>
            <w:tcW w:w="8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7C303">
            <w:pPr>
              <w:tabs>
                <w:tab w:val="center" w:pos="2798"/>
              </w:tabs>
              <w:spacing w:line="360" w:lineRule="auto"/>
              <w:jc w:val="left"/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  <w:t>西部证券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val="en-US" w:eastAsia="zh-CN" w:bidi="ar"/>
              </w:rPr>
              <w:t>--上交所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  <w:t>“我是股东”实地调研投教活动</w:t>
            </w:r>
          </w:p>
          <w:p w14:paraId="6725F8F6">
            <w:pPr>
              <w:tabs>
                <w:tab w:val="center" w:pos="2798"/>
              </w:tabs>
              <w:spacing w:line="360" w:lineRule="auto"/>
              <w:jc w:val="left"/>
              <w:rPr>
                <w:rFonts w:hint="eastAsia" w:ascii="Times New Roman" w:hAnsi="Times New Roman" w:cs="Times New Roman" w:eastAsiaTheme="minorEastAsia"/>
                <w:bCs/>
                <w:iCs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24"/>
                <w:lang w:val="en-US" w:eastAsia="zh-CN" w:bidi="ar"/>
              </w:rPr>
              <w:t>财联社--《做多中国行》</w:t>
            </w:r>
          </w:p>
        </w:tc>
      </w:tr>
      <w:tr w14:paraId="107D2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E9C3C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lang w:bidi="ar"/>
              </w:rPr>
              <w:t>会议时间</w:t>
            </w:r>
          </w:p>
        </w:tc>
        <w:tc>
          <w:tcPr>
            <w:tcW w:w="8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F312F">
            <w:pPr>
              <w:spacing w:line="360" w:lineRule="auto"/>
              <w:rPr>
                <w:rFonts w:hint="eastAsia" w:ascii="Times New Roman" w:hAnsi="Times New Roman" w:cs="Times New Roman" w:eastAsiaTheme="minorEastAsia"/>
                <w:bCs/>
                <w:iCs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bidi="ar"/>
              </w:rPr>
              <w:t>202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  <w:t>6</w:t>
            </w:r>
            <w:r>
              <w:rPr>
                <w:rFonts w:ascii="Times New Roman" w:hAnsi="Times New Roman" w:cs="Times New Roman"/>
                <w:bCs/>
                <w:iCs/>
                <w:sz w:val="24"/>
                <w:lang w:bidi="ar"/>
              </w:rPr>
              <w:t>年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  <w:t>月2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  <w:t>日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val="en-US" w:eastAsia="zh-CN" w:bidi="ar"/>
              </w:rPr>
              <w:t>及6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  <w:t>月2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  <w:t>日</w:t>
            </w:r>
          </w:p>
        </w:tc>
      </w:tr>
      <w:tr w14:paraId="46E30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48884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lang w:bidi="ar"/>
              </w:rPr>
              <w:t>会议地点</w:t>
            </w:r>
          </w:p>
        </w:tc>
        <w:tc>
          <w:tcPr>
            <w:tcW w:w="8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0D48C">
            <w:pPr>
              <w:spacing w:line="360" w:lineRule="auto"/>
              <w:rPr>
                <w:rFonts w:hint="default" w:ascii="Times New Roman" w:hAnsi="Times New Roman" w:cs="Times New Roman" w:eastAsiaTheme="minorEastAsia"/>
                <w:bCs/>
                <w:i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24"/>
                <w:lang w:val="en-US" w:eastAsia="zh-CN" w:bidi="ar"/>
              </w:rPr>
              <w:t>陕西莱特光电材料股份有限公司会议室</w:t>
            </w:r>
          </w:p>
        </w:tc>
      </w:tr>
      <w:tr w14:paraId="5F1C0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F7CB7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lang w:bidi="ar"/>
              </w:rPr>
              <w:t>上市公司接待人员姓名</w:t>
            </w:r>
          </w:p>
        </w:tc>
        <w:tc>
          <w:tcPr>
            <w:tcW w:w="8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082E5">
            <w:pPr>
              <w:spacing w:line="360" w:lineRule="auto"/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  <w:t>副总经理：薛震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val="en-US" w:eastAsia="zh-CN" w:bidi="ar"/>
              </w:rPr>
              <w:t xml:space="preserve">                 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  <w:t xml:space="preserve">副总经理：孙占义        </w:t>
            </w:r>
          </w:p>
          <w:p w14:paraId="5A420AF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  <w:t>研发总工程师：冯震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val="en-US" w:eastAsia="zh-CN" w:bidi="ar"/>
              </w:rPr>
              <w:t xml:space="preserve">             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  <w:t xml:space="preserve">董事会秘书：潘香婷       </w:t>
            </w:r>
          </w:p>
          <w:p w14:paraId="540DB609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lang w:bidi="ar"/>
              </w:rPr>
            </w:pPr>
            <w:r>
              <w:rPr>
                <w:rFonts w:ascii="monospace" w:hAnsi="monospace" w:eastAsia="monospace" w:cs="monospace"/>
                <w:sz w:val="24"/>
                <w:shd w:val="clear" w:color="auto" w:fill="FFFFFF"/>
              </w:rPr>
              <w:t>投资者关系总监</w:t>
            </w:r>
            <w:r>
              <w:rPr>
                <w:rFonts w:hint="eastAsia" w:ascii="monospace" w:hAnsi="monospace" w:eastAsia="宋体" w:cs="monospace"/>
                <w:sz w:val="24"/>
                <w:shd w:val="clear" w:color="auto" w:fill="FFFFFF"/>
              </w:rPr>
              <w:t>：</w:t>
            </w:r>
            <w:r>
              <w:rPr>
                <w:rFonts w:ascii="monospace" w:hAnsi="monospace" w:eastAsia="monospace" w:cs="monospace"/>
                <w:sz w:val="24"/>
                <w:shd w:val="clear" w:color="auto" w:fill="FFFFFF"/>
              </w:rPr>
              <w:t>周立汉</w:t>
            </w:r>
          </w:p>
        </w:tc>
      </w:tr>
      <w:tr w14:paraId="48414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2EBE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lang w:bidi="ar"/>
              </w:rPr>
              <w:t>投资者关系活动主要内容介绍</w:t>
            </w:r>
          </w:p>
        </w:tc>
        <w:tc>
          <w:tcPr>
            <w:tcW w:w="8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7E40D">
            <w:pPr>
              <w:widowControl/>
              <w:spacing w:before="50" w:line="360" w:lineRule="auto"/>
              <w:ind w:firstLine="422" w:firstLineChars="200"/>
              <w:rPr>
                <w:rFonts w:ascii="Times New Roman" w:hAnsi="Times New Roman" w:eastAsia="宋体" w:cs="Times New Roman"/>
                <w:b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  <w:lang w:bidi="ar"/>
              </w:rPr>
              <w:t>问题1：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bidi="ar"/>
              </w:rPr>
              <w:t>公司OLED发光材料进展情况？</w:t>
            </w:r>
          </w:p>
          <w:p w14:paraId="11FC382B">
            <w:pPr>
              <w:widowControl/>
              <w:spacing w:before="50" w:line="360" w:lineRule="auto"/>
              <w:ind w:firstLine="420" w:firstLineChars="200"/>
              <w:rPr>
                <w:rFonts w:ascii="Times New Roman" w:hAnsi="Times New Roman" w:eastAsia="宋体" w:cs="Times New Roman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答：公司持续推进OLED有机材料产品的系列化与多样化布局，着力打造差异化竞争优势，推动客户结构与产品矩阵协同优化，进一步巩固行业领先地位。具体来看，公司Red Prime材料与Green Host材料稳定量产供应并持续迭代升级；Red Host材料已从小批量供货阶段稳步迈入规模化销售阶段；Green Prime材料已完成客户量产测试并进入量产阶段；蓝光系列材料及CGL材料正处于客户验证加速期，力争早日实现量产突破，丰富产品供给。</w:t>
            </w:r>
          </w:p>
          <w:p w14:paraId="4739AC80">
            <w:pPr>
              <w:widowControl/>
              <w:spacing w:before="50" w:line="360" w:lineRule="auto"/>
              <w:ind w:firstLine="422" w:firstLineChars="200"/>
              <w:rPr>
                <w:rFonts w:ascii="Times New Roman" w:hAnsi="Times New Roman" w:eastAsia="宋体" w:cs="Times New Roman"/>
                <w:b/>
                <w:szCs w:val="21"/>
                <w:lang w:bidi="ar"/>
              </w:rPr>
            </w:pPr>
            <w:bookmarkStart w:id="1" w:name="OLE_LINK11"/>
            <w:bookmarkStart w:id="2" w:name="OLE_LINK10"/>
            <w:bookmarkStart w:id="3" w:name="OLE_LINK5"/>
            <w:bookmarkStart w:id="4" w:name="OLE_LINK6"/>
            <w:r>
              <w:rPr>
                <w:rFonts w:ascii="Times New Roman" w:hAnsi="Times New Roman" w:eastAsia="宋体" w:cs="Times New Roman"/>
                <w:b/>
                <w:szCs w:val="21"/>
                <w:lang w:bidi="ar"/>
              </w:rPr>
              <w:t>问题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 w:bidi="ar"/>
              </w:rPr>
              <w:t>2</w:t>
            </w:r>
            <w:r>
              <w:rPr>
                <w:rFonts w:ascii="Times New Roman" w:hAnsi="Times New Roman" w:eastAsia="宋体" w:cs="Times New Roman"/>
                <w:b/>
                <w:szCs w:val="21"/>
                <w:lang w:bidi="ar"/>
              </w:rPr>
              <w:t>：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bidi="ar"/>
              </w:rPr>
              <w:t>公司在OLED前沿技术领域的布局情况如何？</w:t>
            </w:r>
          </w:p>
          <w:p w14:paraId="33708FF5">
            <w:pPr>
              <w:widowControl/>
              <w:spacing w:before="50" w:line="360" w:lineRule="auto"/>
              <w:ind w:firstLine="420" w:firstLineChars="200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答：公司密切跟踪行业技术演进趋势，持续加大对叠层器件连接层（CGL）材料、蓝色磷光材料、窄光谱高色域MR-TADF材料等前沿方向的研发投入，助力产业链自主可控与创新发展。目前，公司已有叠层器件连接层CGL材料在客户端验证测试，进展良好。此外，公司前瞻性布局OLED蓝色磷光材料的分子结构开发，并与核心客户开展联合技术攻关，累计申请蓝色磷光技术相关专利数十项，构建了较为完善的知识产权体系，为公司在OLED蓝色磷光材料领域的持续技术创新与长远发展奠定了坚实基础。同时，公司将高色域显示材料作为核心技术方向之一，重点布局敏化高色域技术与多重共振TADF（MR-TADF）材料研发，在窄光谱、高效率、长寿命的高色域材料开发方面取得阶段性成果，相关材料可显著提升OLED器件色域覆盖与色纯度表现。</w:t>
            </w:r>
          </w:p>
          <w:p w14:paraId="626F3562">
            <w:pPr>
              <w:widowControl/>
              <w:spacing w:before="50" w:line="360" w:lineRule="auto"/>
              <w:ind w:firstLine="422" w:firstLineChars="200"/>
              <w:rPr>
                <w:rFonts w:ascii="Times New Roman" w:hAnsi="Times New Roman" w:eastAsia="宋体" w:cs="Times New Roman"/>
                <w:b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  <w:lang w:bidi="ar"/>
              </w:rPr>
              <w:t>问题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bidi="ar"/>
              </w:rPr>
              <w:t>：公司Q布业务进展如何？</w:t>
            </w:r>
          </w:p>
          <w:p w14:paraId="0AF0DF7E">
            <w:pPr>
              <w:widowControl/>
              <w:spacing w:before="50" w:line="360" w:lineRule="auto"/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答：Q布业务正处于产能建设阶段，各项工作按计划有序推进。厂房建设加速施工，预计三季度实现封顶；核心生产设备已悉数完成采购，预计三季度将迎来首批设备交付安装，为规模化产能释放构筑可靠基础。现阶段已利用现有厂房搭建中试线，中试线运行情况良好，各项指标符合内测预期，正抢抓进度推进正式客户送样筹备。团队方面也提前完成生产人员配置与培训道场，全方位保障项目落地。项目各关键节点高效推进，正全力提速正式客户送样工作。Q布业务尚未产生销售收入，短期内不会对公司经营业绩构成重大影响。</w:t>
            </w:r>
          </w:p>
          <w:p w14:paraId="00882BAD">
            <w:pPr>
              <w:widowControl/>
              <w:spacing w:before="50" w:line="360" w:lineRule="auto"/>
              <w:ind w:firstLine="422" w:firstLineChars="200"/>
              <w:rPr>
                <w:rFonts w:ascii="Times New Roman" w:hAnsi="Times New Roman" w:eastAsia="宋体" w:cs="Times New Roman"/>
                <w:b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  <w:lang w:bidi="ar"/>
              </w:rPr>
              <w:t>问题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 w:bidi="ar"/>
              </w:rPr>
              <w:t>4</w:t>
            </w:r>
            <w:r>
              <w:rPr>
                <w:rFonts w:ascii="Times New Roman" w:hAnsi="Times New Roman" w:eastAsia="宋体" w:cs="Times New Roman"/>
                <w:b/>
                <w:szCs w:val="21"/>
                <w:lang w:bidi="ar"/>
              </w:rPr>
              <w:t>：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bidi="ar"/>
              </w:rPr>
              <w:t>请公司介绍一下钙钛矿材料项目的最新进展情况。</w:t>
            </w:r>
          </w:p>
          <w:bookmarkEnd w:id="1"/>
          <w:bookmarkEnd w:id="2"/>
          <w:p w14:paraId="25919498">
            <w:pPr>
              <w:spacing w:before="50" w:line="360" w:lineRule="auto"/>
              <w:ind w:firstLine="420" w:firstLineChars="200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bookmarkStart w:id="5" w:name="OLE_LINK7"/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答：公司钙钛矿材料项目围绕材料研发、客户协同、知识产权布局与团队建设等多维度稳步推进，重点针对钙钛矿前驱体材料、缺陷调控添加剂、SAM材料、传输层材料等关键方向开展系统性攻关。目前有两款SAM材料通过客户小试验证，正在开展中试验证中；多款前驱体材料在客户端进行小试验证。产学研合作方面，公司持续深化与高校及科研机构的协同创新，加速技术突破与成果转化。客户协同方面，公司已与具备领先技术的钙钛矿光伏企业仁烁光能达成战略合作，在钙钛矿研发线/中试线技术服务、SAM、钙钛矿前驱体材料、钙钛矿产品稳定性等方面进行合作，共同推进材料验证与产业化落地。</w:t>
            </w:r>
          </w:p>
          <w:p w14:paraId="566539F2">
            <w:pPr>
              <w:spacing w:before="50" w:line="360" w:lineRule="auto"/>
              <w:ind w:firstLine="422" w:firstLineChars="200"/>
              <w:rPr>
                <w:rFonts w:ascii="Times New Roman" w:hAnsi="Times New Roman" w:cs="Times New Roman"/>
                <w:b/>
                <w:szCs w:val="21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  <w:lang w:bidi="ar"/>
              </w:rPr>
              <w:t>问题</w:t>
            </w:r>
            <w:r>
              <w:rPr>
                <w:rFonts w:hint="eastAsia" w:ascii="Times New Roman" w:hAnsi="Times New Roman" w:cs="Times New Roman"/>
                <w:b/>
                <w:szCs w:val="21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cs="Times New Roman"/>
                <w:b/>
                <w:szCs w:val="21"/>
                <w:lang w:bidi="ar"/>
              </w:rPr>
              <w:t>：公司未来的整体发展战略如何定位？</w:t>
            </w:r>
          </w:p>
          <w:bookmarkEnd w:id="3"/>
          <w:bookmarkEnd w:id="4"/>
          <w:bookmarkEnd w:id="5"/>
          <w:p w14:paraId="64E5E1DA">
            <w:pPr>
              <w:widowControl/>
              <w:spacing w:before="50" w:line="360" w:lineRule="auto"/>
              <w:ind w:firstLine="420" w:firstLineChars="200"/>
              <w:rPr>
                <w:rFonts w:hint="eastAsia" w:ascii="Times New Roman" w:hAnsi="Times New Roman" w:eastAsia="宋体" w:cs="Times New Roman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答：公司将以“新材料平台型企业”为整体战略定位，聚焦核心竞争力提升，在持续巩固OLED有机材料主业领先优势的基础上，全力推进Q布产能建设，加速钙钛矿材料研发与产业化进程，构建“OLED有机材料+高端石英纤维电子布+钙钛矿新材料”三位一体的发展格局。</w:t>
            </w:r>
            <w:bookmarkStart w:id="6" w:name="_GoBack"/>
            <w:bookmarkEnd w:id="6"/>
            <w:r>
              <w:rPr>
                <w:rFonts w:hint="eastAsia" w:ascii="Times New Roman" w:hAnsi="Times New Roman" w:eastAsia="宋体" w:cs="Times New Roman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通过完善产品系列化布局、拓展优质客户资源、加速新产品验证与量产导入、优化生产工艺等举措，稳步提升市场份额与盈利能力。同时，公司将深化精细化管理，有序推进募投项目产能建设，强化人才梯队与数智化建设，全面提升经营管理效能，为客户创造更高价值、为股东实现更好回报。</w:t>
            </w:r>
          </w:p>
          <w:p w14:paraId="6FF9E59C">
            <w:pPr>
              <w:widowControl/>
              <w:spacing w:before="50" w:line="360" w:lineRule="auto"/>
              <w:ind w:firstLine="422" w:firstLineChars="200"/>
              <w:rPr>
                <w:rFonts w:ascii="Times New Roman" w:hAnsi="Times New Roman" w:cs="Times New Roman"/>
                <w:b/>
                <w:szCs w:val="21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  <w:lang w:bidi="ar"/>
              </w:rPr>
              <w:t>问题</w:t>
            </w:r>
            <w:r>
              <w:rPr>
                <w:rFonts w:hint="eastAsia" w:ascii="Times New Roman" w:hAnsi="Times New Roman" w:cs="Times New Roman"/>
                <w:b/>
                <w:szCs w:val="21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b/>
                <w:szCs w:val="21"/>
                <w:lang w:bidi="ar"/>
              </w:rPr>
              <w:t>：公司分红策略如何？</w:t>
            </w:r>
          </w:p>
          <w:p w14:paraId="745AFF40">
            <w:pPr>
              <w:widowControl/>
              <w:spacing w:before="50" w:line="360" w:lineRule="auto"/>
              <w:ind w:firstLine="420" w:firstLineChars="200"/>
              <w:rPr>
                <w:rFonts w:ascii="Times New Roman" w:hAnsi="Times New Roman" w:eastAsia="宋体" w:cs="Times New Roman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答：公司始终重视投资者回报，持续执行积极稳健的现金分红政策。2022至2024年，公司累计现金分红约1.65亿元（含税），分红金额分别对应各年归母净利润的38.15%、31.27%、59.97%。2025年度，公司合计派发现金红利1.2亿元（含税，含中期已分配红利），占当年归母净利润的54.68%。此外，公司于2025年制定《未来三年（2025年-2027年）股东分红回报规划》，建立长期、稳定、可持续的股东价值回报机制。</w:t>
            </w:r>
          </w:p>
        </w:tc>
      </w:tr>
      <w:tr w14:paraId="41F5E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88B37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lang w:bidi="ar"/>
              </w:rPr>
              <w:t>是否涉及应当披露重大信息</w:t>
            </w:r>
          </w:p>
        </w:tc>
        <w:tc>
          <w:tcPr>
            <w:tcW w:w="8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2992D">
            <w:pPr>
              <w:widowControl/>
              <w:spacing w:before="156" w:beforeLines="50" w:after="156" w:afterLines="50" w:line="360" w:lineRule="auto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bidi="ar"/>
              </w:rPr>
              <w:t>否</w:t>
            </w:r>
          </w:p>
        </w:tc>
      </w:tr>
      <w:tr w14:paraId="2A64C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94DE9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lang w:bidi="ar"/>
              </w:rPr>
              <w:t>附件清单（如有）</w:t>
            </w:r>
          </w:p>
        </w:tc>
        <w:tc>
          <w:tcPr>
            <w:tcW w:w="8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F2613">
            <w:pPr>
              <w:widowControl/>
              <w:spacing w:before="156" w:beforeLines="50" w:after="156" w:afterLines="50" w:line="360" w:lineRule="auto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无</w:t>
            </w:r>
          </w:p>
        </w:tc>
      </w:tr>
      <w:tr w14:paraId="79855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FFA1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lang w:bidi="ar"/>
              </w:rPr>
              <w:t>日期</w:t>
            </w:r>
          </w:p>
        </w:tc>
        <w:tc>
          <w:tcPr>
            <w:tcW w:w="8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38439">
            <w:pPr>
              <w:widowControl/>
              <w:spacing w:before="156" w:beforeLines="50" w:after="156" w:afterLines="50" w:line="360" w:lineRule="auto"/>
              <w:jc w:val="left"/>
              <w:rPr>
                <w:rFonts w:ascii="Times New Roman" w:hAnsi="Times New Roman" w:cs="Times New Roman"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bidi="ar"/>
              </w:rPr>
              <w:t>202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  <w:t>6</w:t>
            </w:r>
            <w:r>
              <w:rPr>
                <w:rFonts w:ascii="Times New Roman" w:hAnsi="Times New Roman" w:cs="Times New Roman"/>
                <w:bCs/>
                <w:iCs/>
                <w:sz w:val="24"/>
                <w:lang w:bidi="ar"/>
              </w:rPr>
              <w:t>年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  <w:t>月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lang w:bidi="ar"/>
              </w:rPr>
              <w:t>日</w:t>
            </w:r>
          </w:p>
        </w:tc>
      </w:tr>
    </w:tbl>
    <w:p w14:paraId="6853BF83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5" w:right="1135" w:bottom="851" w:left="113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B1E99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8B9F7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0A46C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0D5FD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D8AA4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A9353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3ODUzMWNiZTkwMWIxNGVhZWZiMWI2NDI3ZTRlZjkifQ=="/>
  </w:docVars>
  <w:rsids>
    <w:rsidRoot w:val="09ED5870"/>
    <w:rsid w:val="00003C2A"/>
    <w:rsid w:val="0000515D"/>
    <w:rsid w:val="000577C7"/>
    <w:rsid w:val="00106CC9"/>
    <w:rsid w:val="001521CD"/>
    <w:rsid w:val="0016272C"/>
    <w:rsid w:val="0016293D"/>
    <w:rsid w:val="001C4830"/>
    <w:rsid w:val="001D76C4"/>
    <w:rsid w:val="0023619C"/>
    <w:rsid w:val="00237321"/>
    <w:rsid w:val="002642CC"/>
    <w:rsid w:val="00276EFF"/>
    <w:rsid w:val="002870D4"/>
    <w:rsid w:val="002C27AD"/>
    <w:rsid w:val="002C79EC"/>
    <w:rsid w:val="002E1B69"/>
    <w:rsid w:val="00303410"/>
    <w:rsid w:val="003523A7"/>
    <w:rsid w:val="003559FE"/>
    <w:rsid w:val="003B089E"/>
    <w:rsid w:val="003D0FEC"/>
    <w:rsid w:val="003E6839"/>
    <w:rsid w:val="0042313A"/>
    <w:rsid w:val="00427AC8"/>
    <w:rsid w:val="004359D4"/>
    <w:rsid w:val="00450E4E"/>
    <w:rsid w:val="00474F3C"/>
    <w:rsid w:val="004A0AB6"/>
    <w:rsid w:val="004A0BFB"/>
    <w:rsid w:val="004A7620"/>
    <w:rsid w:val="004C0AA3"/>
    <w:rsid w:val="004C6A57"/>
    <w:rsid w:val="004D43CB"/>
    <w:rsid w:val="004D65CB"/>
    <w:rsid w:val="00536222"/>
    <w:rsid w:val="00542842"/>
    <w:rsid w:val="00561F8B"/>
    <w:rsid w:val="0060627F"/>
    <w:rsid w:val="00615A3A"/>
    <w:rsid w:val="00620A46"/>
    <w:rsid w:val="006C294A"/>
    <w:rsid w:val="006D3370"/>
    <w:rsid w:val="006E4FF9"/>
    <w:rsid w:val="006F20B2"/>
    <w:rsid w:val="007148CA"/>
    <w:rsid w:val="0073706F"/>
    <w:rsid w:val="00740C6F"/>
    <w:rsid w:val="00746C9F"/>
    <w:rsid w:val="00766A28"/>
    <w:rsid w:val="00815C71"/>
    <w:rsid w:val="008461D2"/>
    <w:rsid w:val="008544B0"/>
    <w:rsid w:val="0085639F"/>
    <w:rsid w:val="00873154"/>
    <w:rsid w:val="008D1B2D"/>
    <w:rsid w:val="008E22D5"/>
    <w:rsid w:val="008E36A7"/>
    <w:rsid w:val="008E4F51"/>
    <w:rsid w:val="0091145E"/>
    <w:rsid w:val="0093731C"/>
    <w:rsid w:val="009E75B5"/>
    <w:rsid w:val="00A134AB"/>
    <w:rsid w:val="00A5717D"/>
    <w:rsid w:val="00A84A3B"/>
    <w:rsid w:val="00AA19BA"/>
    <w:rsid w:val="00AA4350"/>
    <w:rsid w:val="00AA68F1"/>
    <w:rsid w:val="00AC6E10"/>
    <w:rsid w:val="00B13BFE"/>
    <w:rsid w:val="00B31191"/>
    <w:rsid w:val="00B606CE"/>
    <w:rsid w:val="00B81268"/>
    <w:rsid w:val="00B85029"/>
    <w:rsid w:val="00BA1720"/>
    <w:rsid w:val="00C24C9F"/>
    <w:rsid w:val="00CE1C6F"/>
    <w:rsid w:val="00CE7835"/>
    <w:rsid w:val="00D12CC8"/>
    <w:rsid w:val="00D23546"/>
    <w:rsid w:val="00D348A8"/>
    <w:rsid w:val="00D532C9"/>
    <w:rsid w:val="00D617AF"/>
    <w:rsid w:val="00D707EA"/>
    <w:rsid w:val="00D92C52"/>
    <w:rsid w:val="00DE44F3"/>
    <w:rsid w:val="00DF2C40"/>
    <w:rsid w:val="00DF4262"/>
    <w:rsid w:val="00E32B36"/>
    <w:rsid w:val="00E503E9"/>
    <w:rsid w:val="00E63C4F"/>
    <w:rsid w:val="00E83E8E"/>
    <w:rsid w:val="00EB1320"/>
    <w:rsid w:val="00ED4DFD"/>
    <w:rsid w:val="00EE0FBE"/>
    <w:rsid w:val="00EF7F9D"/>
    <w:rsid w:val="00F10F74"/>
    <w:rsid w:val="00F62C66"/>
    <w:rsid w:val="00FA5753"/>
    <w:rsid w:val="00FC49A0"/>
    <w:rsid w:val="00FF05A7"/>
    <w:rsid w:val="01082668"/>
    <w:rsid w:val="010D7DD7"/>
    <w:rsid w:val="012F41F1"/>
    <w:rsid w:val="01975CC6"/>
    <w:rsid w:val="01D83502"/>
    <w:rsid w:val="02012CA2"/>
    <w:rsid w:val="024B505A"/>
    <w:rsid w:val="02510197"/>
    <w:rsid w:val="0296107E"/>
    <w:rsid w:val="029A6F7D"/>
    <w:rsid w:val="034161C8"/>
    <w:rsid w:val="03825496"/>
    <w:rsid w:val="039C3694"/>
    <w:rsid w:val="03F31506"/>
    <w:rsid w:val="04636074"/>
    <w:rsid w:val="04D81A19"/>
    <w:rsid w:val="053022E6"/>
    <w:rsid w:val="05314A48"/>
    <w:rsid w:val="05F371F7"/>
    <w:rsid w:val="062956B3"/>
    <w:rsid w:val="07991C98"/>
    <w:rsid w:val="08323B19"/>
    <w:rsid w:val="08BB5C63"/>
    <w:rsid w:val="094D1160"/>
    <w:rsid w:val="09D426D0"/>
    <w:rsid w:val="09ED5870"/>
    <w:rsid w:val="0AA10DD3"/>
    <w:rsid w:val="0BDB744F"/>
    <w:rsid w:val="0C9F69A2"/>
    <w:rsid w:val="0D972EDF"/>
    <w:rsid w:val="0E245572"/>
    <w:rsid w:val="0F344D93"/>
    <w:rsid w:val="0F6807A4"/>
    <w:rsid w:val="0F692FC4"/>
    <w:rsid w:val="10376C29"/>
    <w:rsid w:val="10D95CB2"/>
    <w:rsid w:val="113B45EF"/>
    <w:rsid w:val="11C81806"/>
    <w:rsid w:val="11EB4770"/>
    <w:rsid w:val="13256902"/>
    <w:rsid w:val="134D0507"/>
    <w:rsid w:val="13E25769"/>
    <w:rsid w:val="144B713C"/>
    <w:rsid w:val="155C2C83"/>
    <w:rsid w:val="16493207"/>
    <w:rsid w:val="170D42EA"/>
    <w:rsid w:val="17FF2717"/>
    <w:rsid w:val="188A51D8"/>
    <w:rsid w:val="18B0021C"/>
    <w:rsid w:val="190A1374"/>
    <w:rsid w:val="193F7174"/>
    <w:rsid w:val="19DE010A"/>
    <w:rsid w:val="1C9117EA"/>
    <w:rsid w:val="1CCA1BB8"/>
    <w:rsid w:val="1D2B0CBD"/>
    <w:rsid w:val="1E3C591E"/>
    <w:rsid w:val="1EBB0A1A"/>
    <w:rsid w:val="1ED657E9"/>
    <w:rsid w:val="1F0625DD"/>
    <w:rsid w:val="1FCF2ABC"/>
    <w:rsid w:val="1FF22B62"/>
    <w:rsid w:val="201B227F"/>
    <w:rsid w:val="204838A0"/>
    <w:rsid w:val="206F7D0E"/>
    <w:rsid w:val="208A6C03"/>
    <w:rsid w:val="210B36E3"/>
    <w:rsid w:val="21A17A85"/>
    <w:rsid w:val="22032E04"/>
    <w:rsid w:val="24A73237"/>
    <w:rsid w:val="24D34D10"/>
    <w:rsid w:val="24D941F5"/>
    <w:rsid w:val="250F7D12"/>
    <w:rsid w:val="25B85CB3"/>
    <w:rsid w:val="260C3E00"/>
    <w:rsid w:val="26924756"/>
    <w:rsid w:val="26AE7782"/>
    <w:rsid w:val="26C30DB4"/>
    <w:rsid w:val="285514BC"/>
    <w:rsid w:val="29064F88"/>
    <w:rsid w:val="299D3B3E"/>
    <w:rsid w:val="29F95B61"/>
    <w:rsid w:val="29FD45DD"/>
    <w:rsid w:val="2B8F5708"/>
    <w:rsid w:val="2BDB4ABA"/>
    <w:rsid w:val="2C8E0BFD"/>
    <w:rsid w:val="2D2B320F"/>
    <w:rsid w:val="2E3A497C"/>
    <w:rsid w:val="2ECD6C74"/>
    <w:rsid w:val="2FAC781C"/>
    <w:rsid w:val="2FBC42F6"/>
    <w:rsid w:val="2FCF07C9"/>
    <w:rsid w:val="30191914"/>
    <w:rsid w:val="30375A1D"/>
    <w:rsid w:val="30444C19"/>
    <w:rsid w:val="31EA5447"/>
    <w:rsid w:val="31F0254C"/>
    <w:rsid w:val="329F26D5"/>
    <w:rsid w:val="32AF043E"/>
    <w:rsid w:val="32B55A55"/>
    <w:rsid w:val="32E26A66"/>
    <w:rsid w:val="3325691E"/>
    <w:rsid w:val="33D939C5"/>
    <w:rsid w:val="33DB598F"/>
    <w:rsid w:val="3577566A"/>
    <w:rsid w:val="35B91294"/>
    <w:rsid w:val="35BB5A93"/>
    <w:rsid w:val="36276F9C"/>
    <w:rsid w:val="381402C8"/>
    <w:rsid w:val="39447B32"/>
    <w:rsid w:val="395B4E7C"/>
    <w:rsid w:val="39B32F0A"/>
    <w:rsid w:val="3A4122C4"/>
    <w:rsid w:val="3A4523EC"/>
    <w:rsid w:val="3A8D5509"/>
    <w:rsid w:val="3B8161B9"/>
    <w:rsid w:val="3BE21884"/>
    <w:rsid w:val="3C097A00"/>
    <w:rsid w:val="3C241E9D"/>
    <w:rsid w:val="3C4340D1"/>
    <w:rsid w:val="3C8E284B"/>
    <w:rsid w:val="3CED6733"/>
    <w:rsid w:val="3D1553DB"/>
    <w:rsid w:val="3D584C3D"/>
    <w:rsid w:val="3D9A2417"/>
    <w:rsid w:val="3E481E73"/>
    <w:rsid w:val="3EBA2649"/>
    <w:rsid w:val="3FDD6172"/>
    <w:rsid w:val="3FED4F6D"/>
    <w:rsid w:val="40F65123"/>
    <w:rsid w:val="41B62D25"/>
    <w:rsid w:val="4348021F"/>
    <w:rsid w:val="438147D1"/>
    <w:rsid w:val="442D1A71"/>
    <w:rsid w:val="447F5EC2"/>
    <w:rsid w:val="45CD0A54"/>
    <w:rsid w:val="46C866F6"/>
    <w:rsid w:val="476B4E24"/>
    <w:rsid w:val="47871694"/>
    <w:rsid w:val="47D429C9"/>
    <w:rsid w:val="47E66258"/>
    <w:rsid w:val="47FA0BDD"/>
    <w:rsid w:val="49867CF3"/>
    <w:rsid w:val="499F0DB5"/>
    <w:rsid w:val="49B54134"/>
    <w:rsid w:val="4A5F3BCC"/>
    <w:rsid w:val="4BDC6081"/>
    <w:rsid w:val="4C69403F"/>
    <w:rsid w:val="4CC21042"/>
    <w:rsid w:val="4D1D0A5F"/>
    <w:rsid w:val="4E010709"/>
    <w:rsid w:val="4E3917D8"/>
    <w:rsid w:val="509947B0"/>
    <w:rsid w:val="50AF5D81"/>
    <w:rsid w:val="50FD4E06"/>
    <w:rsid w:val="511B6F73"/>
    <w:rsid w:val="51B31BC1"/>
    <w:rsid w:val="52162767"/>
    <w:rsid w:val="52611934"/>
    <w:rsid w:val="52B417C7"/>
    <w:rsid w:val="52CF2938"/>
    <w:rsid w:val="531E7A45"/>
    <w:rsid w:val="539B439B"/>
    <w:rsid w:val="552C5BF2"/>
    <w:rsid w:val="55387588"/>
    <w:rsid w:val="55BB2AD2"/>
    <w:rsid w:val="565969E5"/>
    <w:rsid w:val="56E524FD"/>
    <w:rsid w:val="573C35C9"/>
    <w:rsid w:val="575013A1"/>
    <w:rsid w:val="5875340D"/>
    <w:rsid w:val="58ED5175"/>
    <w:rsid w:val="59D95C1D"/>
    <w:rsid w:val="5A6C6A91"/>
    <w:rsid w:val="5A787F10"/>
    <w:rsid w:val="5B6641ED"/>
    <w:rsid w:val="5C013209"/>
    <w:rsid w:val="5C166CB5"/>
    <w:rsid w:val="5C983B6D"/>
    <w:rsid w:val="5D026789"/>
    <w:rsid w:val="5D543665"/>
    <w:rsid w:val="5E6617A9"/>
    <w:rsid w:val="5F7A2286"/>
    <w:rsid w:val="5F917744"/>
    <w:rsid w:val="602120CC"/>
    <w:rsid w:val="602364FC"/>
    <w:rsid w:val="61461FA8"/>
    <w:rsid w:val="61D13B33"/>
    <w:rsid w:val="624125B1"/>
    <w:rsid w:val="624B51DE"/>
    <w:rsid w:val="625F0BCD"/>
    <w:rsid w:val="62A06426"/>
    <w:rsid w:val="62D41677"/>
    <w:rsid w:val="64836EB1"/>
    <w:rsid w:val="649C0675"/>
    <w:rsid w:val="64A07A63"/>
    <w:rsid w:val="64FD020B"/>
    <w:rsid w:val="658824B6"/>
    <w:rsid w:val="65FE49D8"/>
    <w:rsid w:val="660B3D1D"/>
    <w:rsid w:val="668E00B5"/>
    <w:rsid w:val="66A240CC"/>
    <w:rsid w:val="674F5770"/>
    <w:rsid w:val="68A51AEC"/>
    <w:rsid w:val="696C260A"/>
    <w:rsid w:val="698B4480"/>
    <w:rsid w:val="699C3992"/>
    <w:rsid w:val="6A5512F0"/>
    <w:rsid w:val="6A8F2708"/>
    <w:rsid w:val="6AD541DF"/>
    <w:rsid w:val="6B60619E"/>
    <w:rsid w:val="6BFB1A23"/>
    <w:rsid w:val="6C150EE6"/>
    <w:rsid w:val="6C5F20A2"/>
    <w:rsid w:val="6CF7043C"/>
    <w:rsid w:val="6D183A32"/>
    <w:rsid w:val="6D4D62AE"/>
    <w:rsid w:val="6D947F8B"/>
    <w:rsid w:val="6FDE58E3"/>
    <w:rsid w:val="70AB3BE8"/>
    <w:rsid w:val="70C66AA3"/>
    <w:rsid w:val="70ED2282"/>
    <w:rsid w:val="71016B88"/>
    <w:rsid w:val="71AF05F5"/>
    <w:rsid w:val="72874010"/>
    <w:rsid w:val="72AC0553"/>
    <w:rsid w:val="73505624"/>
    <w:rsid w:val="73B7063C"/>
    <w:rsid w:val="7411165B"/>
    <w:rsid w:val="7428537F"/>
    <w:rsid w:val="743B2FB6"/>
    <w:rsid w:val="749B50F4"/>
    <w:rsid w:val="750A09BD"/>
    <w:rsid w:val="751A15A2"/>
    <w:rsid w:val="75232716"/>
    <w:rsid w:val="753E1665"/>
    <w:rsid w:val="75F60CA4"/>
    <w:rsid w:val="76452218"/>
    <w:rsid w:val="78394CB2"/>
    <w:rsid w:val="7846246B"/>
    <w:rsid w:val="79490272"/>
    <w:rsid w:val="79654980"/>
    <w:rsid w:val="7A124B07"/>
    <w:rsid w:val="7A8E3997"/>
    <w:rsid w:val="7ADF6568"/>
    <w:rsid w:val="7B260758"/>
    <w:rsid w:val="7B4A02D1"/>
    <w:rsid w:val="7B9E6925"/>
    <w:rsid w:val="7BAF2C7A"/>
    <w:rsid w:val="7C713B8D"/>
    <w:rsid w:val="7DA1329F"/>
    <w:rsid w:val="7DDA3B8E"/>
    <w:rsid w:val="7E3F39F1"/>
    <w:rsid w:val="7EFB200E"/>
    <w:rsid w:val="7EFC7B34"/>
    <w:rsid w:val="7F083346"/>
    <w:rsid w:val="7FE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Emphasis"/>
    <w:basedOn w:val="8"/>
    <w:autoRedefine/>
    <w:qFormat/>
    <w:uiPriority w:val="0"/>
    <w:rPr>
      <w:i/>
    </w:rPr>
  </w:style>
  <w:style w:type="character" w:customStyle="1" w:styleId="11">
    <w:name w:val="页眉 字符"/>
    <w:basedOn w:val="8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font4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4">
    <w:name w:val="font3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3</Pages>
  <Words>1809</Words>
  <Characters>1957</Characters>
  <Lines>56</Lines>
  <Paragraphs>43</Paragraphs>
  <TotalTime>32</TotalTime>
  <ScaleCrop>false</ScaleCrop>
  <LinksUpToDate>false</LinksUpToDate>
  <CharactersWithSpaces>2110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2025-08-21T10:32:00Z</dcterms:created>
  <dc:creator>张尊睿</dc:creator>
  <cp:lastModifiedBy>张尊睿</cp:lastModifiedBy>
  <cp:lastPrinted>2025-09-18T09:48:00Z</cp:lastPrinted>
  <dcterms:modified xsi:type="dcterms:W3CDTF">2026-06-30T10:12:43Z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A5CF3FC8CA284D4ABF3A70396BE2D877_13</vt:lpwstr>
  </property>
  <property fmtid="{D5CDD505-2E9C-101B-9397-08002B2CF9AE}" pid="4" name="KSOTemplateDocerSaveRecord">
    <vt:lpwstr>eyJoZGlkIjoiOTZhN2FhNjJiOGQwOGUyOWUxYjBiMDhkMmY4NjgyMzMiLCJ1c2VySWQiOiIxMDczODMxODQxIn0=</vt:lpwstr>
  </property>
</Properties>
</file>