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D26C2" w14:textId="77777777" w:rsidR="00186984" w:rsidRPr="00186984" w:rsidRDefault="00186984" w:rsidP="00186984">
      <w:pPr>
        <w:spacing w:line="360" w:lineRule="auto"/>
        <w:rPr>
          <w:rFonts w:ascii="宋体" w:hAnsi="宋体" w:cs="Times New Roman"/>
          <w:sz w:val="24"/>
          <w:szCs w:val="24"/>
        </w:rPr>
      </w:pPr>
      <w:r w:rsidRPr="00186984">
        <w:rPr>
          <w:rFonts w:ascii="宋体" w:hAnsi="宋体" w:cs="Times New Roman" w:hint="eastAsia"/>
          <w:sz w:val="24"/>
          <w:szCs w:val="24"/>
        </w:rPr>
        <w:t>证券代码：688179                                   证券简称：阿拉丁</w:t>
      </w:r>
    </w:p>
    <w:p w14:paraId="7A94F0CB" w14:textId="77777777" w:rsidR="00186984" w:rsidRPr="00186984" w:rsidRDefault="00186984" w:rsidP="00186984">
      <w:pPr>
        <w:spacing w:line="360" w:lineRule="auto"/>
        <w:rPr>
          <w:rFonts w:ascii="宋体" w:hAnsi="宋体" w:cs="Times New Roman"/>
          <w:sz w:val="24"/>
          <w:szCs w:val="24"/>
        </w:rPr>
      </w:pPr>
    </w:p>
    <w:p w14:paraId="3EE69DAC" w14:textId="77777777" w:rsidR="00186984" w:rsidRPr="00186984" w:rsidRDefault="00186984" w:rsidP="00186984">
      <w:pPr>
        <w:adjustRightInd w:val="0"/>
        <w:spacing w:line="360" w:lineRule="auto"/>
        <w:jc w:val="center"/>
        <w:rPr>
          <w:rFonts w:ascii="宋体" w:hAnsi="宋体" w:cs="Times New Roman"/>
          <w:b/>
          <w:color w:val="FF0000"/>
          <w:sz w:val="36"/>
          <w:szCs w:val="36"/>
        </w:rPr>
      </w:pPr>
      <w:r w:rsidRPr="00186984">
        <w:rPr>
          <w:rFonts w:ascii="宋体" w:hAnsi="宋体" w:cs="Times New Roman" w:hint="eastAsia"/>
          <w:b/>
          <w:color w:val="FF0000"/>
          <w:sz w:val="36"/>
          <w:szCs w:val="36"/>
        </w:rPr>
        <w:t>上海阿拉丁生化科技股份有限公司</w:t>
      </w:r>
    </w:p>
    <w:p w14:paraId="303BA820" w14:textId="77777777" w:rsidR="00186984" w:rsidRPr="00186984" w:rsidRDefault="00186984" w:rsidP="00186984">
      <w:pPr>
        <w:spacing w:line="360" w:lineRule="auto"/>
        <w:jc w:val="center"/>
        <w:rPr>
          <w:rFonts w:ascii="宋体" w:hAnsi="宋体" w:cs="Times New Roman"/>
          <w:b/>
          <w:color w:val="FF0000"/>
          <w:sz w:val="36"/>
          <w:szCs w:val="36"/>
        </w:rPr>
      </w:pPr>
      <w:r w:rsidRPr="00186984">
        <w:rPr>
          <w:rFonts w:ascii="宋体" w:hAnsi="宋体" w:cs="Times New Roman" w:hint="eastAsia"/>
          <w:b/>
          <w:color w:val="FF0000"/>
          <w:sz w:val="36"/>
          <w:szCs w:val="36"/>
        </w:rPr>
        <w:t>接待投资者调研活动记录</w:t>
      </w:r>
    </w:p>
    <w:p w14:paraId="7BADA8E4" w14:textId="77777777" w:rsidR="00186984" w:rsidRPr="00186984" w:rsidRDefault="00186984" w:rsidP="00186984">
      <w:pPr>
        <w:spacing w:line="360" w:lineRule="auto"/>
        <w:rPr>
          <w:rFonts w:ascii="宋体" w:hAnsi="宋体" w:cs="Times New Roman"/>
          <w:b/>
          <w:sz w:val="24"/>
          <w:szCs w:val="24"/>
        </w:rPr>
      </w:pPr>
    </w:p>
    <w:p w14:paraId="503527CA" w14:textId="77777777" w:rsidR="00186984" w:rsidRPr="00186984" w:rsidRDefault="00186984" w:rsidP="00186984">
      <w:pPr>
        <w:spacing w:line="360" w:lineRule="auto"/>
        <w:rPr>
          <w:rFonts w:ascii="宋体" w:hAnsi="宋体" w:cs="Times New Roman"/>
          <w:b/>
          <w:sz w:val="24"/>
          <w:szCs w:val="24"/>
        </w:rPr>
      </w:pPr>
      <w:r w:rsidRPr="00186984">
        <w:rPr>
          <w:rFonts w:ascii="宋体" w:hAnsi="宋体" w:cs="Times New Roman"/>
          <w:b/>
          <w:sz w:val="24"/>
          <w:szCs w:val="24"/>
        </w:rPr>
        <w:t>一、机构调研情况</w:t>
      </w:r>
    </w:p>
    <w:p w14:paraId="22445F0E" w14:textId="6C61E249" w:rsidR="00186984" w:rsidRPr="00186984" w:rsidRDefault="00186984" w:rsidP="00186984">
      <w:pPr>
        <w:spacing w:line="360" w:lineRule="auto"/>
        <w:rPr>
          <w:rFonts w:ascii="宋体" w:hAnsi="宋体" w:cs="Times New Roman"/>
          <w:sz w:val="24"/>
          <w:szCs w:val="24"/>
        </w:rPr>
      </w:pPr>
      <w:r w:rsidRPr="00186984">
        <w:rPr>
          <w:rFonts w:ascii="宋体" w:hAnsi="宋体" w:cs="Times New Roman"/>
          <w:b/>
          <w:sz w:val="24"/>
          <w:szCs w:val="24"/>
        </w:rPr>
        <w:t>调研时间</w:t>
      </w:r>
      <w:r w:rsidRPr="00186984">
        <w:rPr>
          <w:rFonts w:ascii="宋体" w:hAnsi="宋体" w:cs="Times New Roman"/>
          <w:sz w:val="24"/>
          <w:szCs w:val="24"/>
        </w:rPr>
        <w:t>：</w:t>
      </w:r>
      <w:r w:rsidR="00D35A77" w:rsidRPr="00186984">
        <w:rPr>
          <w:rFonts w:ascii="宋体" w:hAnsi="宋体" w:cs="Times New Roman"/>
          <w:sz w:val="24"/>
          <w:szCs w:val="24"/>
        </w:rPr>
        <w:t>20</w:t>
      </w:r>
      <w:r w:rsidR="00D35A77">
        <w:rPr>
          <w:rFonts w:ascii="宋体" w:hAnsi="宋体" w:cs="Times New Roman"/>
          <w:sz w:val="24"/>
          <w:szCs w:val="24"/>
        </w:rPr>
        <w:t>2</w:t>
      </w:r>
      <w:r w:rsidR="008D10C8">
        <w:rPr>
          <w:rFonts w:ascii="宋体" w:hAnsi="宋体" w:cs="Times New Roman"/>
          <w:sz w:val="24"/>
          <w:szCs w:val="24"/>
        </w:rPr>
        <w:t>6</w:t>
      </w:r>
      <w:r w:rsidR="00D35A77" w:rsidRPr="00186984">
        <w:rPr>
          <w:rFonts w:ascii="宋体" w:hAnsi="宋体" w:cs="Times New Roman"/>
          <w:sz w:val="24"/>
          <w:szCs w:val="24"/>
        </w:rPr>
        <w:t>年</w:t>
      </w:r>
      <w:r w:rsidR="00D62D3F">
        <w:rPr>
          <w:rFonts w:ascii="宋体" w:hAnsi="宋体" w:cs="Times New Roman"/>
          <w:sz w:val="24"/>
          <w:szCs w:val="24"/>
        </w:rPr>
        <w:t>6</w:t>
      </w:r>
      <w:r w:rsidR="00EA4537">
        <w:rPr>
          <w:rFonts w:ascii="宋体" w:hAnsi="宋体" w:cs="Times New Roman" w:hint="eastAsia"/>
          <w:sz w:val="24"/>
          <w:szCs w:val="24"/>
        </w:rPr>
        <w:t>月</w:t>
      </w:r>
      <w:r w:rsidR="00663158">
        <w:rPr>
          <w:rFonts w:ascii="宋体" w:hAnsi="宋体" w:cs="Times New Roman"/>
          <w:sz w:val="24"/>
          <w:szCs w:val="24"/>
        </w:rPr>
        <w:t>12</w:t>
      </w:r>
      <w:r w:rsidR="00562C90">
        <w:rPr>
          <w:rFonts w:ascii="宋体" w:hAnsi="宋体" w:cs="Times New Roman" w:hint="eastAsia"/>
          <w:sz w:val="24"/>
          <w:szCs w:val="24"/>
        </w:rPr>
        <w:t>日</w:t>
      </w:r>
    </w:p>
    <w:p w14:paraId="33FF5A6D" w14:textId="57102DFC" w:rsidR="00186984" w:rsidRDefault="00186984" w:rsidP="00186984">
      <w:pPr>
        <w:spacing w:line="360" w:lineRule="auto"/>
        <w:rPr>
          <w:rFonts w:ascii="宋体" w:hAnsi="宋体" w:cs="Times New Roman"/>
          <w:sz w:val="24"/>
          <w:szCs w:val="24"/>
        </w:rPr>
      </w:pPr>
      <w:r w:rsidRPr="00186984">
        <w:rPr>
          <w:rFonts w:ascii="宋体" w:hAnsi="宋体" w:cs="Times New Roman"/>
          <w:b/>
          <w:sz w:val="24"/>
          <w:szCs w:val="24"/>
        </w:rPr>
        <w:t>调研形式</w:t>
      </w:r>
      <w:r w:rsidRPr="00186984">
        <w:rPr>
          <w:rFonts w:ascii="宋体" w:hAnsi="宋体" w:cs="Times New Roman"/>
          <w:sz w:val="24"/>
          <w:szCs w:val="24"/>
        </w:rPr>
        <w:t>：</w:t>
      </w:r>
      <w:r w:rsidR="00663158">
        <w:rPr>
          <w:rFonts w:ascii="宋体" w:hAnsi="宋体" w:cs="Times New Roman" w:hint="eastAsia"/>
          <w:sz w:val="24"/>
          <w:szCs w:val="24"/>
        </w:rPr>
        <w:t>现场交流</w:t>
      </w:r>
    </w:p>
    <w:p w14:paraId="28DBDDD0" w14:textId="730C5071" w:rsidR="00E111B5" w:rsidRPr="00E111B5" w:rsidRDefault="00186984" w:rsidP="00E111B5">
      <w:pPr>
        <w:spacing w:line="360" w:lineRule="auto"/>
        <w:rPr>
          <w:rFonts w:ascii="宋体" w:hAnsi="宋体" w:cs="宋体"/>
          <w:kern w:val="0"/>
          <w:sz w:val="24"/>
          <w:szCs w:val="24"/>
        </w:rPr>
      </w:pPr>
      <w:r w:rsidRPr="00186984">
        <w:rPr>
          <w:rFonts w:ascii="宋体" w:hAnsi="宋体" w:cs="宋体" w:hint="eastAsia"/>
          <w:b/>
          <w:bCs/>
          <w:kern w:val="0"/>
          <w:sz w:val="24"/>
          <w:szCs w:val="24"/>
        </w:rPr>
        <w:t>参与交流来访的机构投资者：</w:t>
      </w:r>
      <w:r w:rsidR="00D62D3F" w:rsidRPr="00D62D3F">
        <w:rPr>
          <w:rFonts w:ascii="宋体" w:hAnsi="宋体" w:cs="宋体" w:hint="eastAsia"/>
          <w:kern w:val="0"/>
          <w:sz w:val="24"/>
          <w:szCs w:val="24"/>
        </w:rPr>
        <w:t>申万宏源</w:t>
      </w:r>
      <w:r w:rsidR="00D62D3F">
        <w:rPr>
          <w:rFonts w:ascii="宋体" w:hAnsi="宋体" w:cs="宋体" w:hint="eastAsia"/>
          <w:kern w:val="0"/>
          <w:sz w:val="24"/>
          <w:szCs w:val="24"/>
        </w:rPr>
        <w:t>、</w:t>
      </w:r>
      <w:r w:rsidR="00D62D3F" w:rsidRPr="00D62D3F">
        <w:rPr>
          <w:rFonts w:ascii="宋体" w:hAnsi="宋体" w:cs="宋体" w:hint="eastAsia"/>
          <w:kern w:val="0"/>
          <w:sz w:val="24"/>
          <w:szCs w:val="24"/>
        </w:rPr>
        <w:t>国泰海通资管</w:t>
      </w:r>
      <w:r w:rsidR="00D62D3F">
        <w:rPr>
          <w:rFonts w:ascii="宋体" w:hAnsi="宋体" w:cs="宋体" w:hint="eastAsia"/>
          <w:kern w:val="0"/>
          <w:sz w:val="24"/>
          <w:szCs w:val="24"/>
        </w:rPr>
        <w:t>、</w:t>
      </w:r>
      <w:r w:rsidR="00D62D3F" w:rsidRPr="00D62D3F">
        <w:rPr>
          <w:rFonts w:ascii="宋体" w:hAnsi="宋体" w:cs="宋体" w:hint="eastAsia"/>
          <w:kern w:val="0"/>
          <w:sz w:val="24"/>
          <w:szCs w:val="24"/>
        </w:rPr>
        <w:t>浦银安盛</w:t>
      </w:r>
      <w:r w:rsidR="00D62D3F">
        <w:rPr>
          <w:rFonts w:ascii="宋体" w:hAnsi="宋体" w:cs="宋体" w:hint="eastAsia"/>
          <w:kern w:val="0"/>
          <w:sz w:val="24"/>
          <w:szCs w:val="24"/>
        </w:rPr>
        <w:t>、</w:t>
      </w:r>
      <w:r w:rsidR="00D62D3F" w:rsidRPr="00D62D3F">
        <w:rPr>
          <w:rFonts w:ascii="宋体" w:hAnsi="宋体" w:cs="宋体" w:hint="eastAsia"/>
          <w:kern w:val="0"/>
          <w:sz w:val="24"/>
          <w:szCs w:val="24"/>
        </w:rPr>
        <w:t>中银资管</w:t>
      </w:r>
      <w:r w:rsidR="00D62D3F">
        <w:rPr>
          <w:rFonts w:ascii="宋体" w:hAnsi="宋体" w:cs="宋体" w:hint="eastAsia"/>
          <w:kern w:val="0"/>
          <w:sz w:val="24"/>
          <w:szCs w:val="24"/>
        </w:rPr>
        <w:t>、</w:t>
      </w:r>
      <w:r w:rsidR="00D62D3F" w:rsidRPr="00D62D3F">
        <w:rPr>
          <w:rFonts w:ascii="宋体" w:hAnsi="宋体" w:cs="宋体" w:hint="eastAsia"/>
          <w:kern w:val="0"/>
          <w:sz w:val="24"/>
          <w:szCs w:val="24"/>
        </w:rPr>
        <w:t>兴银理财</w:t>
      </w:r>
      <w:r w:rsidR="00D62D3F">
        <w:rPr>
          <w:rFonts w:ascii="宋体" w:hAnsi="宋体" w:cs="宋体" w:hint="eastAsia"/>
          <w:kern w:val="0"/>
          <w:sz w:val="24"/>
          <w:szCs w:val="24"/>
        </w:rPr>
        <w:t>、</w:t>
      </w:r>
      <w:r w:rsidR="00D62D3F" w:rsidRPr="00D62D3F">
        <w:rPr>
          <w:rFonts w:ascii="宋体" w:hAnsi="宋体" w:cs="宋体" w:hint="eastAsia"/>
          <w:kern w:val="0"/>
          <w:sz w:val="24"/>
          <w:szCs w:val="24"/>
        </w:rPr>
        <w:t>华泰柏瑞</w:t>
      </w:r>
      <w:r w:rsidR="00D62D3F">
        <w:rPr>
          <w:rFonts w:ascii="宋体" w:hAnsi="宋体" w:cs="宋体" w:hint="eastAsia"/>
          <w:kern w:val="0"/>
          <w:sz w:val="24"/>
          <w:szCs w:val="24"/>
        </w:rPr>
        <w:t>、</w:t>
      </w:r>
      <w:r w:rsidR="00D62D3F" w:rsidRPr="00D62D3F">
        <w:rPr>
          <w:rFonts w:ascii="宋体" w:hAnsi="宋体" w:cs="宋体" w:hint="eastAsia"/>
          <w:kern w:val="0"/>
          <w:sz w:val="24"/>
          <w:szCs w:val="24"/>
        </w:rPr>
        <w:t>广发基金</w:t>
      </w:r>
    </w:p>
    <w:p w14:paraId="7EEDFA6E" w14:textId="293FAD27" w:rsidR="00663158" w:rsidRPr="00663158" w:rsidRDefault="00186984" w:rsidP="00663158">
      <w:pPr>
        <w:spacing w:line="360" w:lineRule="auto"/>
        <w:rPr>
          <w:rFonts w:ascii="宋体" w:hAnsi="宋体" w:cs="Times New Roman"/>
          <w:sz w:val="24"/>
          <w:szCs w:val="24"/>
        </w:rPr>
      </w:pPr>
      <w:r w:rsidRPr="00186984">
        <w:rPr>
          <w:rFonts w:ascii="宋体" w:hAnsi="宋体" w:cs="宋体" w:hint="eastAsia"/>
          <w:b/>
          <w:bCs/>
          <w:kern w:val="0"/>
          <w:sz w:val="24"/>
          <w:szCs w:val="24"/>
        </w:rPr>
        <w:t>接待人员：</w:t>
      </w:r>
      <w:r w:rsidR="00D62D3F">
        <w:rPr>
          <w:rFonts w:ascii="宋体" w:hAnsi="宋体" w:cs="Times New Roman" w:hint="eastAsia"/>
          <w:sz w:val="24"/>
          <w:szCs w:val="24"/>
        </w:rPr>
        <w:t>时任</w:t>
      </w:r>
      <w:r w:rsidR="005754B4">
        <w:rPr>
          <w:rFonts w:ascii="宋体" w:hAnsi="宋体" w:cs="Times New Roman" w:hint="eastAsia"/>
          <w:sz w:val="24"/>
          <w:szCs w:val="24"/>
        </w:rPr>
        <w:t>董秘</w:t>
      </w:r>
      <w:r w:rsidR="00663158">
        <w:rPr>
          <w:rFonts w:ascii="宋体" w:hAnsi="宋体" w:cs="Times New Roman" w:hint="eastAsia"/>
          <w:sz w:val="24"/>
          <w:szCs w:val="24"/>
        </w:rPr>
        <w:t>赵亚红</w:t>
      </w:r>
      <w:r w:rsidR="005754B4">
        <w:rPr>
          <w:rFonts w:ascii="宋体" w:hAnsi="宋体" w:cs="Times New Roman" w:hint="eastAsia"/>
          <w:sz w:val="24"/>
          <w:szCs w:val="24"/>
        </w:rPr>
        <w:t>、</w:t>
      </w:r>
      <w:r w:rsidR="005754B4" w:rsidRPr="005754B4">
        <w:rPr>
          <w:rFonts w:ascii="宋体" w:hAnsi="宋体" w:cs="Times New Roman" w:hint="eastAsia"/>
          <w:sz w:val="24"/>
          <w:szCs w:val="24"/>
        </w:rPr>
        <w:t>投委会副主席赵新安</w:t>
      </w:r>
    </w:p>
    <w:p w14:paraId="7CF7BAB4" w14:textId="15E265F8" w:rsidR="00186984" w:rsidRPr="00BB1FC1" w:rsidRDefault="00186984" w:rsidP="00186984">
      <w:pPr>
        <w:widowControl/>
        <w:spacing w:line="480" w:lineRule="auto"/>
        <w:rPr>
          <w:rFonts w:ascii="宋体" w:hAnsi="宋体" w:cs="宋体"/>
          <w:b/>
          <w:bCs/>
          <w:kern w:val="0"/>
          <w:sz w:val="24"/>
          <w:szCs w:val="24"/>
        </w:rPr>
      </w:pPr>
      <w:r w:rsidRPr="00186984">
        <w:rPr>
          <w:rFonts w:ascii="宋体" w:hAnsi="宋体" w:cs="宋体" w:hint="eastAsia"/>
          <w:b/>
          <w:bCs/>
          <w:kern w:val="0"/>
          <w:sz w:val="24"/>
          <w:szCs w:val="24"/>
        </w:rPr>
        <w:t>二、调研纪要</w:t>
      </w:r>
      <w:r w:rsidR="00663158" w:rsidRPr="00663158">
        <w:rPr>
          <w:rFonts w:ascii="宋体" w:hAnsi="宋体" w:cs="宋体" w:hint="eastAsia"/>
          <w:b/>
          <w:bCs/>
          <w:kern w:val="0"/>
          <w:sz w:val="24"/>
          <w:szCs w:val="24"/>
        </w:rPr>
        <w:t>及业绩说明会问答</w:t>
      </w:r>
    </w:p>
    <w:p w14:paraId="21BE9D8E" w14:textId="6E77E0E0" w:rsidR="00D574A9" w:rsidRPr="008C408B" w:rsidRDefault="00D574A9" w:rsidP="00D574A9">
      <w:pPr>
        <w:widowControl/>
        <w:spacing w:line="360" w:lineRule="auto"/>
        <w:outlineLvl w:val="0"/>
        <w:rPr>
          <w:rFonts w:ascii="宋体" w:hAnsi="宋体" w:cs="宋体"/>
          <w:b/>
          <w:bCs/>
          <w:kern w:val="0"/>
          <w:sz w:val="24"/>
          <w:szCs w:val="24"/>
        </w:rPr>
      </w:pPr>
      <w:r w:rsidRPr="008C408B">
        <w:rPr>
          <w:rFonts w:ascii="宋体" w:hAnsi="宋体" w:cs="宋体" w:hint="eastAsia"/>
          <w:b/>
          <w:bCs/>
          <w:kern w:val="0"/>
          <w:sz w:val="24"/>
          <w:szCs w:val="24"/>
        </w:rPr>
        <w:t>Q：</w:t>
      </w:r>
      <w:r w:rsidR="009A1F9D" w:rsidRPr="009A1F9D">
        <w:rPr>
          <w:rFonts w:ascii="宋体" w:hAnsi="宋体" w:cs="宋体" w:hint="eastAsia"/>
          <w:b/>
          <w:bCs/>
          <w:kern w:val="0"/>
          <w:sz w:val="24"/>
          <w:szCs w:val="24"/>
        </w:rPr>
        <w:t>目前行业发展空间怎么样</w:t>
      </w:r>
      <w:r w:rsidRPr="00A31F39">
        <w:rPr>
          <w:rFonts w:ascii="宋体" w:hAnsi="宋体" w:cs="宋体" w:hint="eastAsia"/>
          <w:b/>
          <w:bCs/>
          <w:kern w:val="0"/>
          <w:sz w:val="24"/>
          <w:szCs w:val="24"/>
        </w:rPr>
        <w:t>？</w:t>
      </w:r>
    </w:p>
    <w:p w14:paraId="1531EF49" w14:textId="1D04188A" w:rsidR="009A1F9D" w:rsidRPr="009A1F9D" w:rsidRDefault="00D574A9" w:rsidP="009A1F9D">
      <w:pPr>
        <w:widowControl/>
        <w:spacing w:line="360" w:lineRule="auto"/>
        <w:rPr>
          <w:rFonts w:ascii="宋体" w:hAnsi="宋体" w:cs="Times New Roman"/>
          <w:kern w:val="0"/>
          <w:sz w:val="24"/>
          <w:szCs w:val="24"/>
        </w:rPr>
      </w:pPr>
      <w:r w:rsidRPr="008C408B">
        <w:rPr>
          <w:rFonts w:ascii="宋体" w:hAnsi="宋体" w:cs="Times New Roman" w:hint="eastAsia"/>
          <w:kern w:val="0"/>
          <w:sz w:val="24"/>
          <w:szCs w:val="24"/>
        </w:rPr>
        <w:t>A：</w:t>
      </w:r>
      <w:r w:rsidR="009A1F9D" w:rsidRPr="009A1F9D">
        <w:rPr>
          <w:rFonts w:ascii="宋体" w:hAnsi="宋体" w:cs="Times New Roman" w:hint="eastAsia"/>
          <w:kern w:val="0"/>
          <w:sz w:val="24"/>
          <w:szCs w:val="24"/>
        </w:rPr>
        <w:t>从行业属性来看，科研试剂属于研发活动中的基础性消耗品，广泛应用于高校、科研院所、生物医药、新能源、新材料、先进制造等领域，与下游研发活动景气度具有较强相关性。</w:t>
      </w:r>
    </w:p>
    <w:p w14:paraId="37B5933E" w14:textId="77777777" w:rsidR="009A1F9D" w:rsidRPr="009A1F9D" w:rsidRDefault="009A1F9D" w:rsidP="00D556D6">
      <w:pPr>
        <w:widowControl/>
        <w:spacing w:line="360" w:lineRule="auto"/>
        <w:ind w:firstLine="420"/>
        <w:rPr>
          <w:rFonts w:ascii="宋体" w:hAnsi="宋体" w:cs="Times New Roman"/>
          <w:kern w:val="0"/>
          <w:sz w:val="24"/>
          <w:szCs w:val="24"/>
        </w:rPr>
      </w:pPr>
      <w:r w:rsidRPr="009A1F9D">
        <w:rPr>
          <w:rFonts w:ascii="宋体" w:hAnsi="宋体" w:cs="Times New Roman" w:hint="eastAsia"/>
          <w:kern w:val="0"/>
          <w:sz w:val="24"/>
          <w:szCs w:val="24"/>
        </w:rPr>
        <w:t>近年来，随着国家持续实施创新驱动发展战略，我国科技创新体系建设不断深化，新技术、新产业、新应用持续涌现，带动全社会研发投入保持较快增长。根据国家统计局数据，2025年我国全社会研究与试验发展（R&amp;D）经费投入达到39,262亿元，同比增长8.1%；“十四五”期间，全社会研发经费投入年均增长约10%，研发投入强度持续提升，为科研试剂、实验耗材及科研服务行业的发展提供了坚实支撑。</w:t>
      </w:r>
    </w:p>
    <w:p w14:paraId="4BDE958D" w14:textId="77777777" w:rsidR="009A1F9D" w:rsidRPr="009A1F9D" w:rsidRDefault="009A1F9D" w:rsidP="00D556D6">
      <w:pPr>
        <w:widowControl/>
        <w:spacing w:line="360" w:lineRule="auto"/>
        <w:ind w:firstLine="420"/>
        <w:rPr>
          <w:rFonts w:ascii="宋体" w:hAnsi="宋体" w:cs="Times New Roman"/>
          <w:kern w:val="0"/>
          <w:sz w:val="24"/>
          <w:szCs w:val="24"/>
        </w:rPr>
      </w:pPr>
      <w:r w:rsidRPr="009A1F9D">
        <w:rPr>
          <w:rFonts w:ascii="宋体" w:hAnsi="宋体" w:cs="Times New Roman" w:hint="eastAsia"/>
          <w:kern w:val="0"/>
          <w:sz w:val="24"/>
          <w:szCs w:val="24"/>
        </w:rPr>
        <w:t>同时，从国家战略层面来看，“十五五”规划进一步强调科技自立自强和现代化产业体系建设，把基础研究、关键核心技术攻关、高端制造、生物医药、新材料、人工智能等战略性新兴产业作为重点发展方向，并提出持续提高全社会研发经费投入强度，加快建设科技强国。国家层面对科技创新和产业升级的持续支持，将进一步带动高校、科研院所及企业研发投入增长，为科研试剂及科研服务</w:t>
      </w:r>
      <w:r w:rsidRPr="009A1F9D">
        <w:rPr>
          <w:rFonts w:ascii="宋体" w:hAnsi="宋体" w:cs="Times New Roman" w:hint="eastAsia"/>
          <w:kern w:val="0"/>
          <w:sz w:val="24"/>
          <w:szCs w:val="24"/>
        </w:rPr>
        <w:lastRenderedPageBreak/>
        <w:t>行业带来长期发展机遇。 随着我国科技创新投入持续增加，以及国产替代趋势不断深化，科研试剂行业整体仍处于较好的发展阶段。</w:t>
      </w:r>
    </w:p>
    <w:p w14:paraId="351C2EDF" w14:textId="77777777" w:rsidR="009A1F9D" w:rsidRPr="009A1F9D" w:rsidRDefault="009A1F9D" w:rsidP="00D556D6">
      <w:pPr>
        <w:widowControl/>
        <w:spacing w:line="360" w:lineRule="auto"/>
        <w:ind w:firstLine="420"/>
        <w:rPr>
          <w:rFonts w:ascii="宋体" w:hAnsi="宋体" w:cs="Times New Roman"/>
          <w:kern w:val="0"/>
          <w:sz w:val="24"/>
          <w:szCs w:val="24"/>
        </w:rPr>
      </w:pPr>
      <w:r w:rsidRPr="009A1F9D">
        <w:rPr>
          <w:rFonts w:ascii="宋体" w:hAnsi="宋体" w:cs="Times New Roman" w:hint="eastAsia"/>
          <w:kern w:val="0"/>
          <w:sz w:val="24"/>
          <w:szCs w:val="24"/>
        </w:rPr>
        <w:t>结合公司经营情况来看，2025年以来，特别是2025年下半年以来，公司业务收入增长主要受益于国内企业客户以及高校、科研院所研发经费投入增加和科研活动活跃度提升。同时，公司不断丰富产品体系、提升供应链效率与客户服务能力，进一步增强了公司的市场竞争力和客户粘性。</w:t>
      </w:r>
    </w:p>
    <w:p w14:paraId="28AF1838" w14:textId="153EE307" w:rsidR="00D574A9" w:rsidRDefault="009A1F9D" w:rsidP="00D556D6">
      <w:pPr>
        <w:widowControl/>
        <w:spacing w:line="360" w:lineRule="auto"/>
        <w:ind w:firstLine="420"/>
        <w:rPr>
          <w:rFonts w:ascii="宋体" w:hAnsi="宋体" w:cs="Times New Roman"/>
          <w:kern w:val="0"/>
          <w:sz w:val="24"/>
          <w:szCs w:val="24"/>
        </w:rPr>
      </w:pPr>
      <w:r w:rsidRPr="009A1F9D">
        <w:rPr>
          <w:rFonts w:ascii="宋体" w:hAnsi="宋体" w:cs="Times New Roman" w:hint="eastAsia"/>
          <w:kern w:val="0"/>
          <w:sz w:val="24"/>
          <w:szCs w:val="24"/>
        </w:rPr>
        <w:t>总体而言，公司认为科研试剂及科研服务行业具备较强的长期成长逻辑。未来，随着国家科技创新战略持续推进、“十五五”期间研发投入进一步增长，以及战略性新兴产业加快发展，行业仍有望保持良好的发展态势和较大的成长空间</w:t>
      </w:r>
      <w:r w:rsidR="00850823">
        <w:rPr>
          <w:rFonts w:ascii="宋体" w:hAnsi="宋体" w:cs="Times New Roman" w:hint="eastAsia"/>
          <w:kern w:val="0"/>
          <w:sz w:val="24"/>
          <w:szCs w:val="24"/>
        </w:rPr>
        <w:t>。</w:t>
      </w:r>
    </w:p>
    <w:p w14:paraId="5D3F02A2" w14:textId="66B17D08" w:rsidR="007F7246" w:rsidRPr="008C408B" w:rsidRDefault="007F7246" w:rsidP="007F7246">
      <w:pPr>
        <w:widowControl/>
        <w:spacing w:line="360" w:lineRule="auto"/>
        <w:outlineLvl w:val="0"/>
        <w:rPr>
          <w:rFonts w:ascii="宋体" w:hAnsi="宋体" w:cs="宋体"/>
          <w:b/>
          <w:bCs/>
          <w:kern w:val="0"/>
          <w:sz w:val="24"/>
          <w:szCs w:val="24"/>
        </w:rPr>
      </w:pPr>
      <w:r w:rsidRPr="008C408B">
        <w:rPr>
          <w:rFonts w:ascii="宋体" w:hAnsi="宋体" w:cs="宋体" w:hint="eastAsia"/>
          <w:b/>
          <w:bCs/>
          <w:kern w:val="0"/>
          <w:sz w:val="24"/>
          <w:szCs w:val="24"/>
        </w:rPr>
        <w:t>Q：</w:t>
      </w:r>
      <w:r w:rsidR="009A1F9D" w:rsidRPr="009A1F9D">
        <w:rPr>
          <w:rFonts w:ascii="宋体" w:hAnsi="宋体" w:cs="宋体" w:hint="eastAsia"/>
          <w:b/>
          <w:bCs/>
          <w:kern w:val="0"/>
          <w:sz w:val="24"/>
          <w:szCs w:val="24"/>
        </w:rPr>
        <w:t>公司在海外市场的布局进展</w:t>
      </w:r>
      <w:r w:rsidRPr="00A31F39">
        <w:rPr>
          <w:rFonts w:ascii="宋体" w:hAnsi="宋体" w:cs="宋体" w:hint="eastAsia"/>
          <w:b/>
          <w:bCs/>
          <w:kern w:val="0"/>
          <w:sz w:val="24"/>
          <w:szCs w:val="24"/>
        </w:rPr>
        <w:t>？</w:t>
      </w:r>
    </w:p>
    <w:p w14:paraId="7D91CF18" w14:textId="77777777" w:rsidR="009A1F9D" w:rsidRPr="009A1F9D" w:rsidRDefault="007F7246" w:rsidP="009A1F9D">
      <w:pPr>
        <w:widowControl/>
        <w:spacing w:line="360" w:lineRule="auto"/>
        <w:rPr>
          <w:rFonts w:ascii="宋体" w:hAnsi="宋体" w:cs="Times New Roman"/>
          <w:kern w:val="0"/>
          <w:sz w:val="24"/>
          <w:szCs w:val="24"/>
        </w:rPr>
      </w:pPr>
      <w:r w:rsidRPr="008C408B">
        <w:rPr>
          <w:rFonts w:ascii="宋体" w:hAnsi="宋体" w:cs="Times New Roman" w:hint="eastAsia"/>
          <w:kern w:val="0"/>
          <w:sz w:val="24"/>
          <w:szCs w:val="24"/>
        </w:rPr>
        <w:t>A：</w:t>
      </w:r>
      <w:r w:rsidR="009A1F9D" w:rsidRPr="009A1F9D">
        <w:rPr>
          <w:rFonts w:ascii="宋体" w:hAnsi="宋体" w:cs="Times New Roman" w:hint="eastAsia"/>
          <w:kern w:val="0"/>
          <w:sz w:val="24"/>
          <w:szCs w:val="24"/>
        </w:rPr>
        <w:t>公司始终将国际化作为长期战略方向之一，持续推进海外市场布局，逐步构建覆盖全球主要科研市场的本地化科研服务体系。公司依托自主品牌、丰富的产品体系以及数字化运营能力，持续提升海外市场的品牌影响力与综合服务能力。在美国市场，公司本地化布局已相对成熟，SKU储备和库存能力显著提升，可更好满足当地科研客户对于交付时效和产品丰富度的需求。随着本地化运营能力、客户服务能力以及品牌影响力持续增强，公司美国市场业务有望进入较快增长阶段。</w:t>
      </w:r>
    </w:p>
    <w:p w14:paraId="1A672846" w14:textId="2B5E54CF" w:rsidR="007F7246" w:rsidRDefault="009A1F9D" w:rsidP="00D556D6">
      <w:pPr>
        <w:widowControl/>
        <w:spacing w:line="360" w:lineRule="auto"/>
        <w:ind w:firstLine="420"/>
        <w:rPr>
          <w:rFonts w:ascii="宋体" w:hAnsi="宋体" w:cs="Times New Roman"/>
          <w:kern w:val="0"/>
          <w:sz w:val="24"/>
          <w:szCs w:val="24"/>
        </w:rPr>
      </w:pPr>
      <w:r w:rsidRPr="009A1F9D">
        <w:rPr>
          <w:rFonts w:ascii="宋体" w:hAnsi="宋体" w:cs="Times New Roman" w:hint="eastAsia"/>
          <w:kern w:val="0"/>
          <w:sz w:val="24"/>
          <w:szCs w:val="24"/>
        </w:rPr>
        <w:t>在欧洲市场，公司正加快推进区域布局，目前整体开局良好。公司已启动欧洲仓储备货工作，核心运营团队基本到位，预计德国仓库将在今年第三季度完成备货，并于第四季度逐步实现销售。</w:t>
      </w:r>
    </w:p>
    <w:p w14:paraId="33064144" w14:textId="1B121167" w:rsidR="008B0A3C" w:rsidRPr="008C408B" w:rsidRDefault="008B0A3C" w:rsidP="008B0A3C">
      <w:pPr>
        <w:widowControl/>
        <w:spacing w:line="360" w:lineRule="auto"/>
        <w:outlineLvl w:val="0"/>
        <w:rPr>
          <w:rFonts w:ascii="宋体" w:hAnsi="宋体" w:cs="宋体"/>
          <w:b/>
          <w:bCs/>
          <w:kern w:val="0"/>
          <w:sz w:val="24"/>
          <w:szCs w:val="24"/>
        </w:rPr>
      </w:pPr>
      <w:r w:rsidRPr="008C408B">
        <w:rPr>
          <w:rFonts w:ascii="宋体" w:hAnsi="宋体" w:cs="宋体" w:hint="eastAsia"/>
          <w:b/>
          <w:bCs/>
          <w:kern w:val="0"/>
          <w:sz w:val="24"/>
          <w:szCs w:val="24"/>
        </w:rPr>
        <w:t>Q：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公司</w:t>
      </w:r>
      <w:r w:rsidRPr="008B0A3C">
        <w:rPr>
          <w:rFonts w:ascii="宋体" w:hAnsi="宋体" w:cs="宋体" w:hint="eastAsia"/>
          <w:b/>
          <w:bCs/>
          <w:kern w:val="0"/>
          <w:sz w:val="24"/>
          <w:szCs w:val="24"/>
        </w:rPr>
        <w:t>订单增量来源主要是什么</w:t>
      </w:r>
      <w:r w:rsidRPr="00A31F39">
        <w:rPr>
          <w:rFonts w:ascii="宋体" w:hAnsi="宋体" w:cs="宋体" w:hint="eastAsia"/>
          <w:b/>
          <w:bCs/>
          <w:kern w:val="0"/>
          <w:sz w:val="24"/>
          <w:szCs w:val="24"/>
        </w:rPr>
        <w:t>？</w:t>
      </w:r>
    </w:p>
    <w:p w14:paraId="7506B655" w14:textId="29B3EB1D" w:rsidR="008B0A3C" w:rsidRDefault="008B0A3C" w:rsidP="008B0A3C">
      <w:pPr>
        <w:widowControl/>
        <w:spacing w:line="360" w:lineRule="auto"/>
        <w:rPr>
          <w:rFonts w:ascii="宋体" w:hAnsi="宋体" w:cs="Times New Roman"/>
          <w:kern w:val="0"/>
          <w:sz w:val="24"/>
          <w:szCs w:val="24"/>
        </w:rPr>
      </w:pPr>
      <w:r w:rsidRPr="008C408B">
        <w:rPr>
          <w:rFonts w:ascii="宋体" w:hAnsi="宋体" w:cs="Times New Roman" w:hint="eastAsia"/>
          <w:kern w:val="0"/>
          <w:sz w:val="24"/>
          <w:szCs w:val="24"/>
        </w:rPr>
        <w:t>A：</w:t>
      </w:r>
      <w:r w:rsidRPr="00574DF6">
        <w:rPr>
          <w:rFonts w:ascii="宋体" w:hAnsi="宋体" w:cs="Times New Roman" w:hint="eastAsia"/>
          <w:kern w:val="0"/>
          <w:sz w:val="24"/>
          <w:szCs w:val="24"/>
        </w:rPr>
        <w:t>随着宏观经济的向好，企业端客户需求恢复较快。与此同时，近年来高校持续扩招，也推动了高校需求的持续提升。</w:t>
      </w:r>
    </w:p>
    <w:p w14:paraId="619158FF" w14:textId="52C5551A" w:rsidR="008B0A3C" w:rsidRPr="007A4C43" w:rsidRDefault="008B0A3C" w:rsidP="008B0A3C">
      <w:pPr>
        <w:widowControl/>
        <w:spacing w:line="360" w:lineRule="auto"/>
        <w:outlineLvl w:val="0"/>
        <w:rPr>
          <w:rFonts w:ascii="宋体" w:hAnsi="宋体" w:cs="宋体"/>
          <w:b/>
          <w:bCs/>
          <w:kern w:val="0"/>
          <w:sz w:val="24"/>
          <w:szCs w:val="24"/>
        </w:rPr>
      </w:pPr>
      <w:r w:rsidRPr="007A4C43">
        <w:rPr>
          <w:rFonts w:ascii="宋体" w:hAnsi="宋体" w:cs="宋体" w:hint="eastAsia"/>
          <w:b/>
          <w:bCs/>
          <w:kern w:val="0"/>
          <w:sz w:val="24"/>
          <w:szCs w:val="24"/>
        </w:rPr>
        <w:t>Q：随着营收增长，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公司现金流是否有压力</w:t>
      </w:r>
      <w:r w:rsidRPr="007A4C43">
        <w:rPr>
          <w:rFonts w:ascii="宋体" w:hAnsi="宋体" w:cs="宋体" w:hint="eastAsia"/>
          <w:b/>
          <w:bCs/>
          <w:kern w:val="0"/>
          <w:sz w:val="24"/>
          <w:szCs w:val="24"/>
        </w:rPr>
        <w:t>？</w:t>
      </w:r>
    </w:p>
    <w:p w14:paraId="6CA50285" w14:textId="1BC3FE04" w:rsidR="008B0A3C" w:rsidRPr="008B0A3C" w:rsidRDefault="008B0A3C" w:rsidP="008B0A3C">
      <w:pPr>
        <w:widowControl/>
        <w:spacing w:line="360" w:lineRule="auto"/>
        <w:rPr>
          <w:rFonts w:ascii="宋体" w:hAnsi="宋体" w:cs="Times New Roman"/>
          <w:kern w:val="0"/>
          <w:sz w:val="24"/>
          <w:szCs w:val="24"/>
        </w:rPr>
      </w:pPr>
      <w:r w:rsidRPr="007A4C43">
        <w:rPr>
          <w:rFonts w:ascii="宋体" w:hAnsi="宋体" w:cs="Times New Roman" w:hint="eastAsia"/>
          <w:kern w:val="0"/>
          <w:sz w:val="24"/>
          <w:szCs w:val="24"/>
        </w:rPr>
        <w:t>A：总体来说，公司账期较短，应收账款规模小，回款快，现金流量好。</w:t>
      </w:r>
    </w:p>
    <w:p w14:paraId="3F5044C5" w14:textId="77777777" w:rsidR="00BF1529" w:rsidRPr="00D562F9" w:rsidRDefault="00BF1529" w:rsidP="00B305A9">
      <w:pPr>
        <w:widowControl/>
        <w:spacing w:line="480" w:lineRule="auto"/>
        <w:rPr>
          <w:rFonts w:ascii="宋体" w:hAnsi="宋体" w:cs="宋体"/>
          <w:kern w:val="0"/>
          <w:sz w:val="24"/>
          <w:szCs w:val="24"/>
        </w:rPr>
      </w:pPr>
      <w:r w:rsidRPr="00D562F9">
        <w:rPr>
          <w:rFonts w:ascii="宋体" w:hAnsi="宋体" w:cs="宋体" w:hint="eastAsia"/>
          <w:b/>
          <w:bCs/>
          <w:kern w:val="0"/>
          <w:sz w:val="24"/>
          <w:szCs w:val="24"/>
        </w:rPr>
        <w:t>三、关于本次活动是否涉及应当披露重大信息的说明</w:t>
      </w:r>
    </w:p>
    <w:p w14:paraId="7BD5B39C" w14:textId="7DBE7D1C" w:rsidR="00BF1529" w:rsidRPr="00BF1529" w:rsidRDefault="00BF1529" w:rsidP="00B305A9">
      <w:pPr>
        <w:widowControl/>
        <w:spacing w:line="360" w:lineRule="auto"/>
        <w:rPr>
          <w:rFonts w:ascii="宋体" w:hAnsi="宋体" w:cs="Times New Roman"/>
          <w:kern w:val="0"/>
          <w:sz w:val="24"/>
          <w:szCs w:val="24"/>
        </w:rPr>
      </w:pPr>
      <w:r w:rsidRPr="00B0592B">
        <w:rPr>
          <w:rFonts w:ascii="宋体" w:hAnsi="宋体" w:cs="Times New Roman" w:hint="eastAsia"/>
          <w:sz w:val="24"/>
          <w:szCs w:val="24"/>
        </w:rPr>
        <w:t>本次活动不涉及应当披露的重大信息。</w:t>
      </w:r>
    </w:p>
    <w:sectPr w:rsidR="00BF1529" w:rsidRPr="00BF1529" w:rsidSect="000B2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331E7" w14:textId="77777777" w:rsidR="008D26D4" w:rsidRDefault="008D26D4" w:rsidP="00186984">
      <w:r>
        <w:separator/>
      </w:r>
    </w:p>
  </w:endnote>
  <w:endnote w:type="continuationSeparator" w:id="0">
    <w:p w14:paraId="75497813" w14:textId="77777777" w:rsidR="008D26D4" w:rsidRDefault="008D26D4" w:rsidP="00186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43F1D" w14:textId="77777777" w:rsidR="008D26D4" w:rsidRDefault="008D26D4" w:rsidP="00186984">
      <w:r>
        <w:separator/>
      </w:r>
    </w:p>
  </w:footnote>
  <w:footnote w:type="continuationSeparator" w:id="0">
    <w:p w14:paraId="0B5C2571" w14:textId="77777777" w:rsidR="008D26D4" w:rsidRDefault="008D26D4" w:rsidP="00186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26B"/>
    <w:rsid w:val="00005D7B"/>
    <w:rsid w:val="00012A49"/>
    <w:rsid w:val="00012F02"/>
    <w:rsid w:val="00014832"/>
    <w:rsid w:val="00017C9D"/>
    <w:rsid w:val="000230B6"/>
    <w:rsid w:val="00031D8B"/>
    <w:rsid w:val="00037B3E"/>
    <w:rsid w:val="000407CB"/>
    <w:rsid w:val="000423E5"/>
    <w:rsid w:val="00042D26"/>
    <w:rsid w:val="00044999"/>
    <w:rsid w:val="00064E02"/>
    <w:rsid w:val="0007021C"/>
    <w:rsid w:val="00071991"/>
    <w:rsid w:val="00074C36"/>
    <w:rsid w:val="000775FD"/>
    <w:rsid w:val="000808C6"/>
    <w:rsid w:val="00082E5D"/>
    <w:rsid w:val="00085C23"/>
    <w:rsid w:val="00085EFA"/>
    <w:rsid w:val="00087318"/>
    <w:rsid w:val="0009169C"/>
    <w:rsid w:val="0009572A"/>
    <w:rsid w:val="000965F2"/>
    <w:rsid w:val="00097528"/>
    <w:rsid w:val="000A3559"/>
    <w:rsid w:val="000B2223"/>
    <w:rsid w:val="000B2424"/>
    <w:rsid w:val="000B4B05"/>
    <w:rsid w:val="000B4F60"/>
    <w:rsid w:val="000B596D"/>
    <w:rsid w:val="000B5D33"/>
    <w:rsid w:val="000B724B"/>
    <w:rsid w:val="000B7B33"/>
    <w:rsid w:val="000C1BBD"/>
    <w:rsid w:val="000C479B"/>
    <w:rsid w:val="000D6D4C"/>
    <w:rsid w:val="000D703C"/>
    <w:rsid w:val="000D7537"/>
    <w:rsid w:val="000D772E"/>
    <w:rsid w:val="000E0087"/>
    <w:rsid w:val="000E0FA0"/>
    <w:rsid w:val="000E4506"/>
    <w:rsid w:val="000E6FAC"/>
    <w:rsid w:val="000E6FED"/>
    <w:rsid w:val="000F2176"/>
    <w:rsid w:val="000F2731"/>
    <w:rsid w:val="000F3FD7"/>
    <w:rsid w:val="000F71F1"/>
    <w:rsid w:val="00100AD4"/>
    <w:rsid w:val="00110A62"/>
    <w:rsid w:val="001137DE"/>
    <w:rsid w:val="00115679"/>
    <w:rsid w:val="00124217"/>
    <w:rsid w:val="001348C4"/>
    <w:rsid w:val="00134B8B"/>
    <w:rsid w:val="00137A98"/>
    <w:rsid w:val="00140189"/>
    <w:rsid w:val="001414FD"/>
    <w:rsid w:val="00145B59"/>
    <w:rsid w:val="00150604"/>
    <w:rsid w:val="00152E98"/>
    <w:rsid w:val="001627E5"/>
    <w:rsid w:val="00162AC0"/>
    <w:rsid w:val="00162B96"/>
    <w:rsid w:val="00163FAF"/>
    <w:rsid w:val="0017198A"/>
    <w:rsid w:val="00176645"/>
    <w:rsid w:val="00180E2C"/>
    <w:rsid w:val="00183B97"/>
    <w:rsid w:val="00185FD8"/>
    <w:rsid w:val="00186984"/>
    <w:rsid w:val="00191899"/>
    <w:rsid w:val="001B325B"/>
    <w:rsid w:val="001B47A4"/>
    <w:rsid w:val="001B75A7"/>
    <w:rsid w:val="001B787C"/>
    <w:rsid w:val="001C6229"/>
    <w:rsid w:val="001C7769"/>
    <w:rsid w:val="001D10FC"/>
    <w:rsid w:val="001D2652"/>
    <w:rsid w:val="001E3AE8"/>
    <w:rsid w:val="001F2D49"/>
    <w:rsid w:val="001F3306"/>
    <w:rsid w:val="001F4C1C"/>
    <w:rsid w:val="0021114E"/>
    <w:rsid w:val="00212EB7"/>
    <w:rsid w:val="0021448E"/>
    <w:rsid w:val="00214FAA"/>
    <w:rsid w:val="00215D47"/>
    <w:rsid w:val="002161D1"/>
    <w:rsid w:val="00221F65"/>
    <w:rsid w:val="00224F01"/>
    <w:rsid w:val="0023626C"/>
    <w:rsid w:val="00244482"/>
    <w:rsid w:val="00245AD2"/>
    <w:rsid w:val="00251D52"/>
    <w:rsid w:val="0025363E"/>
    <w:rsid w:val="00253675"/>
    <w:rsid w:val="00255362"/>
    <w:rsid w:val="00255F22"/>
    <w:rsid w:val="00260813"/>
    <w:rsid w:val="0026505F"/>
    <w:rsid w:val="0026541C"/>
    <w:rsid w:val="00265807"/>
    <w:rsid w:val="00266BFB"/>
    <w:rsid w:val="00273C3A"/>
    <w:rsid w:val="00277264"/>
    <w:rsid w:val="0028107B"/>
    <w:rsid w:val="002816A4"/>
    <w:rsid w:val="00281AFC"/>
    <w:rsid w:val="002833F9"/>
    <w:rsid w:val="0028520D"/>
    <w:rsid w:val="002933A9"/>
    <w:rsid w:val="002943B0"/>
    <w:rsid w:val="0029585B"/>
    <w:rsid w:val="00296344"/>
    <w:rsid w:val="002A27E0"/>
    <w:rsid w:val="002A404A"/>
    <w:rsid w:val="002B2389"/>
    <w:rsid w:val="002B4235"/>
    <w:rsid w:val="002B660E"/>
    <w:rsid w:val="002B75BC"/>
    <w:rsid w:val="002C1C30"/>
    <w:rsid w:val="002C463C"/>
    <w:rsid w:val="002C5114"/>
    <w:rsid w:val="002C518E"/>
    <w:rsid w:val="002D71DA"/>
    <w:rsid w:val="002D79E1"/>
    <w:rsid w:val="002E10ED"/>
    <w:rsid w:val="002F2DAD"/>
    <w:rsid w:val="002F4C02"/>
    <w:rsid w:val="002F4E27"/>
    <w:rsid w:val="00302929"/>
    <w:rsid w:val="00315FAD"/>
    <w:rsid w:val="003417A6"/>
    <w:rsid w:val="0034381B"/>
    <w:rsid w:val="00345429"/>
    <w:rsid w:val="00347479"/>
    <w:rsid w:val="00350E07"/>
    <w:rsid w:val="00350E90"/>
    <w:rsid w:val="00351F04"/>
    <w:rsid w:val="003572AF"/>
    <w:rsid w:val="00357BA5"/>
    <w:rsid w:val="00357C98"/>
    <w:rsid w:val="00361416"/>
    <w:rsid w:val="00361A13"/>
    <w:rsid w:val="00362ADE"/>
    <w:rsid w:val="00362F95"/>
    <w:rsid w:val="00372974"/>
    <w:rsid w:val="00376316"/>
    <w:rsid w:val="00383523"/>
    <w:rsid w:val="00384E1C"/>
    <w:rsid w:val="003901A1"/>
    <w:rsid w:val="00390774"/>
    <w:rsid w:val="00394681"/>
    <w:rsid w:val="003A1266"/>
    <w:rsid w:val="003A6182"/>
    <w:rsid w:val="003A7A82"/>
    <w:rsid w:val="003B248F"/>
    <w:rsid w:val="003B2508"/>
    <w:rsid w:val="003B2967"/>
    <w:rsid w:val="003B3143"/>
    <w:rsid w:val="003B4043"/>
    <w:rsid w:val="003B6EC0"/>
    <w:rsid w:val="003C192D"/>
    <w:rsid w:val="003C3B4E"/>
    <w:rsid w:val="003C600F"/>
    <w:rsid w:val="003C7E2E"/>
    <w:rsid w:val="003D50D7"/>
    <w:rsid w:val="003E09EC"/>
    <w:rsid w:val="003E32E5"/>
    <w:rsid w:val="003F1E0F"/>
    <w:rsid w:val="003F77E4"/>
    <w:rsid w:val="003F79B7"/>
    <w:rsid w:val="00402623"/>
    <w:rsid w:val="0041718A"/>
    <w:rsid w:val="00423458"/>
    <w:rsid w:val="00423881"/>
    <w:rsid w:val="00424C77"/>
    <w:rsid w:val="00425A98"/>
    <w:rsid w:val="00425BF1"/>
    <w:rsid w:val="00432872"/>
    <w:rsid w:val="00432AB8"/>
    <w:rsid w:val="0043315A"/>
    <w:rsid w:val="0044123E"/>
    <w:rsid w:val="0045033F"/>
    <w:rsid w:val="004549F2"/>
    <w:rsid w:val="00457C62"/>
    <w:rsid w:val="00462DDD"/>
    <w:rsid w:val="00475494"/>
    <w:rsid w:val="00483A63"/>
    <w:rsid w:val="00483E8C"/>
    <w:rsid w:val="004845FD"/>
    <w:rsid w:val="00490C47"/>
    <w:rsid w:val="00493343"/>
    <w:rsid w:val="0049387F"/>
    <w:rsid w:val="004A5CBE"/>
    <w:rsid w:val="004A734A"/>
    <w:rsid w:val="004B08E2"/>
    <w:rsid w:val="004B1645"/>
    <w:rsid w:val="004C033D"/>
    <w:rsid w:val="004C16AB"/>
    <w:rsid w:val="004C73E0"/>
    <w:rsid w:val="004D0E4D"/>
    <w:rsid w:val="004D777D"/>
    <w:rsid w:val="004E1DBD"/>
    <w:rsid w:val="004E2FF9"/>
    <w:rsid w:val="004F312F"/>
    <w:rsid w:val="004F321D"/>
    <w:rsid w:val="004F74FA"/>
    <w:rsid w:val="00500C28"/>
    <w:rsid w:val="00510EAD"/>
    <w:rsid w:val="00512A0E"/>
    <w:rsid w:val="00513FBF"/>
    <w:rsid w:val="00514C0D"/>
    <w:rsid w:val="00520C30"/>
    <w:rsid w:val="00522C56"/>
    <w:rsid w:val="005331F7"/>
    <w:rsid w:val="0053322C"/>
    <w:rsid w:val="00535B5A"/>
    <w:rsid w:val="005370B5"/>
    <w:rsid w:val="00546575"/>
    <w:rsid w:val="005625B7"/>
    <w:rsid w:val="00562C90"/>
    <w:rsid w:val="00564B65"/>
    <w:rsid w:val="00565262"/>
    <w:rsid w:val="00565C03"/>
    <w:rsid w:val="0056719B"/>
    <w:rsid w:val="00574DF6"/>
    <w:rsid w:val="005754B4"/>
    <w:rsid w:val="00585B58"/>
    <w:rsid w:val="0059250E"/>
    <w:rsid w:val="00595B67"/>
    <w:rsid w:val="005A0BA9"/>
    <w:rsid w:val="005B240C"/>
    <w:rsid w:val="005B251C"/>
    <w:rsid w:val="005B5BDA"/>
    <w:rsid w:val="005D4BC0"/>
    <w:rsid w:val="005D7657"/>
    <w:rsid w:val="005E0832"/>
    <w:rsid w:val="005E0EEB"/>
    <w:rsid w:val="005E5259"/>
    <w:rsid w:val="005F1519"/>
    <w:rsid w:val="005F276C"/>
    <w:rsid w:val="005F655E"/>
    <w:rsid w:val="0060191E"/>
    <w:rsid w:val="00603B54"/>
    <w:rsid w:val="006069C8"/>
    <w:rsid w:val="00607867"/>
    <w:rsid w:val="006108AC"/>
    <w:rsid w:val="00610B5B"/>
    <w:rsid w:val="00613A48"/>
    <w:rsid w:val="00613C55"/>
    <w:rsid w:val="00613C97"/>
    <w:rsid w:val="00622E67"/>
    <w:rsid w:val="006243F6"/>
    <w:rsid w:val="00627874"/>
    <w:rsid w:val="006374B0"/>
    <w:rsid w:val="00651B35"/>
    <w:rsid w:val="00652F22"/>
    <w:rsid w:val="0065651A"/>
    <w:rsid w:val="006605AA"/>
    <w:rsid w:val="00663158"/>
    <w:rsid w:val="006650AB"/>
    <w:rsid w:val="00670CC1"/>
    <w:rsid w:val="00670CD7"/>
    <w:rsid w:val="00672AE0"/>
    <w:rsid w:val="00673E9F"/>
    <w:rsid w:val="006825A5"/>
    <w:rsid w:val="006829B7"/>
    <w:rsid w:val="00683C75"/>
    <w:rsid w:val="00687645"/>
    <w:rsid w:val="00694E6B"/>
    <w:rsid w:val="00696E1B"/>
    <w:rsid w:val="006A0FD5"/>
    <w:rsid w:val="006A3BAD"/>
    <w:rsid w:val="006B09AE"/>
    <w:rsid w:val="006B5719"/>
    <w:rsid w:val="006C2F4E"/>
    <w:rsid w:val="006C38AA"/>
    <w:rsid w:val="006C5827"/>
    <w:rsid w:val="006D1F87"/>
    <w:rsid w:val="006D7796"/>
    <w:rsid w:val="006E1CE9"/>
    <w:rsid w:val="006E534C"/>
    <w:rsid w:val="006E5A19"/>
    <w:rsid w:val="006E7E79"/>
    <w:rsid w:val="006F66F9"/>
    <w:rsid w:val="00703280"/>
    <w:rsid w:val="007078B9"/>
    <w:rsid w:val="00710378"/>
    <w:rsid w:val="00721E4F"/>
    <w:rsid w:val="00723096"/>
    <w:rsid w:val="00723E02"/>
    <w:rsid w:val="00724344"/>
    <w:rsid w:val="00734820"/>
    <w:rsid w:val="00734CD9"/>
    <w:rsid w:val="00735A83"/>
    <w:rsid w:val="00737005"/>
    <w:rsid w:val="0073775C"/>
    <w:rsid w:val="00743CBB"/>
    <w:rsid w:val="00745EE5"/>
    <w:rsid w:val="007463DD"/>
    <w:rsid w:val="0076256D"/>
    <w:rsid w:val="00773867"/>
    <w:rsid w:val="007768CB"/>
    <w:rsid w:val="00776EFF"/>
    <w:rsid w:val="00777EFE"/>
    <w:rsid w:val="00780D13"/>
    <w:rsid w:val="0078549D"/>
    <w:rsid w:val="007A13B3"/>
    <w:rsid w:val="007A4B2E"/>
    <w:rsid w:val="007B05DF"/>
    <w:rsid w:val="007B1C9B"/>
    <w:rsid w:val="007B21C0"/>
    <w:rsid w:val="007B3F9A"/>
    <w:rsid w:val="007C35EF"/>
    <w:rsid w:val="007C53C5"/>
    <w:rsid w:val="007D3C24"/>
    <w:rsid w:val="007F496E"/>
    <w:rsid w:val="007F5E1A"/>
    <w:rsid w:val="007F7246"/>
    <w:rsid w:val="008057AF"/>
    <w:rsid w:val="00807293"/>
    <w:rsid w:val="00807DB2"/>
    <w:rsid w:val="008107CA"/>
    <w:rsid w:val="00814254"/>
    <w:rsid w:val="00827275"/>
    <w:rsid w:val="0082730E"/>
    <w:rsid w:val="008307EA"/>
    <w:rsid w:val="00831E2C"/>
    <w:rsid w:val="00831FF6"/>
    <w:rsid w:val="00832139"/>
    <w:rsid w:val="00850645"/>
    <w:rsid w:val="00850823"/>
    <w:rsid w:val="0085494A"/>
    <w:rsid w:val="00854A0F"/>
    <w:rsid w:val="008551BC"/>
    <w:rsid w:val="0085700E"/>
    <w:rsid w:val="0085706A"/>
    <w:rsid w:val="00857B52"/>
    <w:rsid w:val="00861E23"/>
    <w:rsid w:val="0087143C"/>
    <w:rsid w:val="008A6F44"/>
    <w:rsid w:val="008B0A3C"/>
    <w:rsid w:val="008B419A"/>
    <w:rsid w:val="008B4248"/>
    <w:rsid w:val="008B59F9"/>
    <w:rsid w:val="008C408B"/>
    <w:rsid w:val="008C658A"/>
    <w:rsid w:val="008D10C8"/>
    <w:rsid w:val="008D1113"/>
    <w:rsid w:val="008D26D4"/>
    <w:rsid w:val="008D405A"/>
    <w:rsid w:val="008D435B"/>
    <w:rsid w:val="008E2600"/>
    <w:rsid w:val="008E51CD"/>
    <w:rsid w:val="008E5AF9"/>
    <w:rsid w:val="008E7880"/>
    <w:rsid w:val="008F158A"/>
    <w:rsid w:val="008F28FD"/>
    <w:rsid w:val="008F6273"/>
    <w:rsid w:val="0090209B"/>
    <w:rsid w:val="00905BCF"/>
    <w:rsid w:val="0091040E"/>
    <w:rsid w:val="0091791E"/>
    <w:rsid w:val="00922ED1"/>
    <w:rsid w:val="009230E3"/>
    <w:rsid w:val="009322E9"/>
    <w:rsid w:val="00935B07"/>
    <w:rsid w:val="009360DC"/>
    <w:rsid w:val="0094322D"/>
    <w:rsid w:val="0094406C"/>
    <w:rsid w:val="00944911"/>
    <w:rsid w:val="009468D3"/>
    <w:rsid w:val="00951BD1"/>
    <w:rsid w:val="009674FB"/>
    <w:rsid w:val="009727F5"/>
    <w:rsid w:val="0098407B"/>
    <w:rsid w:val="0098746D"/>
    <w:rsid w:val="00987847"/>
    <w:rsid w:val="009915BD"/>
    <w:rsid w:val="00996F5B"/>
    <w:rsid w:val="00997004"/>
    <w:rsid w:val="009977F2"/>
    <w:rsid w:val="009A09EF"/>
    <w:rsid w:val="009A1F9D"/>
    <w:rsid w:val="009A2F74"/>
    <w:rsid w:val="009A59E2"/>
    <w:rsid w:val="009B7B73"/>
    <w:rsid w:val="009C42F5"/>
    <w:rsid w:val="009C4361"/>
    <w:rsid w:val="009D02D9"/>
    <w:rsid w:val="009D6B81"/>
    <w:rsid w:val="009E1ABD"/>
    <w:rsid w:val="009E692D"/>
    <w:rsid w:val="009F03B6"/>
    <w:rsid w:val="009F1725"/>
    <w:rsid w:val="009F4899"/>
    <w:rsid w:val="009F68FC"/>
    <w:rsid w:val="009F79CE"/>
    <w:rsid w:val="00A10911"/>
    <w:rsid w:val="00A11F4A"/>
    <w:rsid w:val="00A17D4A"/>
    <w:rsid w:val="00A30C2E"/>
    <w:rsid w:val="00A31F39"/>
    <w:rsid w:val="00A36D2A"/>
    <w:rsid w:val="00A46B21"/>
    <w:rsid w:val="00A47D0E"/>
    <w:rsid w:val="00A5298D"/>
    <w:rsid w:val="00A5482B"/>
    <w:rsid w:val="00A57E69"/>
    <w:rsid w:val="00A6159B"/>
    <w:rsid w:val="00A659AF"/>
    <w:rsid w:val="00A65ABD"/>
    <w:rsid w:val="00A65ACD"/>
    <w:rsid w:val="00A6714C"/>
    <w:rsid w:val="00A95966"/>
    <w:rsid w:val="00A97070"/>
    <w:rsid w:val="00AA193F"/>
    <w:rsid w:val="00AA1E82"/>
    <w:rsid w:val="00AA5458"/>
    <w:rsid w:val="00AA70DE"/>
    <w:rsid w:val="00AA7E8D"/>
    <w:rsid w:val="00AB3FA9"/>
    <w:rsid w:val="00AB4C9F"/>
    <w:rsid w:val="00AB6D88"/>
    <w:rsid w:val="00AB79BD"/>
    <w:rsid w:val="00AC0AC3"/>
    <w:rsid w:val="00AC1A53"/>
    <w:rsid w:val="00AC39BC"/>
    <w:rsid w:val="00AC557D"/>
    <w:rsid w:val="00AD284B"/>
    <w:rsid w:val="00AD4D46"/>
    <w:rsid w:val="00AE10C9"/>
    <w:rsid w:val="00AE3165"/>
    <w:rsid w:val="00AE630F"/>
    <w:rsid w:val="00AF3343"/>
    <w:rsid w:val="00AF3662"/>
    <w:rsid w:val="00AF74F0"/>
    <w:rsid w:val="00AF7D29"/>
    <w:rsid w:val="00B0592B"/>
    <w:rsid w:val="00B137E3"/>
    <w:rsid w:val="00B138EA"/>
    <w:rsid w:val="00B16239"/>
    <w:rsid w:val="00B22193"/>
    <w:rsid w:val="00B22CAD"/>
    <w:rsid w:val="00B26007"/>
    <w:rsid w:val="00B277B1"/>
    <w:rsid w:val="00B305A9"/>
    <w:rsid w:val="00B340F5"/>
    <w:rsid w:val="00B46484"/>
    <w:rsid w:val="00B55CA0"/>
    <w:rsid w:val="00B560B4"/>
    <w:rsid w:val="00B574C7"/>
    <w:rsid w:val="00B579FA"/>
    <w:rsid w:val="00B60169"/>
    <w:rsid w:val="00B666B9"/>
    <w:rsid w:val="00B72071"/>
    <w:rsid w:val="00B72A3B"/>
    <w:rsid w:val="00B74547"/>
    <w:rsid w:val="00B7543D"/>
    <w:rsid w:val="00B84AED"/>
    <w:rsid w:val="00B857E7"/>
    <w:rsid w:val="00B91864"/>
    <w:rsid w:val="00B937F0"/>
    <w:rsid w:val="00B94FE4"/>
    <w:rsid w:val="00BB1FC1"/>
    <w:rsid w:val="00BC1B51"/>
    <w:rsid w:val="00BC409D"/>
    <w:rsid w:val="00BC723F"/>
    <w:rsid w:val="00BD2EB8"/>
    <w:rsid w:val="00BD5AB0"/>
    <w:rsid w:val="00BD7E89"/>
    <w:rsid w:val="00BE1813"/>
    <w:rsid w:val="00BE19E8"/>
    <w:rsid w:val="00BE7355"/>
    <w:rsid w:val="00BF1529"/>
    <w:rsid w:val="00C01007"/>
    <w:rsid w:val="00C02B67"/>
    <w:rsid w:val="00C07965"/>
    <w:rsid w:val="00C17A03"/>
    <w:rsid w:val="00C23CD7"/>
    <w:rsid w:val="00C25749"/>
    <w:rsid w:val="00C26D4F"/>
    <w:rsid w:val="00C26FAB"/>
    <w:rsid w:val="00C27A69"/>
    <w:rsid w:val="00C31CFA"/>
    <w:rsid w:val="00C33131"/>
    <w:rsid w:val="00C3637D"/>
    <w:rsid w:val="00C422FF"/>
    <w:rsid w:val="00C429E4"/>
    <w:rsid w:val="00C44A1C"/>
    <w:rsid w:val="00C55C89"/>
    <w:rsid w:val="00C5733A"/>
    <w:rsid w:val="00C62CB4"/>
    <w:rsid w:val="00C65259"/>
    <w:rsid w:val="00C660E6"/>
    <w:rsid w:val="00C70BA6"/>
    <w:rsid w:val="00C70E32"/>
    <w:rsid w:val="00C713D9"/>
    <w:rsid w:val="00C83257"/>
    <w:rsid w:val="00C87306"/>
    <w:rsid w:val="00C95FFF"/>
    <w:rsid w:val="00C97B9B"/>
    <w:rsid w:val="00CA08CE"/>
    <w:rsid w:val="00CB766A"/>
    <w:rsid w:val="00CB7FCB"/>
    <w:rsid w:val="00CC06E6"/>
    <w:rsid w:val="00CD193F"/>
    <w:rsid w:val="00CD2EF3"/>
    <w:rsid w:val="00CE1D99"/>
    <w:rsid w:val="00CF116B"/>
    <w:rsid w:val="00D00492"/>
    <w:rsid w:val="00D00ECB"/>
    <w:rsid w:val="00D0386E"/>
    <w:rsid w:val="00D03F97"/>
    <w:rsid w:val="00D03FC4"/>
    <w:rsid w:val="00D052EB"/>
    <w:rsid w:val="00D10804"/>
    <w:rsid w:val="00D13900"/>
    <w:rsid w:val="00D30E67"/>
    <w:rsid w:val="00D35A77"/>
    <w:rsid w:val="00D373F2"/>
    <w:rsid w:val="00D50518"/>
    <w:rsid w:val="00D511B5"/>
    <w:rsid w:val="00D51232"/>
    <w:rsid w:val="00D539DE"/>
    <w:rsid w:val="00D549CC"/>
    <w:rsid w:val="00D556D6"/>
    <w:rsid w:val="00D55CFB"/>
    <w:rsid w:val="00D562F9"/>
    <w:rsid w:val="00D574A9"/>
    <w:rsid w:val="00D6060E"/>
    <w:rsid w:val="00D62D3F"/>
    <w:rsid w:val="00D62FFE"/>
    <w:rsid w:val="00D76268"/>
    <w:rsid w:val="00D76700"/>
    <w:rsid w:val="00D77076"/>
    <w:rsid w:val="00D807F7"/>
    <w:rsid w:val="00D81D9E"/>
    <w:rsid w:val="00D82B12"/>
    <w:rsid w:val="00D82E23"/>
    <w:rsid w:val="00D83E75"/>
    <w:rsid w:val="00D8426B"/>
    <w:rsid w:val="00D84D28"/>
    <w:rsid w:val="00D854F6"/>
    <w:rsid w:val="00D863F4"/>
    <w:rsid w:val="00D9013B"/>
    <w:rsid w:val="00D95744"/>
    <w:rsid w:val="00DA11B9"/>
    <w:rsid w:val="00DA3153"/>
    <w:rsid w:val="00DA67AD"/>
    <w:rsid w:val="00DA7C37"/>
    <w:rsid w:val="00DB111C"/>
    <w:rsid w:val="00DB5B7B"/>
    <w:rsid w:val="00DC57C9"/>
    <w:rsid w:val="00DC70B7"/>
    <w:rsid w:val="00DE4ECC"/>
    <w:rsid w:val="00DE5B93"/>
    <w:rsid w:val="00DE6660"/>
    <w:rsid w:val="00DE693C"/>
    <w:rsid w:val="00DF4BB8"/>
    <w:rsid w:val="00DF6935"/>
    <w:rsid w:val="00DF6A31"/>
    <w:rsid w:val="00DF7FD0"/>
    <w:rsid w:val="00E01027"/>
    <w:rsid w:val="00E0765E"/>
    <w:rsid w:val="00E111B5"/>
    <w:rsid w:val="00E13F7B"/>
    <w:rsid w:val="00E232EF"/>
    <w:rsid w:val="00E23C2E"/>
    <w:rsid w:val="00E26E7E"/>
    <w:rsid w:val="00E30C19"/>
    <w:rsid w:val="00E37272"/>
    <w:rsid w:val="00E37772"/>
    <w:rsid w:val="00E37AAD"/>
    <w:rsid w:val="00E4003F"/>
    <w:rsid w:val="00E4473A"/>
    <w:rsid w:val="00E45F06"/>
    <w:rsid w:val="00E50A91"/>
    <w:rsid w:val="00E51E69"/>
    <w:rsid w:val="00E52C0D"/>
    <w:rsid w:val="00E53D91"/>
    <w:rsid w:val="00E546E9"/>
    <w:rsid w:val="00E574EA"/>
    <w:rsid w:val="00E72822"/>
    <w:rsid w:val="00E739A6"/>
    <w:rsid w:val="00E7491E"/>
    <w:rsid w:val="00E845B3"/>
    <w:rsid w:val="00E877E9"/>
    <w:rsid w:val="00E916B5"/>
    <w:rsid w:val="00E92392"/>
    <w:rsid w:val="00E96373"/>
    <w:rsid w:val="00EA4537"/>
    <w:rsid w:val="00EA7430"/>
    <w:rsid w:val="00EB1C1B"/>
    <w:rsid w:val="00EB30CD"/>
    <w:rsid w:val="00EB5B50"/>
    <w:rsid w:val="00EB70A3"/>
    <w:rsid w:val="00EB70F8"/>
    <w:rsid w:val="00EC3074"/>
    <w:rsid w:val="00EC5F90"/>
    <w:rsid w:val="00EE1195"/>
    <w:rsid w:val="00EF12C0"/>
    <w:rsid w:val="00EF2D9A"/>
    <w:rsid w:val="00EF368B"/>
    <w:rsid w:val="00EF3FBC"/>
    <w:rsid w:val="00EF5F53"/>
    <w:rsid w:val="00EF668D"/>
    <w:rsid w:val="00F002FD"/>
    <w:rsid w:val="00F01DC1"/>
    <w:rsid w:val="00F02E43"/>
    <w:rsid w:val="00F07EFA"/>
    <w:rsid w:val="00F16C42"/>
    <w:rsid w:val="00F20712"/>
    <w:rsid w:val="00F24F70"/>
    <w:rsid w:val="00F30B4F"/>
    <w:rsid w:val="00F32A44"/>
    <w:rsid w:val="00F34FDD"/>
    <w:rsid w:val="00F37806"/>
    <w:rsid w:val="00F42886"/>
    <w:rsid w:val="00F50920"/>
    <w:rsid w:val="00F55190"/>
    <w:rsid w:val="00F65821"/>
    <w:rsid w:val="00F67B8B"/>
    <w:rsid w:val="00F72704"/>
    <w:rsid w:val="00F736BC"/>
    <w:rsid w:val="00F75284"/>
    <w:rsid w:val="00F77F57"/>
    <w:rsid w:val="00F81186"/>
    <w:rsid w:val="00F8406A"/>
    <w:rsid w:val="00F86220"/>
    <w:rsid w:val="00F865AF"/>
    <w:rsid w:val="00F87C26"/>
    <w:rsid w:val="00F97FED"/>
    <w:rsid w:val="00FA1A14"/>
    <w:rsid w:val="00FA5E8E"/>
    <w:rsid w:val="00FB10FC"/>
    <w:rsid w:val="00FB245D"/>
    <w:rsid w:val="00FB76F8"/>
    <w:rsid w:val="00FC093E"/>
    <w:rsid w:val="00FC12FC"/>
    <w:rsid w:val="00FC2E16"/>
    <w:rsid w:val="00FD2B8E"/>
    <w:rsid w:val="00FD5750"/>
    <w:rsid w:val="00FF0CFB"/>
    <w:rsid w:val="00FF0F1F"/>
    <w:rsid w:val="00FF2B5D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0706FE"/>
  <w15:chartTrackingRefBased/>
  <w15:docId w15:val="{5DDD6326-2DD2-4260-AC0E-7EAB6358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4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9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69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6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6984"/>
    <w:rPr>
      <w:sz w:val="18"/>
      <w:szCs w:val="18"/>
    </w:rPr>
  </w:style>
  <w:style w:type="paragraph" w:styleId="a7">
    <w:name w:val="Revision"/>
    <w:hidden/>
    <w:uiPriority w:val="99"/>
    <w:semiHidden/>
    <w:rsid w:val="00A6714C"/>
  </w:style>
  <w:style w:type="table" w:styleId="a8">
    <w:name w:val="Table Grid"/>
    <w:basedOn w:val="a1"/>
    <w:uiPriority w:val="39"/>
    <w:rsid w:val="00C87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6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3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6872B-B45A-40E6-B339-4085519E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41</cp:revision>
  <dcterms:created xsi:type="dcterms:W3CDTF">2026-01-20T07:08:00Z</dcterms:created>
  <dcterms:modified xsi:type="dcterms:W3CDTF">2026-07-01T06:53:00Z</dcterms:modified>
</cp:coreProperties>
</file>