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2580B7">
      <w:pPr>
        <w:pStyle w:val="2"/>
        <w:spacing w:before="40"/>
        <w:ind w:left="0" w:leftChars="0" w:firstLine="240" w:firstLineChars="100"/>
        <w:jc w:val="left"/>
        <w:rPr>
          <w:rFonts w:hint="default" w:eastAsia="宋体"/>
          <w:lang w:val="en-US" w:eastAsia="zh-CN"/>
        </w:rPr>
      </w:pPr>
      <w:r>
        <w:t>证券代码：</w:t>
      </w:r>
      <w:r>
        <w:rPr>
          <w:rFonts w:hint="eastAsia"/>
          <w:lang w:val="en-US" w:eastAsia="zh-CN"/>
        </w:rPr>
        <w:t>688380</w:t>
      </w:r>
      <w:r>
        <w:t xml:space="preserve"> </w:t>
      </w:r>
      <w:r>
        <w:rPr>
          <w:rFonts w:hint="eastAsia"/>
          <w:lang w:val="en-US" w:eastAsia="zh-CN"/>
        </w:rPr>
        <w:t xml:space="preserve">                                           </w:t>
      </w:r>
      <w:r>
        <w:t>证券简称：</w:t>
      </w:r>
      <w:r>
        <w:rPr>
          <w:rFonts w:hint="eastAsia"/>
          <w:lang w:val="en-US" w:eastAsia="zh-CN"/>
        </w:rPr>
        <w:t>中微半导</w:t>
      </w:r>
    </w:p>
    <w:p w14:paraId="1F057622">
      <w:pPr>
        <w:pStyle w:val="2"/>
        <w:rPr>
          <w:sz w:val="29"/>
        </w:rPr>
      </w:pPr>
    </w:p>
    <w:p w14:paraId="33664230">
      <w:pPr>
        <w:spacing w:before="54"/>
        <w:ind w:left="1943" w:right="1782" w:firstLine="0"/>
        <w:jc w:val="center"/>
        <w:rPr>
          <w:b/>
          <w:sz w:val="32"/>
        </w:rPr>
      </w:pPr>
      <w:r>
        <w:rPr>
          <w:rFonts w:hint="eastAsia"/>
          <w:b/>
          <w:sz w:val="32"/>
          <w:lang w:val="en-US" w:eastAsia="zh-CN"/>
        </w:rPr>
        <w:t>中微半导体（深圳）</w:t>
      </w:r>
      <w:r>
        <w:rPr>
          <w:b/>
          <w:sz w:val="32"/>
        </w:rPr>
        <w:t>股份有限公司</w:t>
      </w:r>
    </w:p>
    <w:p w14:paraId="1973570D">
      <w:pPr>
        <w:spacing w:before="54"/>
        <w:ind w:left="1943" w:right="1782" w:firstLine="0"/>
        <w:jc w:val="center"/>
        <w:rPr>
          <w:rFonts w:hint="default"/>
          <w:b/>
          <w:sz w:val="32"/>
          <w:lang w:val="en-US"/>
        </w:rPr>
      </w:pPr>
      <w:r>
        <w:rPr>
          <w:b/>
          <w:sz w:val="32"/>
        </w:rPr>
        <w:t>投资者关系活动记录表</w:t>
      </w:r>
      <w:r>
        <w:rPr>
          <w:b/>
          <w:w w:val="98"/>
          <w:sz w:val="32"/>
        </w:rPr>
        <w:t xml:space="preserve"> </w:t>
      </w:r>
    </w:p>
    <w:p w14:paraId="04D080E8">
      <w:pPr>
        <w:keepNext w:val="0"/>
        <w:keepLines w:val="0"/>
        <w:pageBreakBefore w:val="0"/>
        <w:widowControl w:val="0"/>
        <w:kinsoku/>
        <w:wordWrap/>
        <w:overflowPunct/>
        <w:topLinePunct w:val="0"/>
        <w:autoSpaceDE w:val="0"/>
        <w:autoSpaceDN w:val="0"/>
        <w:bidi w:val="0"/>
        <w:adjustRightInd/>
        <w:snapToGrid/>
        <w:spacing w:before="132" w:after="21"/>
        <w:ind w:left="0" w:right="0" w:firstLine="0"/>
        <w:jc w:val="center"/>
        <w:textAlignment w:val="auto"/>
        <w:rPr>
          <w:rFonts w:hint="default"/>
          <w:sz w:val="24"/>
          <w:szCs w:val="28"/>
          <w:highlight w:val="yellow"/>
          <w:lang w:val="en-US"/>
        </w:rPr>
      </w:pPr>
      <w:r>
        <w:rPr>
          <w:rFonts w:hint="eastAsia"/>
          <w:sz w:val="24"/>
          <w:szCs w:val="28"/>
          <w:highlight w:val="none"/>
          <w:lang w:val="en-US" w:eastAsia="zh-CN"/>
        </w:rPr>
        <w:t xml:space="preserve">                                                                 </w:t>
      </w:r>
      <w:r>
        <w:rPr>
          <w:sz w:val="24"/>
          <w:szCs w:val="28"/>
          <w:highlight w:val="none"/>
        </w:rPr>
        <w:t>编号</w:t>
      </w:r>
      <w:r>
        <w:rPr>
          <w:rFonts w:hint="eastAsia"/>
          <w:sz w:val="24"/>
          <w:szCs w:val="28"/>
          <w:highlight w:val="none"/>
          <w:lang w:eastAsia="zh-CN"/>
        </w:rPr>
        <w:t>：</w:t>
      </w:r>
      <w:r>
        <w:rPr>
          <w:sz w:val="24"/>
          <w:szCs w:val="28"/>
          <w:highlight w:val="none"/>
        </w:rPr>
        <w:t>202</w:t>
      </w:r>
      <w:r>
        <w:rPr>
          <w:rFonts w:hint="eastAsia"/>
          <w:sz w:val="24"/>
          <w:szCs w:val="28"/>
          <w:highlight w:val="none"/>
          <w:lang w:val="en-US" w:eastAsia="zh-CN"/>
        </w:rPr>
        <w:t>6</w:t>
      </w:r>
      <w:r>
        <w:rPr>
          <w:sz w:val="24"/>
          <w:szCs w:val="28"/>
          <w:highlight w:val="none"/>
        </w:rPr>
        <w:t>-</w:t>
      </w:r>
      <w:r>
        <w:rPr>
          <w:rFonts w:hint="eastAsia"/>
          <w:sz w:val="24"/>
          <w:szCs w:val="28"/>
          <w:highlight w:val="none"/>
          <w:lang w:val="en-US" w:eastAsia="zh-CN"/>
        </w:rPr>
        <w:t>0</w:t>
      </w:r>
      <w:r>
        <w:rPr>
          <w:rFonts w:hint="default"/>
          <w:sz w:val="24"/>
          <w:szCs w:val="28"/>
          <w:highlight w:val="none"/>
          <w:lang w:val="en-US" w:eastAsia="zh-CN"/>
        </w:rPr>
        <w:t>08</w:t>
      </w:r>
    </w:p>
    <w:tbl>
      <w:tblPr>
        <w:tblStyle w:val="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24"/>
        <w:gridCol w:w="8220"/>
      </w:tblGrid>
      <w:tr w14:paraId="51DE1D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42" w:hRule="atLeast"/>
          <w:jc w:val="center"/>
        </w:trPr>
        <w:tc>
          <w:tcPr>
            <w:tcW w:w="1524" w:type="dxa"/>
            <w:tcMar>
              <w:top w:w="0" w:type="dxa"/>
              <w:left w:w="113" w:type="dxa"/>
              <w:bottom w:w="0" w:type="dxa"/>
              <w:right w:w="113" w:type="dxa"/>
            </w:tcMar>
            <w:vAlign w:val="center"/>
          </w:tcPr>
          <w:p w14:paraId="5C30FA51">
            <w:pPr>
              <w:pStyle w:val="8"/>
              <w:spacing w:line="242" w:lineRule="auto"/>
              <w:ind w:left="0" w:leftChars="0" w:right="72" w:firstLine="0" w:firstLineChars="0"/>
              <w:jc w:val="center"/>
              <w:rPr>
                <w:b w:val="0"/>
                <w:bCs w:val="0"/>
                <w:sz w:val="24"/>
                <w:szCs w:val="24"/>
              </w:rPr>
            </w:pPr>
            <w:r>
              <w:rPr>
                <w:b w:val="0"/>
                <w:bCs w:val="0"/>
                <w:sz w:val="24"/>
                <w:szCs w:val="24"/>
              </w:rPr>
              <w:t>投资者来访类别</w:t>
            </w:r>
          </w:p>
        </w:tc>
        <w:tc>
          <w:tcPr>
            <w:tcW w:w="8220" w:type="dxa"/>
            <w:vAlign w:val="center"/>
          </w:tcPr>
          <w:p w14:paraId="786097AF">
            <w:pPr>
              <w:pStyle w:val="8"/>
              <w:numPr>
                <w:ilvl w:val="0"/>
                <w:numId w:val="0"/>
              </w:numPr>
              <w:tabs>
                <w:tab w:val="left" w:pos="390"/>
              </w:tabs>
              <w:spacing w:before="132" w:after="0" w:line="240" w:lineRule="auto"/>
              <w:ind w:right="0" w:rightChars="0" w:firstLine="236" w:firstLineChars="100"/>
              <w:jc w:val="both"/>
              <w:rPr>
                <w:sz w:val="24"/>
                <w:szCs w:val="24"/>
              </w:rPr>
            </w:pPr>
            <w:r>
              <w:rPr>
                <w:spacing w:val="-2"/>
                <w:sz w:val="24"/>
                <w:szCs w:val="24"/>
              </w:rPr>
              <w:sym w:font="Wingdings 2" w:char="00A3"/>
            </w:r>
            <w:r>
              <w:rPr>
                <w:spacing w:val="-2"/>
                <w:sz w:val="24"/>
                <w:szCs w:val="24"/>
              </w:rPr>
              <w:t xml:space="preserve"> 特定对象调研 </w:t>
            </w:r>
            <w:r>
              <w:rPr>
                <w:rFonts w:hint="eastAsia"/>
                <w:spacing w:val="-2"/>
                <w:sz w:val="24"/>
                <w:szCs w:val="24"/>
                <w:lang w:val="en-US" w:eastAsia="zh-CN"/>
              </w:rPr>
              <w:t xml:space="preserve">                    </w:t>
            </w:r>
            <w:r>
              <w:rPr>
                <w:spacing w:val="-2"/>
                <w:sz w:val="24"/>
                <w:szCs w:val="24"/>
              </w:rPr>
              <w:sym w:font="Wingdings 2" w:char="00A3"/>
            </w:r>
            <w:r>
              <w:rPr>
                <w:rFonts w:hint="eastAsia"/>
                <w:spacing w:val="-2"/>
                <w:sz w:val="24"/>
                <w:szCs w:val="24"/>
                <w:lang w:val="en-US" w:eastAsia="zh-CN"/>
              </w:rPr>
              <w:t xml:space="preserve"> </w:t>
            </w:r>
            <w:r>
              <w:rPr>
                <w:spacing w:val="-2"/>
                <w:sz w:val="24"/>
                <w:szCs w:val="24"/>
              </w:rPr>
              <w:t>分析师会议</w:t>
            </w:r>
          </w:p>
          <w:p w14:paraId="6CDE1B41">
            <w:pPr>
              <w:pStyle w:val="8"/>
              <w:spacing w:before="9"/>
              <w:ind w:left="0"/>
              <w:jc w:val="both"/>
              <w:rPr>
                <w:sz w:val="24"/>
                <w:szCs w:val="24"/>
              </w:rPr>
            </w:pPr>
          </w:p>
          <w:p w14:paraId="732BB210">
            <w:pPr>
              <w:pStyle w:val="8"/>
              <w:ind w:left="0" w:leftChars="0" w:firstLine="240" w:firstLineChars="100"/>
              <w:jc w:val="both"/>
              <w:rPr>
                <w:sz w:val="24"/>
                <w:szCs w:val="24"/>
              </w:rPr>
            </w:pPr>
            <w:r>
              <w:rPr>
                <w:sz w:val="24"/>
                <w:szCs w:val="24"/>
              </w:rPr>
              <w:sym w:font="Wingdings 2" w:char="00A3"/>
            </w:r>
            <w:r>
              <w:rPr>
                <w:sz w:val="24"/>
                <w:szCs w:val="24"/>
              </w:rPr>
              <w:t xml:space="preserve"> 媒体采访 </w:t>
            </w:r>
            <w:r>
              <w:rPr>
                <w:rFonts w:hint="eastAsia"/>
                <w:sz w:val="24"/>
                <w:szCs w:val="24"/>
                <w:lang w:val="en-US" w:eastAsia="zh-CN"/>
              </w:rPr>
              <w:t xml:space="preserve">                        </w:t>
            </w:r>
            <w:r>
              <w:rPr>
                <w:spacing w:val="-2"/>
                <w:sz w:val="24"/>
                <w:szCs w:val="24"/>
              </w:rPr>
              <w:sym w:font="Wingdings 2" w:char="00A3"/>
            </w:r>
            <w:r>
              <w:rPr>
                <w:rFonts w:hint="eastAsia"/>
                <w:spacing w:val="-2"/>
                <w:sz w:val="24"/>
                <w:szCs w:val="24"/>
                <w:lang w:val="en-US" w:eastAsia="zh-CN"/>
              </w:rPr>
              <w:t xml:space="preserve"> </w:t>
            </w:r>
            <w:r>
              <w:rPr>
                <w:sz w:val="24"/>
                <w:szCs w:val="24"/>
              </w:rPr>
              <w:t>业绩说明会</w:t>
            </w:r>
          </w:p>
          <w:p w14:paraId="1B424389">
            <w:pPr>
              <w:pStyle w:val="8"/>
              <w:spacing w:before="9"/>
              <w:ind w:left="0"/>
              <w:jc w:val="both"/>
              <w:rPr>
                <w:sz w:val="24"/>
                <w:szCs w:val="24"/>
              </w:rPr>
            </w:pPr>
          </w:p>
          <w:p w14:paraId="2EDC7824">
            <w:pPr>
              <w:pStyle w:val="8"/>
              <w:ind w:left="0" w:leftChars="0" w:firstLine="240" w:firstLineChars="100"/>
              <w:jc w:val="both"/>
              <w:rPr>
                <w:sz w:val="24"/>
                <w:szCs w:val="24"/>
              </w:rPr>
            </w:pPr>
            <w:r>
              <w:rPr>
                <w:sz w:val="24"/>
                <w:szCs w:val="24"/>
              </w:rPr>
              <w:sym w:font="Wingdings 2" w:char="00A3"/>
            </w:r>
            <w:r>
              <w:rPr>
                <w:rFonts w:hint="eastAsia"/>
                <w:sz w:val="24"/>
                <w:szCs w:val="24"/>
                <w:lang w:val="en-US" w:eastAsia="zh-CN"/>
              </w:rPr>
              <w:t xml:space="preserve"> </w:t>
            </w:r>
            <w:r>
              <w:rPr>
                <w:sz w:val="24"/>
                <w:szCs w:val="24"/>
              </w:rPr>
              <w:t>新闻发布会</w:t>
            </w:r>
            <w:r>
              <w:rPr>
                <w:rFonts w:hint="eastAsia"/>
                <w:sz w:val="24"/>
                <w:szCs w:val="24"/>
                <w:lang w:val="en-US" w:eastAsia="zh-CN"/>
              </w:rPr>
              <w:t xml:space="preserve">                       </w:t>
            </w:r>
            <w:r>
              <w:rPr>
                <w:sz w:val="24"/>
                <w:szCs w:val="24"/>
              </w:rPr>
              <w:sym w:font="Wingdings 2" w:char="00A3"/>
            </w:r>
            <w:r>
              <w:rPr>
                <w:rFonts w:hint="eastAsia"/>
                <w:sz w:val="24"/>
                <w:szCs w:val="24"/>
                <w:lang w:val="en-US" w:eastAsia="zh-CN"/>
              </w:rPr>
              <w:t xml:space="preserve"> </w:t>
            </w:r>
            <w:r>
              <w:rPr>
                <w:sz w:val="24"/>
                <w:szCs w:val="24"/>
              </w:rPr>
              <w:t>路演活动</w:t>
            </w:r>
          </w:p>
          <w:p w14:paraId="10160FA8">
            <w:pPr>
              <w:pStyle w:val="8"/>
              <w:spacing w:before="9"/>
              <w:ind w:left="0"/>
              <w:jc w:val="both"/>
              <w:rPr>
                <w:sz w:val="24"/>
                <w:szCs w:val="24"/>
              </w:rPr>
            </w:pPr>
          </w:p>
          <w:p w14:paraId="691182BC">
            <w:pPr>
              <w:pStyle w:val="8"/>
              <w:ind w:left="0" w:leftChars="0" w:firstLine="236" w:firstLineChars="100"/>
              <w:jc w:val="both"/>
              <w:rPr>
                <w:rFonts w:hint="default" w:eastAsia="宋体"/>
                <w:sz w:val="24"/>
                <w:lang w:val="en-US" w:eastAsia="zh-CN"/>
              </w:rPr>
            </w:pPr>
            <w:r>
              <w:rPr>
                <w:spacing w:val="-2"/>
                <w:sz w:val="24"/>
                <w:szCs w:val="24"/>
              </w:rPr>
              <w:sym w:font="Wingdings 2" w:char="0052"/>
            </w:r>
            <w:r>
              <w:rPr>
                <w:rFonts w:hint="eastAsia"/>
                <w:spacing w:val="-2"/>
                <w:sz w:val="24"/>
                <w:szCs w:val="24"/>
                <w:lang w:val="en-US" w:eastAsia="zh-CN"/>
              </w:rPr>
              <w:t xml:space="preserve"> </w:t>
            </w:r>
            <w:r>
              <w:rPr>
                <w:sz w:val="24"/>
                <w:szCs w:val="24"/>
              </w:rPr>
              <w:t>现场</w:t>
            </w:r>
            <w:r>
              <w:rPr>
                <w:rFonts w:hint="eastAsia"/>
                <w:sz w:val="24"/>
                <w:szCs w:val="24"/>
                <w:lang w:val="en-US" w:eastAsia="zh-CN"/>
              </w:rPr>
              <w:t xml:space="preserve">调研                         </w:t>
            </w:r>
            <w:r>
              <w:rPr>
                <w:sz w:val="24"/>
                <w:szCs w:val="24"/>
              </w:rPr>
              <w:sym w:font="Wingdings 2" w:char="00A3"/>
            </w:r>
            <w:r>
              <w:rPr>
                <w:sz w:val="24"/>
                <w:szCs w:val="24"/>
              </w:rPr>
              <w:t xml:space="preserve"> 其他 </w:t>
            </w:r>
            <w:r>
              <w:rPr>
                <w:rFonts w:hint="eastAsia"/>
                <w:sz w:val="24"/>
                <w:szCs w:val="24"/>
                <w:lang w:eastAsia="zh-CN"/>
              </w:rPr>
              <w:t>（</w:t>
            </w:r>
            <w:r>
              <w:rPr>
                <w:rFonts w:hint="eastAsia"/>
                <w:sz w:val="24"/>
                <w:szCs w:val="24"/>
                <w:lang w:val="en-US" w:eastAsia="zh-CN"/>
              </w:rPr>
              <w:t>线上调研）</w:t>
            </w:r>
          </w:p>
        </w:tc>
      </w:tr>
      <w:tr w14:paraId="7220FC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8" w:hRule="atLeast"/>
          <w:jc w:val="center"/>
        </w:trPr>
        <w:tc>
          <w:tcPr>
            <w:tcW w:w="1524" w:type="dxa"/>
            <w:tcMar>
              <w:top w:w="0" w:type="dxa"/>
              <w:left w:w="113" w:type="dxa"/>
              <w:bottom w:w="0" w:type="dxa"/>
              <w:right w:w="113" w:type="dxa"/>
            </w:tcMar>
            <w:vAlign w:val="center"/>
          </w:tcPr>
          <w:p w14:paraId="48FE3DEB">
            <w:pPr>
              <w:pStyle w:val="8"/>
              <w:spacing w:before="156" w:line="242" w:lineRule="auto"/>
              <w:ind w:left="107" w:right="71"/>
              <w:jc w:val="center"/>
              <w:rPr>
                <w:b w:val="0"/>
                <w:bCs w:val="0"/>
                <w:sz w:val="24"/>
                <w:szCs w:val="24"/>
              </w:rPr>
            </w:pPr>
            <w:r>
              <w:rPr>
                <w:b w:val="0"/>
                <w:bCs w:val="0"/>
                <w:sz w:val="24"/>
                <w:szCs w:val="24"/>
              </w:rPr>
              <w:t>参与单位名称</w:t>
            </w:r>
          </w:p>
        </w:tc>
        <w:tc>
          <w:tcPr>
            <w:tcW w:w="8220" w:type="dxa"/>
            <w:vAlign w:val="center"/>
          </w:tcPr>
          <w:p w14:paraId="1D525856">
            <w:pPr>
              <w:pStyle w:val="8"/>
              <w:spacing w:before="156" w:line="242" w:lineRule="auto"/>
              <w:ind w:left="0" w:leftChars="0" w:right="-29" w:firstLine="480" w:firstLineChars="200"/>
              <w:jc w:val="both"/>
              <w:rPr>
                <w:rFonts w:hint="default"/>
                <w:sz w:val="24"/>
                <w:lang w:val="en-US" w:eastAsia="zh-CN"/>
              </w:rPr>
            </w:pPr>
            <w:r>
              <w:rPr>
                <w:rFonts w:hint="default"/>
                <w:sz w:val="24"/>
                <w:lang w:val="en-US" w:eastAsia="zh-CN"/>
              </w:rPr>
              <w:t>创金合信</w:t>
            </w:r>
            <w:r>
              <w:rPr>
                <w:rFonts w:hint="eastAsia"/>
                <w:sz w:val="24"/>
                <w:lang w:val="en-US" w:eastAsia="zh-CN"/>
              </w:rPr>
              <w:t>、</w:t>
            </w:r>
            <w:r>
              <w:rPr>
                <w:rFonts w:hint="default"/>
                <w:sz w:val="24"/>
                <w:lang w:val="en-US" w:eastAsia="zh-CN"/>
              </w:rPr>
              <w:t>东方阿尔法</w:t>
            </w:r>
            <w:r>
              <w:rPr>
                <w:rFonts w:hint="eastAsia"/>
                <w:sz w:val="24"/>
                <w:lang w:val="en-US" w:eastAsia="zh-CN"/>
              </w:rPr>
              <w:t>、</w:t>
            </w:r>
            <w:r>
              <w:rPr>
                <w:rFonts w:hint="default"/>
                <w:sz w:val="24"/>
                <w:lang w:val="en-US" w:eastAsia="zh-CN"/>
              </w:rPr>
              <w:t>创金合信</w:t>
            </w:r>
            <w:r>
              <w:rPr>
                <w:rFonts w:hint="eastAsia"/>
                <w:sz w:val="24"/>
                <w:lang w:val="en-US" w:eastAsia="zh-CN"/>
              </w:rPr>
              <w:t>、</w:t>
            </w:r>
            <w:r>
              <w:rPr>
                <w:rFonts w:hint="default"/>
                <w:sz w:val="24"/>
                <w:lang w:val="en-US" w:eastAsia="zh-CN"/>
              </w:rPr>
              <w:t>东吴基金</w:t>
            </w:r>
            <w:r>
              <w:rPr>
                <w:rFonts w:hint="eastAsia"/>
                <w:sz w:val="24"/>
                <w:lang w:val="en-US" w:eastAsia="zh-CN"/>
              </w:rPr>
              <w:t>、</w:t>
            </w:r>
            <w:r>
              <w:rPr>
                <w:rFonts w:hint="default"/>
                <w:sz w:val="24"/>
                <w:lang w:val="en-US" w:eastAsia="zh-CN"/>
              </w:rPr>
              <w:t>硕丰投资</w:t>
            </w:r>
            <w:r>
              <w:rPr>
                <w:rFonts w:hint="eastAsia"/>
                <w:sz w:val="24"/>
                <w:lang w:val="en-US" w:eastAsia="zh-CN"/>
              </w:rPr>
              <w:t>、</w:t>
            </w:r>
            <w:r>
              <w:rPr>
                <w:rFonts w:hint="default"/>
                <w:sz w:val="24"/>
                <w:lang w:val="en-US" w:eastAsia="zh-CN"/>
              </w:rPr>
              <w:t>乾图投资</w:t>
            </w:r>
            <w:r>
              <w:rPr>
                <w:rFonts w:hint="eastAsia"/>
                <w:sz w:val="24"/>
                <w:lang w:val="en-US" w:eastAsia="zh-CN"/>
              </w:rPr>
              <w:t>、</w:t>
            </w:r>
            <w:r>
              <w:rPr>
                <w:rFonts w:hint="default"/>
                <w:sz w:val="24"/>
                <w:lang w:val="en-US" w:eastAsia="zh-CN"/>
              </w:rPr>
              <w:t xml:space="preserve"> 博普资产</w:t>
            </w:r>
            <w:r>
              <w:rPr>
                <w:rFonts w:hint="eastAsia"/>
                <w:sz w:val="24"/>
                <w:lang w:val="en-US" w:eastAsia="zh-CN"/>
              </w:rPr>
              <w:t>、</w:t>
            </w:r>
            <w:r>
              <w:rPr>
                <w:rFonts w:hint="default"/>
                <w:sz w:val="24"/>
                <w:lang w:val="en-US" w:eastAsia="zh-CN"/>
              </w:rPr>
              <w:t>善思投资</w:t>
            </w:r>
            <w:r>
              <w:rPr>
                <w:rFonts w:hint="eastAsia"/>
                <w:sz w:val="24"/>
                <w:lang w:val="en-US" w:eastAsia="zh-CN"/>
              </w:rPr>
              <w:t>、</w:t>
            </w:r>
            <w:r>
              <w:rPr>
                <w:rFonts w:hint="default"/>
                <w:sz w:val="24"/>
                <w:lang w:val="en-US" w:eastAsia="zh-CN"/>
              </w:rPr>
              <w:t>信达澳亚</w:t>
            </w:r>
            <w:r>
              <w:rPr>
                <w:rFonts w:hint="eastAsia"/>
                <w:sz w:val="24"/>
                <w:lang w:val="en-US" w:eastAsia="zh-CN"/>
              </w:rPr>
              <w:t>、</w:t>
            </w:r>
            <w:r>
              <w:rPr>
                <w:rFonts w:hint="default"/>
                <w:sz w:val="24"/>
                <w:lang w:val="en-US" w:eastAsia="zh-CN"/>
              </w:rPr>
              <w:t>望正</w:t>
            </w:r>
            <w:r>
              <w:rPr>
                <w:rFonts w:hint="eastAsia"/>
                <w:sz w:val="24"/>
                <w:lang w:val="en-US" w:eastAsia="zh-CN"/>
              </w:rPr>
              <w:t>、</w:t>
            </w:r>
            <w:r>
              <w:rPr>
                <w:rFonts w:hint="default"/>
                <w:sz w:val="24"/>
                <w:lang w:val="en-US" w:eastAsia="zh-CN"/>
              </w:rPr>
              <w:t>海港人寿</w:t>
            </w:r>
            <w:r>
              <w:rPr>
                <w:rFonts w:hint="eastAsia"/>
                <w:sz w:val="24"/>
                <w:lang w:val="en-US" w:eastAsia="zh-CN"/>
              </w:rPr>
              <w:t>、</w:t>
            </w:r>
            <w:r>
              <w:rPr>
                <w:rFonts w:hint="default"/>
                <w:sz w:val="24"/>
                <w:lang w:val="en-US" w:eastAsia="zh-CN"/>
              </w:rPr>
              <w:t>红石投资</w:t>
            </w:r>
            <w:r>
              <w:rPr>
                <w:rFonts w:hint="eastAsia"/>
                <w:sz w:val="24"/>
                <w:lang w:val="en-US" w:eastAsia="zh-CN"/>
              </w:rPr>
              <w:t>、</w:t>
            </w:r>
            <w:r>
              <w:rPr>
                <w:rFonts w:hint="default"/>
                <w:sz w:val="24"/>
                <w:lang w:val="en-US" w:eastAsia="zh-CN"/>
              </w:rPr>
              <w:t>国泰海通资管</w:t>
            </w:r>
            <w:r>
              <w:rPr>
                <w:rFonts w:hint="eastAsia"/>
                <w:sz w:val="24"/>
                <w:lang w:val="en-US" w:eastAsia="zh-CN"/>
              </w:rPr>
              <w:t>、</w:t>
            </w:r>
            <w:r>
              <w:rPr>
                <w:rFonts w:hint="default"/>
                <w:sz w:val="24"/>
                <w:lang w:val="en-US" w:eastAsia="zh-CN"/>
              </w:rPr>
              <w:t>宝盈基金</w:t>
            </w:r>
            <w:r>
              <w:rPr>
                <w:rFonts w:hint="eastAsia"/>
                <w:sz w:val="24"/>
                <w:lang w:val="en-US" w:eastAsia="zh-CN"/>
              </w:rPr>
              <w:t>、</w:t>
            </w:r>
            <w:r>
              <w:rPr>
                <w:rFonts w:hint="default"/>
                <w:sz w:val="24"/>
                <w:lang w:val="en-US" w:eastAsia="zh-CN"/>
              </w:rPr>
              <w:t>宏利基金</w:t>
            </w:r>
            <w:r>
              <w:rPr>
                <w:rFonts w:hint="eastAsia"/>
                <w:sz w:val="24"/>
                <w:lang w:val="en-US" w:eastAsia="zh-CN"/>
              </w:rPr>
              <w:t>、</w:t>
            </w:r>
            <w:r>
              <w:rPr>
                <w:rFonts w:hint="default"/>
                <w:sz w:val="24"/>
                <w:lang w:val="en-US" w:eastAsia="zh-CN"/>
              </w:rPr>
              <w:t>兴全基金</w:t>
            </w:r>
            <w:r>
              <w:rPr>
                <w:rFonts w:hint="eastAsia"/>
                <w:sz w:val="24"/>
                <w:lang w:val="en-US" w:eastAsia="zh-CN"/>
              </w:rPr>
              <w:t>、</w:t>
            </w:r>
            <w:r>
              <w:rPr>
                <w:rFonts w:hint="default"/>
                <w:sz w:val="24"/>
                <w:lang w:val="en-US" w:eastAsia="zh-CN"/>
              </w:rPr>
              <w:t>大成基金</w:t>
            </w:r>
            <w:r>
              <w:rPr>
                <w:rFonts w:hint="eastAsia"/>
                <w:sz w:val="24"/>
                <w:lang w:val="en-US" w:eastAsia="zh-CN"/>
              </w:rPr>
              <w:t>、</w:t>
            </w:r>
            <w:r>
              <w:rPr>
                <w:rFonts w:hint="default"/>
                <w:sz w:val="24"/>
                <w:lang w:val="en-US" w:eastAsia="zh-CN"/>
              </w:rPr>
              <w:t>景顺长城</w:t>
            </w:r>
            <w:r>
              <w:rPr>
                <w:rFonts w:hint="eastAsia"/>
                <w:sz w:val="24"/>
                <w:lang w:val="en-US" w:eastAsia="zh-CN"/>
              </w:rPr>
              <w:t>、</w:t>
            </w:r>
            <w:r>
              <w:rPr>
                <w:rFonts w:hint="default"/>
                <w:sz w:val="24"/>
                <w:lang w:val="en-US" w:eastAsia="zh-CN"/>
              </w:rPr>
              <w:t>长城基金</w:t>
            </w:r>
            <w:r>
              <w:rPr>
                <w:rFonts w:hint="eastAsia"/>
                <w:sz w:val="24"/>
                <w:lang w:val="en-US" w:eastAsia="zh-CN"/>
              </w:rPr>
              <w:t>、</w:t>
            </w:r>
            <w:r>
              <w:rPr>
                <w:rFonts w:hint="default"/>
                <w:sz w:val="24"/>
                <w:lang w:val="en-US" w:eastAsia="zh-CN"/>
              </w:rPr>
              <w:t>信达澳亚基金</w:t>
            </w:r>
            <w:r>
              <w:rPr>
                <w:rFonts w:hint="eastAsia"/>
                <w:sz w:val="24"/>
                <w:lang w:val="en-US" w:eastAsia="zh-CN"/>
              </w:rPr>
              <w:t>、</w:t>
            </w:r>
            <w:r>
              <w:rPr>
                <w:rFonts w:hint="default"/>
                <w:sz w:val="24"/>
                <w:lang w:val="en-US" w:eastAsia="zh-CN"/>
              </w:rPr>
              <w:t>先锋基金</w:t>
            </w:r>
            <w:r>
              <w:rPr>
                <w:rFonts w:hint="eastAsia"/>
                <w:sz w:val="24"/>
                <w:lang w:val="en-US" w:eastAsia="zh-CN"/>
              </w:rPr>
              <w:t>、博时基金、中泰电子</w:t>
            </w:r>
          </w:p>
        </w:tc>
      </w:tr>
      <w:tr w14:paraId="139FA6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jc w:val="center"/>
        </w:trPr>
        <w:tc>
          <w:tcPr>
            <w:tcW w:w="1524" w:type="dxa"/>
            <w:tcMar>
              <w:top w:w="0" w:type="dxa"/>
              <w:left w:w="113" w:type="dxa"/>
              <w:bottom w:w="0" w:type="dxa"/>
              <w:right w:w="113" w:type="dxa"/>
            </w:tcMar>
            <w:vAlign w:val="center"/>
          </w:tcPr>
          <w:p w14:paraId="21BBEB87">
            <w:pPr>
              <w:pStyle w:val="8"/>
              <w:spacing w:before="170" w:line="289" w:lineRule="exact"/>
              <w:ind w:left="107"/>
              <w:jc w:val="center"/>
              <w:rPr>
                <w:b w:val="0"/>
                <w:bCs w:val="0"/>
                <w:sz w:val="24"/>
                <w:szCs w:val="24"/>
              </w:rPr>
            </w:pPr>
            <w:r>
              <w:rPr>
                <w:b w:val="0"/>
                <w:bCs w:val="0"/>
                <w:sz w:val="24"/>
                <w:szCs w:val="24"/>
              </w:rPr>
              <w:t>时间</w:t>
            </w:r>
          </w:p>
        </w:tc>
        <w:tc>
          <w:tcPr>
            <w:tcW w:w="8220" w:type="dxa"/>
            <w:vAlign w:val="center"/>
          </w:tcPr>
          <w:p w14:paraId="075846D8">
            <w:pPr>
              <w:pStyle w:val="8"/>
              <w:spacing w:before="170" w:line="289" w:lineRule="exact"/>
              <w:jc w:val="both"/>
              <w:rPr>
                <w:rFonts w:hint="default" w:eastAsia="宋体"/>
                <w:sz w:val="24"/>
                <w:lang w:val="en-US" w:eastAsia="zh-CN"/>
              </w:rPr>
            </w:pPr>
            <w:r>
              <w:rPr>
                <w:rFonts w:hint="eastAsia"/>
                <w:sz w:val="24"/>
                <w:lang w:val="en-US" w:eastAsia="zh-CN"/>
              </w:rPr>
              <w:t>2026</w:t>
            </w:r>
            <w:r>
              <w:rPr>
                <w:sz w:val="24"/>
              </w:rPr>
              <w:t>年</w:t>
            </w:r>
            <w:r>
              <w:rPr>
                <w:rFonts w:hint="eastAsia"/>
                <w:sz w:val="24"/>
                <w:lang w:val="en-US" w:eastAsia="zh-CN"/>
              </w:rPr>
              <w:t>6月</w:t>
            </w:r>
            <w:r>
              <w:rPr>
                <w:rFonts w:hint="default"/>
                <w:sz w:val="24"/>
                <w:lang w:val="en-US" w:eastAsia="zh-CN"/>
              </w:rPr>
              <w:t>30</w:t>
            </w:r>
            <w:r>
              <w:rPr>
                <w:rFonts w:hint="eastAsia"/>
                <w:sz w:val="24"/>
                <w:lang w:val="en-US" w:eastAsia="zh-CN"/>
              </w:rPr>
              <w:t>日</w:t>
            </w:r>
          </w:p>
        </w:tc>
      </w:tr>
      <w:tr w14:paraId="77F45B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jc w:val="center"/>
        </w:trPr>
        <w:tc>
          <w:tcPr>
            <w:tcW w:w="1524" w:type="dxa"/>
            <w:tcMar>
              <w:top w:w="0" w:type="dxa"/>
              <w:left w:w="113" w:type="dxa"/>
              <w:bottom w:w="0" w:type="dxa"/>
              <w:right w:w="113" w:type="dxa"/>
            </w:tcMar>
            <w:vAlign w:val="center"/>
          </w:tcPr>
          <w:p w14:paraId="39EB5C8F">
            <w:pPr>
              <w:pStyle w:val="8"/>
              <w:spacing w:before="170" w:line="289" w:lineRule="exact"/>
              <w:ind w:left="107"/>
              <w:jc w:val="center"/>
              <w:rPr>
                <w:b w:val="0"/>
                <w:bCs w:val="0"/>
                <w:sz w:val="24"/>
                <w:szCs w:val="24"/>
              </w:rPr>
            </w:pPr>
            <w:r>
              <w:rPr>
                <w:b w:val="0"/>
                <w:bCs w:val="0"/>
                <w:sz w:val="24"/>
                <w:szCs w:val="24"/>
              </w:rPr>
              <w:t>地点</w:t>
            </w:r>
          </w:p>
        </w:tc>
        <w:tc>
          <w:tcPr>
            <w:tcW w:w="8220" w:type="dxa"/>
            <w:vAlign w:val="center"/>
          </w:tcPr>
          <w:p w14:paraId="53186284">
            <w:pPr>
              <w:pStyle w:val="8"/>
              <w:spacing w:before="170" w:line="289" w:lineRule="exact"/>
              <w:jc w:val="both"/>
              <w:rPr>
                <w:rFonts w:hint="default" w:eastAsia="宋体"/>
                <w:sz w:val="24"/>
                <w:lang w:val="en-US" w:eastAsia="zh-CN"/>
              </w:rPr>
            </w:pPr>
            <w:r>
              <w:rPr>
                <w:rFonts w:hint="eastAsia"/>
                <w:sz w:val="24"/>
                <w:lang w:val="en-US" w:eastAsia="zh-CN"/>
              </w:rPr>
              <w:t>公司（深圳南山）</w:t>
            </w:r>
          </w:p>
        </w:tc>
      </w:tr>
      <w:tr w14:paraId="2CDEDF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2" w:hRule="atLeast"/>
          <w:jc w:val="center"/>
        </w:trPr>
        <w:tc>
          <w:tcPr>
            <w:tcW w:w="1524" w:type="dxa"/>
            <w:tcMar>
              <w:top w:w="0" w:type="dxa"/>
              <w:left w:w="113" w:type="dxa"/>
              <w:bottom w:w="0" w:type="dxa"/>
              <w:right w:w="113" w:type="dxa"/>
            </w:tcMar>
            <w:vAlign w:val="center"/>
          </w:tcPr>
          <w:p w14:paraId="28421AAF">
            <w:pPr>
              <w:pStyle w:val="8"/>
              <w:spacing w:before="60" w:line="242" w:lineRule="auto"/>
              <w:ind w:left="107" w:right="72"/>
              <w:jc w:val="center"/>
              <w:rPr>
                <w:b w:val="0"/>
                <w:bCs w:val="0"/>
                <w:sz w:val="24"/>
                <w:szCs w:val="24"/>
              </w:rPr>
            </w:pPr>
            <w:r>
              <w:rPr>
                <w:b w:val="0"/>
                <w:bCs w:val="0"/>
                <w:sz w:val="24"/>
                <w:szCs w:val="24"/>
              </w:rPr>
              <w:t>上市公司接待人员姓名</w:t>
            </w:r>
          </w:p>
        </w:tc>
        <w:tc>
          <w:tcPr>
            <w:tcW w:w="8220" w:type="dxa"/>
            <w:vAlign w:val="center"/>
          </w:tcPr>
          <w:p w14:paraId="0EB18801">
            <w:pPr>
              <w:pStyle w:val="8"/>
              <w:spacing w:before="170"/>
              <w:jc w:val="both"/>
              <w:rPr>
                <w:rFonts w:hint="default"/>
                <w:sz w:val="24"/>
                <w:lang w:val="en-US" w:eastAsia="zh-CN"/>
              </w:rPr>
            </w:pPr>
            <w:r>
              <w:rPr>
                <w:rFonts w:hint="eastAsia"/>
                <w:sz w:val="24"/>
                <w:lang w:val="en-US" w:eastAsia="zh-CN"/>
              </w:rPr>
              <w:t>董事会秘书吴新元</w:t>
            </w:r>
          </w:p>
        </w:tc>
      </w:tr>
      <w:tr w14:paraId="421F5F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2" w:hRule="atLeast"/>
          <w:jc w:val="center"/>
        </w:trPr>
        <w:tc>
          <w:tcPr>
            <w:tcW w:w="1524" w:type="dxa"/>
            <w:tcMar>
              <w:top w:w="0" w:type="dxa"/>
              <w:left w:w="113" w:type="dxa"/>
              <w:bottom w:w="0" w:type="dxa"/>
              <w:right w:w="113" w:type="dxa"/>
            </w:tcMar>
            <w:vAlign w:val="center"/>
          </w:tcPr>
          <w:p w14:paraId="17AA6BEC">
            <w:pPr>
              <w:pStyle w:val="8"/>
              <w:spacing w:before="60" w:line="242" w:lineRule="auto"/>
              <w:ind w:left="107" w:right="72"/>
              <w:jc w:val="center"/>
              <w:rPr>
                <w:b w:val="0"/>
                <w:bCs w:val="0"/>
                <w:sz w:val="24"/>
                <w:szCs w:val="24"/>
              </w:rPr>
            </w:pPr>
            <w:r>
              <w:rPr>
                <w:rFonts w:hint="eastAsia"/>
                <w:b w:val="0"/>
                <w:bCs w:val="0"/>
                <w:sz w:val="24"/>
                <w:szCs w:val="24"/>
              </w:rPr>
              <w:t>投资者关系活动主要内容介绍</w:t>
            </w:r>
          </w:p>
        </w:tc>
        <w:tc>
          <w:tcPr>
            <w:tcW w:w="8220" w:type="dxa"/>
            <w:tcMar>
              <w:top w:w="170" w:type="dxa"/>
              <w:left w:w="170" w:type="dxa"/>
              <w:bottom w:w="170" w:type="dxa"/>
              <w:right w:w="170" w:type="dxa"/>
            </w:tcMar>
            <w:vAlign w:val="center"/>
          </w:tcPr>
          <w:p w14:paraId="6DA6585B">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Chars="200" w:right="0" w:rightChars="0"/>
              <w:jc w:val="both"/>
              <w:textAlignment w:val="auto"/>
              <w:rPr>
                <w:rFonts w:hint="eastAsia" w:cs="宋体"/>
                <w:b w:val="0"/>
                <w:bCs w:val="0"/>
                <w:sz w:val="24"/>
                <w:szCs w:val="24"/>
                <w:lang w:val="en-US" w:eastAsia="zh-CN" w:bidi="zh-CN"/>
              </w:rPr>
            </w:pPr>
            <w:r>
              <w:rPr>
                <w:rFonts w:hint="eastAsia" w:cs="宋体"/>
                <w:b w:val="0"/>
                <w:bCs w:val="0"/>
                <w:sz w:val="24"/>
                <w:szCs w:val="24"/>
                <w:lang w:val="en-US" w:eastAsia="zh-CN" w:bidi="zh-CN"/>
              </w:rPr>
              <w:t>公司介绍</w:t>
            </w:r>
          </w:p>
          <w:p w14:paraId="46383786">
            <w:pPr>
              <w:keepNext w:val="0"/>
              <w:keepLines w:val="0"/>
              <w:pageBreakBefore w:val="0"/>
              <w:widowControl w:val="0"/>
              <w:numPr>
                <w:ilvl w:val="0"/>
                <w:numId w:val="0"/>
              </w:numPr>
              <w:kinsoku/>
              <w:wordWrap/>
              <w:overflowPunct/>
              <w:topLinePunct w:val="0"/>
              <w:bidi w:val="0"/>
              <w:adjustRightInd/>
              <w:snapToGrid/>
              <w:spacing w:line="360" w:lineRule="exact"/>
              <w:ind w:right="0" w:rightChars="0"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公司发展历程及技术布局，同学创业的公司，从应用走向设计，MCU中国之源，域名www.mcu.com.cn,坚持以MCU为核心，布局MCU周边技术，实施MCU+战略，相继发布NOR Flash的存储产品、AC-DC及DC-DC电源产品、蓝牙产品，力求为客户提供智能控制一站式整体解决方案，打造第二、第三增长曲线。在自己发布存储产品的同时，公司还收购了珠海博雅21%的股份，从内生式发展迈出外延式发展的第一步。珠海博雅是一家存储产品设计公司，创始团队来自北大物理系，其存储产品设计与市场都有很深的积累。</w:t>
            </w:r>
          </w:p>
          <w:p w14:paraId="28C656B0">
            <w:pPr>
              <w:keepNext w:val="0"/>
              <w:keepLines w:val="0"/>
              <w:pageBreakBefore w:val="0"/>
              <w:widowControl w:val="0"/>
              <w:numPr>
                <w:ilvl w:val="0"/>
                <w:numId w:val="0"/>
              </w:numPr>
              <w:kinsoku/>
              <w:wordWrap/>
              <w:overflowPunct/>
              <w:topLinePunct w:val="0"/>
              <w:bidi w:val="0"/>
              <w:adjustRightInd/>
              <w:snapToGrid/>
              <w:spacing w:line="360" w:lineRule="exact"/>
              <w:ind w:right="0" w:rightChars="0" w:firstLine="480" w:firstLineChars="200"/>
              <w:textAlignment w:val="auto"/>
              <w:rPr>
                <w:rFonts w:hint="default" w:ascii="仿宋" w:hAnsi="仿宋" w:eastAsia="仿宋" w:cs="仿宋"/>
                <w:sz w:val="24"/>
                <w:szCs w:val="24"/>
                <w:lang w:val="en-US" w:eastAsia="zh-CN"/>
              </w:rPr>
            </w:pPr>
          </w:p>
          <w:p w14:paraId="00CF228B">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Chars="200" w:right="0" w:rightChars="0"/>
              <w:jc w:val="both"/>
              <w:textAlignment w:val="auto"/>
              <w:rPr>
                <w:rFonts w:hint="default" w:cs="宋体"/>
                <w:b w:val="0"/>
                <w:bCs w:val="0"/>
                <w:sz w:val="24"/>
                <w:szCs w:val="24"/>
                <w:lang w:val="en-US" w:eastAsia="zh-CN" w:bidi="zh-CN"/>
              </w:rPr>
            </w:pPr>
            <w:r>
              <w:rPr>
                <w:rFonts w:hint="eastAsia" w:cs="宋体"/>
                <w:b w:val="0"/>
                <w:bCs w:val="0"/>
                <w:sz w:val="24"/>
                <w:szCs w:val="24"/>
                <w:lang w:val="en-US" w:eastAsia="zh-CN" w:bidi="zh-CN"/>
              </w:rPr>
              <w:t>交流问答</w:t>
            </w:r>
          </w:p>
          <w:p w14:paraId="662E9A87">
            <w:pPr>
              <w:keepNext w:val="0"/>
              <w:keepLines w:val="0"/>
              <w:pageBreakBefore w:val="0"/>
              <w:widowControl w:val="0"/>
              <w:kinsoku/>
              <w:wordWrap/>
              <w:overflowPunct/>
              <w:topLinePunct w:val="0"/>
              <w:bidi w:val="0"/>
              <w:adjustRightInd/>
              <w:snapToGrid/>
              <w:spacing w:line="36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1.今年业务情况？</w:t>
            </w:r>
          </w:p>
          <w:p w14:paraId="34A492DE">
            <w:pPr>
              <w:keepNext w:val="0"/>
              <w:keepLines w:val="0"/>
              <w:pageBreakBefore w:val="0"/>
              <w:widowControl w:val="0"/>
              <w:numPr>
                <w:ilvl w:val="0"/>
                <w:numId w:val="0"/>
              </w:numPr>
              <w:kinsoku/>
              <w:wordWrap/>
              <w:overflowPunct/>
              <w:topLinePunct w:val="0"/>
              <w:bidi w:val="0"/>
              <w:adjustRightInd/>
              <w:snapToGrid/>
              <w:spacing w:line="360" w:lineRule="exact"/>
              <w:ind w:right="0" w:rightChars="0" w:firstLine="480" w:firstLineChars="200"/>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答：公司当前营业收入主要还是MCU，下游消费电子、家用电器、工业控制和汽车电子，其中消费电子和家用电器占比40%，工业控制和汽车电子占30%。目前公司产品处于供应紧张状态，未交订单持续累积增大。产品毛利在提升，一季度综合毛利38%。</w:t>
            </w:r>
          </w:p>
          <w:p w14:paraId="1E46B473">
            <w:pPr>
              <w:keepNext w:val="0"/>
              <w:keepLines w:val="0"/>
              <w:pageBreakBefore w:val="0"/>
              <w:widowControl w:val="0"/>
              <w:numPr>
                <w:ilvl w:val="0"/>
                <w:numId w:val="2"/>
              </w:numPr>
              <w:kinsoku/>
              <w:wordWrap/>
              <w:overflowPunct/>
              <w:topLinePunct w:val="0"/>
              <w:bidi w:val="0"/>
              <w:adjustRightInd/>
              <w:snapToGrid/>
              <w:spacing w:line="36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公司出现供应紧张的原因，这种状态将会持续多久？</w:t>
            </w:r>
          </w:p>
          <w:p w14:paraId="113F2C88">
            <w:pPr>
              <w:keepNext w:val="0"/>
              <w:keepLines w:val="0"/>
              <w:pageBreakBefore w:val="0"/>
              <w:widowControl w:val="0"/>
              <w:numPr>
                <w:ilvl w:val="0"/>
                <w:numId w:val="0"/>
              </w:numPr>
              <w:kinsoku/>
              <w:wordWrap/>
              <w:overflowPunct/>
              <w:topLinePunct w:val="0"/>
              <w:bidi w:val="0"/>
              <w:adjustRightInd/>
              <w:snapToGrid/>
              <w:spacing w:line="360" w:lineRule="exact"/>
              <w:ind w:right="0" w:rightChars="0" w:firstLine="480" w:firstLineChars="200"/>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答：主要原因是公司产能增长的速度没有赶上下游客户对公司产品需求增长速度。与历史同期项目，当前公司产能是增长的，出货量是增长的，未交货订单也是增长的。当前产能紧张的状态，我们判断将是一个相对长久的过程。</w:t>
            </w:r>
          </w:p>
          <w:p w14:paraId="27301359">
            <w:pPr>
              <w:keepNext w:val="0"/>
              <w:keepLines w:val="0"/>
              <w:pageBreakBefore w:val="0"/>
              <w:widowControl w:val="0"/>
              <w:numPr>
                <w:ilvl w:val="0"/>
                <w:numId w:val="2"/>
              </w:numPr>
              <w:kinsoku/>
              <w:wordWrap/>
              <w:overflowPunct/>
              <w:topLinePunct w:val="0"/>
              <w:bidi w:val="0"/>
              <w:adjustRightInd/>
              <w:snapToGrid/>
              <w:spacing w:line="360" w:lineRule="exact"/>
              <w:ind w:left="0" w:leftChars="0" w:right="0" w:rightChars="0"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哪些领域导致对公司产品需求增长？</w:t>
            </w:r>
          </w:p>
          <w:p w14:paraId="00EB60DF">
            <w:pPr>
              <w:keepNext w:val="0"/>
              <w:keepLines w:val="0"/>
              <w:pageBreakBefore w:val="0"/>
              <w:widowControl w:val="0"/>
              <w:numPr>
                <w:ilvl w:val="0"/>
                <w:numId w:val="0"/>
              </w:numPr>
              <w:kinsoku/>
              <w:wordWrap/>
              <w:overflowPunct/>
              <w:topLinePunct w:val="0"/>
              <w:bidi w:val="0"/>
              <w:adjustRightInd/>
              <w:snapToGrid/>
              <w:spacing w:line="360" w:lineRule="exact"/>
              <w:ind w:right="0" w:rightChars="0" w:firstLine="480" w:firstLineChars="200"/>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答：首先是新兴领域对MCU的需求，无论是机器人、AI、算力、低空经济等等，没有哪个领域不需要MCU。机器人的关节控制需要MCU，AI的端侧处理需要MCU，算力建设的通风降温需要MCU，低空经济飞行器需要MCU。其次，传统应用领域需求在增长，比如今年电器产品需求的增长，用油的改成用电，电磁炉、电动工具如此；大家电通过几年的深耕，今年需求开始放量增加。</w:t>
            </w:r>
          </w:p>
          <w:p w14:paraId="7CF26C44">
            <w:pPr>
              <w:keepNext w:val="0"/>
              <w:keepLines w:val="0"/>
              <w:pageBreakBefore w:val="0"/>
              <w:widowControl w:val="0"/>
              <w:numPr>
                <w:ilvl w:val="0"/>
                <w:numId w:val="2"/>
              </w:numPr>
              <w:kinsoku/>
              <w:wordWrap/>
              <w:overflowPunct/>
              <w:topLinePunct w:val="0"/>
              <w:bidi w:val="0"/>
              <w:adjustRightInd/>
              <w:snapToGrid/>
              <w:spacing w:line="360" w:lineRule="exact"/>
              <w:ind w:left="0" w:leftChars="0" w:right="0" w:rightChars="0"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请问MCU涨价的逻辑？</w:t>
            </w:r>
          </w:p>
          <w:p w14:paraId="6FE4F133">
            <w:pPr>
              <w:keepNext w:val="0"/>
              <w:keepLines w:val="0"/>
              <w:pageBreakBefore w:val="0"/>
              <w:widowControl w:val="0"/>
              <w:numPr>
                <w:ilvl w:val="0"/>
                <w:numId w:val="0"/>
              </w:numPr>
              <w:kinsoku/>
              <w:wordWrap/>
              <w:overflowPunct/>
              <w:topLinePunct w:val="0"/>
              <w:bidi w:val="0"/>
              <w:adjustRightInd/>
              <w:snapToGrid/>
              <w:spacing w:line="360" w:lineRule="exact"/>
              <w:ind w:right="0" w:rightChars="0"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答：价格是供求关系决定的，MCU需求增长速度超过了MCU产能增长速度，出现供不应求，所以出现涨价。当前，MCU的产能不但没有增长，可能还有负增长，其产能被存储等产品挤压。</w:t>
            </w:r>
          </w:p>
          <w:p w14:paraId="110230C2">
            <w:pPr>
              <w:keepNext w:val="0"/>
              <w:keepLines w:val="0"/>
              <w:pageBreakBefore w:val="0"/>
              <w:widowControl w:val="0"/>
              <w:numPr>
                <w:ilvl w:val="0"/>
                <w:numId w:val="2"/>
              </w:numPr>
              <w:kinsoku/>
              <w:wordWrap/>
              <w:overflowPunct/>
              <w:topLinePunct w:val="0"/>
              <w:bidi w:val="0"/>
              <w:adjustRightInd/>
              <w:snapToGrid/>
              <w:spacing w:line="360" w:lineRule="exact"/>
              <w:ind w:left="0" w:leftChars="0" w:right="0" w:rightChars="0"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公司存储产品有销售了吗？</w:t>
            </w:r>
          </w:p>
          <w:p w14:paraId="4AE96F88">
            <w:pPr>
              <w:keepNext w:val="0"/>
              <w:keepLines w:val="0"/>
              <w:pageBreakBefore w:val="0"/>
              <w:widowControl w:val="0"/>
              <w:numPr>
                <w:ilvl w:val="0"/>
                <w:numId w:val="0"/>
              </w:numPr>
              <w:kinsoku/>
              <w:wordWrap/>
              <w:overflowPunct/>
              <w:topLinePunct w:val="0"/>
              <w:bidi w:val="0"/>
              <w:adjustRightInd/>
              <w:snapToGrid/>
              <w:spacing w:line="360" w:lineRule="exact"/>
              <w:ind w:right="0" w:rightChars="0" w:firstLine="480" w:firstLineChars="200"/>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答：我们自身研发的存储产品二季度开始出货，目前收入才到百万级范围，还很小。主要是产能有限，产品料号有限。</w:t>
            </w:r>
          </w:p>
          <w:p w14:paraId="7316DE8C">
            <w:pPr>
              <w:keepNext w:val="0"/>
              <w:keepLines w:val="0"/>
              <w:pageBreakBefore w:val="0"/>
              <w:widowControl w:val="0"/>
              <w:numPr>
                <w:ilvl w:val="0"/>
                <w:numId w:val="2"/>
              </w:numPr>
              <w:kinsoku/>
              <w:wordWrap/>
              <w:overflowPunct/>
              <w:topLinePunct w:val="0"/>
              <w:bidi w:val="0"/>
              <w:adjustRightInd/>
              <w:snapToGrid/>
              <w:spacing w:line="360" w:lineRule="exact"/>
              <w:ind w:left="0" w:leftChars="0" w:right="0" w:rightChars="0"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上游交期变化？</w:t>
            </w:r>
          </w:p>
          <w:p w14:paraId="1381E951">
            <w:pPr>
              <w:keepNext w:val="0"/>
              <w:keepLines w:val="0"/>
              <w:pageBreakBefore w:val="0"/>
              <w:widowControl w:val="0"/>
              <w:numPr>
                <w:ilvl w:val="0"/>
                <w:numId w:val="0"/>
              </w:numPr>
              <w:kinsoku/>
              <w:wordWrap/>
              <w:overflowPunct/>
              <w:topLinePunct w:val="0"/>
              <w:bidi w:val="0"/>
              <w:adjustRightInd/>
              <w:snapToGrid/>
              <w:spacing w:line="360" w:lineRule="exact"/>
              <w:ind w:leftChars="200" w:right="0" w:rightChars="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答：晶圆和封测交期都在拉长，平均拉长了1/2的交期。</w:t>
            </w:r>
          </w:p>
          <w:p w14:paraId="184AB52A">
            <w:pPr>
              <w:keepNext w:val="0"/>
              <w:keepLines w:val="0"/>
              <w:pageBreakBefore w:val="0"/>
              <w:widowControl w:val="0"/>
              <w:numPr>
                <w:ilvl w:val="0"/>
                <w:numId w:val="2"/>
              </w:numPr>
              <w:kinsoku/>
              <w:wordWrap/>
              <w:overflowPunct/>
              <w:topLinePunct w:val="0"/>
              <w:bidi w:val="0"/>
              <w:adjustRightInd/>
              <w:snapToGrid/>
              <w:spacing w:line="360" w:lineRule="exact"/>
              <w:ind w:left="0" w:leftChars="0" w:right="0" w:rightChars="0"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公司如何解决产能不足的问题？</w:t>
            </w:r>
          </w:p>
          <w:p w14:paraId="04703D06">
            <w:pPr>
              <w:keepNext w:val="0"/>
              <w:keepLines w:val="0"/>
              <w:pageBreakBefore w:val="0"/>
              <w:widowControl w:val="0"/>
              <w:numPr>
                <w:ilvl w:val="0"/>
                <w:numId w:val="0"/>
              </w:numPr>
              <w:kinsoku/>
              <w:wordWrap/>
              <w:overflowPunct/>
              <w:topLinePunct w:val="0"/>
              <w:bidi w:val="0"/>
              <w:adjustRightInd/>
              <w:snapToGrid/>
              <w:spacing w:line="360" w:lineRule="exact"/>
              <w:ind w:right="0" w:rightChars="0"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答：公司将产能转移到更高制程扩大产能，同时寻求更多合作伙伴扩大产能。</w:t>
            </w:r>
          </w:p>
          <w:p w14:paraId="74BA8376">
            <w:pPr>
              <w:keepNext w:val="0"/>
              <w:keepLines w:val="0"/>
              <w:pageBreakBefore w:val="0"/>
              <w:widowControl w:val="0"/>
              <w:numPr>
                <w:ilvl w:val="0"/>
                <w:numId w:val="2"/>
              </w:numPr>
              <w:kinsoku/>
              <w:wordWrap/>
              <w:overflowPunct/>
              <w:topLinePunct w:val="0"/>
              <w:bidi w:val="0"/>
              <w:adjustRightInd/>
              <w:snapToGrid/>
              <w:spacing w:line="360" w:lineRule="exact"/>
              <w:ind w:left="0" w:leftChars="0" w:right="0" w:rightChars="0"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公司收购珠海博雅，今年他的营收情况如何？</w:t>
            </w:r>
          </w:p>
          <w:p w14:paraId="06669A08">
            <w:pPr>
              <w:keepNext w:val="0"/>
              <w:keepLines w:val="0"/>
              <w:pageBreakBefore w:val="0"/>
              <w:widowControl w:val="0"/>
              <w:numPr>
                <w:ilvl w:val="0"/>
                <w:numId w:val="0"/>
              </w:numPr>
              <w:kinsoku/>
              <w:wordWrap/>
              <w:overflowPunct/>
              <w:topLinePunct w:val="0"/>
              <w:bidi w:val="0"/>
              <w:adjustRightInd/>
              <w:snapToGrid/>
              <w:spacing w:line="360" w:lineRule="exact"/>
              <w:ind w:right="0" w:rightChars="0" w:firstLine="480" w:firstLineChars="200"/>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答：目前公司仅仅占有珠海博雅21%的股份，是第二大股东。珠海博雅的产品为NOR Flash，今年他们营收增长很快，前五个月已经超过去年全年收入，同时毛利率大幅提高，实现了盈利。</w:t>
            </w:r>
          </w:p>
          <w:p w14:paraId="2B96D9ED">
            <w:pPr>
              <w:keepNext w:val="0"/>
              <w:keepLines w:val="0"/>
              <w:pageBreakBefore w:val="0"/>
              <w:widowControl w:val="0"/>
              <w:numPr>
                <w:ilvl w:val="0"/>
                <w:numId w:val="2"/>
              </w:numPr>
              <w:kinsoku/>
              <w:wordWrap/>
              <w:overflowPunct/>
              <w:topLinePunct w:val="0"/>
              <w:bidi w:val="0"/>
              <w:adjustRightInd/>
              <w:snapToGrid/>
              <w:spacing w:line="360" w:lineRule="exact"/>
              <w:ind w:left="0" w:leftChars="0" w:right="0" w:rightChars="0" w:firstLine="480" w:firstLineChars="200"/>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8位和32位MCU的出货比例变化？</w:t>
            </w:r>
          </w:p>
          <w:p w14:paraId="2E5A71A9">
            <w:pPr>
              <w:keepNext w:val="0"/>
              <w:keepLines w:val="0"/>
              <w:pageBreakBefore w:val="0"/>
              <w:widowControl w:val="0"/>
              <w:numPr>
                <w:ilvl w:val="0"/>
                <w:numId w:val="0"/>
              </w:numPr>
              <w:kinsoku/>
              <w:wordWrap/>
              <w:overflowPunct/>
              <w:topLinePunct w:val="0"/>
              <w:bidi w:val="0"/>
              <w:adjustRightInd/>
              <w:snapToGrid/>
              <w:spacing w:line="360" w:lineRule="exact"/>
              <w:ind w:right="0" w:rightChars="0"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答：公司在2018年前全是8位产品，2019年32位产品实现营收，32位产品营收在持续扩大，去年32位产品营收占比超过1/3，目前32位机收入过4成。今年，随着M4的产品出货，单品价值提高，32位占比还会大幅提高。</w:t>
            </w:r>
          </w:p>
          <w:p w14:paraId="6F5F2706">
            <w:pPr>
              <w:keepNext w:val="0"/>
              <w:keepLines w:val="0"/>
              <w:pageBreakBefore w:val="0"/>
              <w:widowControl w:val="0"/>
              <w:numPr>
                <w:numId w:val="0"/>
              </w:numPr>
              <w:kinsoku/>
              <w:wordWrap/>
              <w:overflowPunct/>
              <w:topLinePunct w:val="0"/>
              <w:bidi w:val="0"/>
              <w:adjustRightInd/>
              <w:snapToGrid/>
              <w:spacing w:line="360" w:lineRule="exact"/>
              <w:ind w:leftChars="200" w:right="0" w:rightChars="0"/>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10.公司产品涨价幅度是否能覆盖上游涨价幅度？</w:t>
            </w:r>
          </w:p>
          <w:p w14:paraId="676C2B4D">
            <w:pPr>
              <w:keepNext w:val="0"/>
              <w:keepLines w:val="0"/>
              <w:pageBreakBefore w:val="0"/>
              <w:widowControl w:val="0"/>
              <w:numPr>
                <w:ilvl w:val="0"/>
                <w:numId w:val="0"/>
              </w:numPr>
              <w:kinsoku/>
              <w:wordWrap/>
              <w:overflowPunct/>
              <w:topLinePunct w:val="0"/>
              <w:bidi w:val="0"/>
              <w:adjustRightInd/>
              <w:snapToGrid/>
              <w:spacing w:line="360" w:lineRule="exact"/>
              <w:ind w:right="0" w:rightChars="0" w:firstLine="480" w:firstLineChars="200"/>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答：涨价基本能覆盖上游涨价的。</w:t>
            </w:r>
          </w:p>
          <w:p w14:paraId="7500F49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textAlignment w:val="auto"/>
              <w:rPr>
                <w:rFonts w:hint="default" w:cs="宋体"/>
                <w:b w:val="0"/>
                <w:bCs w:val="0"/>
                <w:sz w:val="24"/>
                <w:szCs w:val="24"/>
                <w:lang w:val="en-US" w:eastAsia="zh-CN" w:bidi="zh-CN"/>
              </w:rPr>
            </w:pPr>
            <w:bookmarkStart w:id="0" w:name="_GoBack"/>
            <w:bookmarkEnd w:id="0"/>
          </w:p>
        </w:tc>
      </w:tr>
    </w:tbl>
    <w:p w14:paraId="4E79A505">
      <w:pPr>
        <w:spacing w:before="23"/>
        <w:ind w:right="0"/>
        <w:jc w:val="left"/>
        <w:rPr>
          <w:sz w:val="21"/>
        </w:rPr>
      </w:pPr>
    </w:p>
    <w:sectPr>
      <w:pgSz w:w="11910" w:h="16840"/>
      <w:pgMar w:top="1417" w:right="1134" w:bottom="1417" w:left="1134" w:header="720" w:footer="720" w:gutter="0"/>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Wingdings 2">
    <w:panose1 w:val="05020102010507070707"/>
    <w:charset w:val="00"/>
    <w:family w:val="auto"/>
    <w:pitch w:val="default"/>
    <w:sig w:usb0="00000000" w:usb1="00000000" w:usb2="00000000" w:usb3="00000000" w:csb0="80000000"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3BF66C6"/>
    <w:multiLevelType w:val="singleLevel"/>
    <w:tmpl w:val="E3BF66C6"/>
    <w:lvl w:ilvl="0" w:tentative="0">
      <w:start w:val="2"/>
      <w:numFmt w:val="decimal"/>
      <w:lvlText w:val="%1."/>
      <w:lvlJc w:val="left"/>
      <w:pPr>
        <w:tabs>
          <w:tab w:val="left" w:pos="312"/>
        </w:tabs>
      </w:pPr>
    </w:lvl>
  </w:abstractNum>
  <w:abstractNum w:abstractNumId="1">
    <w:nsid w:val="7580FB9B"/>
    <w:multiLevelType w:val="singleLevel"/>
    <w:tmpl w:val="7580FB9B"/>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9"/>
  <w:bordersDoNotSurroundHeader w:val="0"/>
  <w:bordersDoNotSurroundFooter w:val="0"/>
  <w:documentProtection w:enforcement="0"/>
  <w:defaultTabStop w:val="721"/>
  <w:drawingGridHorizontalSpacing w:val="110"/>
  <w:displayHorizontalDrawingGridEvery w:val="1"/>
  <w:displayVerticalDrawingGridEvery w:val="1"/>
  <w:noPunctuationKerning w:val="1"/>
  <w:characterSpacingControl w:val="doNotCompress"/>
  <w:footnotePr>
    <w:footnote w:id="0"/>
    <w:footnote w:id="1"/>
  </w:footnotePr>
  <w:endnotePr>
    <w:endnote w:id="0"/>
    <w:endnote w:id="1"/>
  </w:endnotePr>
  <w:compat>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BlMDY5ZWU5ZTU1NWY2ODBmOTlkNmNjYWI5MGJjNTAifQ=="/>
  </w:docVars>
  <w:rsids>
    <w:rsidRoot w:val="00000000"/>
    <w:rsid w:val="00FD233D"/>
    <w:rsid w:val="034E33FD"/>
    <w:rsid w:val="049B5140"/>
    <w:rsid w:val="04B97099"/>
    <w:rsid w:val="062260D2"/>
    <w:rsid w:val="06B7310D"/>
    <w:rsid w:val="0BCE5827"/>
    <w:rsid w:val="0C656B42"/>
    <w:rsid w:val="0DDA5BAA"/>
    <w:rsid w:val="0E561013"/>
    <w:rsid w:val="0E842633"/>
    <w:rsid w:val="103109BE"/>
    <w:rsid w:val="1047628F"/>
    <w:rsid w:val="10CC52F7"/>
    <w:rsid w:val="140D0007"/>
    <w:rsid w:val="144018FC"/>
    <w:rsid w:val="1BA42A8E"/>
    <w:rsid w:val="1D1A1BCA"/>
    <w:rsid w:val="1E491273"/>
    <w:rsid w:val="1E6B5B60"/>
    <w:rsid w:val="1F0D324E"/>
    <w:rsid w:val="1F1840BF"/>
    <w:rsid w:val="204505AD"/>
    <w:rsid w:val="20E85DAE"/>
    <w:rsid w:val="23EE6D8C"/>
    <w:rsid w:val="24E24D18"/>
    <w:rsid w:val="24EC5A02"/>
    <w:rsid w:val="26CB631A"/>
    <w:rsid w:val="275135B6"/>
    <w:rsid w:val="28064645"/>
    <w:rsid w:val="287034F4"/>
    <w:rsid w:val="29015BC3"/>
    <w:rsid w:val="296C29CE"/>
    <w:rsid w:val="2A9F5694"/>
    <w:rsid w:val="2B231C5D"/>
    <w:rsid w:val="2BD33847"/>
    <w:rsid w:val="2D600F4C"/>
    <w:rsid w:val="2DA05DE6"/>
    <w:rsid w:val="2E567099"/>
    <w:rsid w:val="2ED94800"/>
    <w:rsid w:val="2F9257C7"/>
    <w:rsid w:val="302C44F1"/>
    <w:rsid w:val="32954240"/>
    <w:rsid w:val="337066A2"/>
    <w:rsid w:val="33CF2630"/>
    <w:rsid w:val="36CF10AF"/>
    <w:rsid w:val="37B625EF"/>
    <w:rsid w:val="380A05F1"/>
    <w:rsid w:val="39F5707E"/>
    <w:rsid w:val="3A0A3E69"/>
    <w:rsid w:val="3B073DC4"/>
    <w:rsid w:val="3CC11A84"/>
    <w:rsid w:val="402D334F"/>
    <w:rsid w:val="417A669A"/>
    <w:rsid w:val="42417305"/>
    <w:rsid w:val="437368FD"/>
    <w:rsid w:val="44E37ACA"/>
    <w:rsid w:val="46DB063D"/>
    <w:rsid w:val="47D15AB6"/>
    <w:rsid w:val="4AB901BB"/>
    <w:rsid w:val="4F3A3B86"/>
    <w:rsid w:val="50374B15"/>
    <w:rsid w:val="51CD61A5"/>
    <w:rsid w:val="584529E7"/>
    <w:rsid w:val="58B36C53"/>
    <w:rsid w:val="58B91A1A"/>
    <w:rsid w:val="5C054669"/>
    <w:rsid w:val="5E056C86"/>
    <w:rsid w:val="61AB2679"/>
    <w:rsid w:val="61F66F1B"/>
    <w:rsid w:val="64360FA4"/>
    <w:rsid w:val="645218B2"/>
    <w:rsid w:val="64E10284"/>
    <w:rsid w:val="65864EAB"/>
    <w:rsid w:val="65AC0BA1"/>
    <w:rsid w:val="684E7F52"/>
    <w:rsid w:val="6860573C"/>
    <w:rsid w:val="69007D35"/>
    <w:rsid w:val="69814922"/>
    <w:rsid w:val="6A8F2D01"/>
    <w:rsid w:val="6AA221E0"/>
    <w:rsid w:val="6AFE35FB"/>
    <w:rsid w:val="6BF33738"/>
    <w:rsid w:val="6C060AF4"/>
    <w:rsid w:val="6E5114E1"/>
    <w:rsid w:val="6F441EB0"/>
    <w:rsid w:val="6F8659FF"/>
    <w:rsid w:val="6FC54D4C"/>
    <w:rsid w:val="70852816"/>
    <w:rsid w:val="73187DD2"/>
    <w:rsid w:val="78471C35"/>
    <w:rsid w:val="79213DD0"/>
    <w:rsid w:val="7A117945"/>
    <w:rsid w:val="7BC17493"/>
    <w:rsid w:val="7D2045FF"/>
    <w:rsid w:val="7DE07F06"/>
    <w:rsid w:val="7E652935"/>
    <w:rsid w:val="7F0A225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1"/>
    <w:pPr>
      <w:widowControl w:val="0"/>
      <w:autoSpaceDE w:val="0"/>
      <w:autoSpaceDN w:val="0"/>
      <w:spacing w:before="0" w:after="0" w:line="240" w:lineRule="auto"/>
      <w:ind w:left="0" w:right="0"/>
      <w:jc w:val="left"/>
    </w:pPr>
    <w:rPr>
      <w:rFonts w:ascii="宋体" w:hAnsi="宋体" w:eastAsia="宋体" w:cs="宋体"/>
      <w:sz w:val="22"/>
      <w:szCs w:val="22"/>
      <w:lang w:val="zh-CN" w:eastAsia="zh-CN" w:bidi="zh-CN"/>
    </w:rPr>
  </w:style>
  <w:style w:type="character" w:default="1" w:styleId="5">
    <w:name w:val="Default Paragraph Font"/>
    <w:semiHidden/>
    <w:unhideWhenUsed/>
    <w:qFormat/>
    <w:uiPriority w:val="1"/>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Body Text"/>
    <w:basedOn w:val="1"/>
    <w:autoRedefine/>
    <w:qFormat/>
    <w:uiPriority w:val="1"/>
    <w:pPr>
      <w:spacing w:before="6"/>
    </w:pPr>
    <w:rPr>
      <w:rFonts w:ascii="宋体" w:hAnsi="宋体" w:eastAsia="宋体" w:cs="宋体"/>
      <w:sz w:val="24"/>
      <w:szCs w:val="24"/>
      <w:lang w:val="zh-CN" w:eastAsia="zh-CN" w:bidi="zh-CN"/>
    </w:rPr>
  </w:style>
  <w:style w:type="paragraph" w:styleId="3">
    <w:name w:val="footer"/>
    <w:basedOn w:val="1"/>
    <w:autoRedefine/>
    <w:qFormat/>
    <w:uiPriority w:val="0"/>
    <w:pPr>
      <w:tabs>
        <w:tab w:val="center" w:pos="4153"/>
        <w:tab w:val="right" w:pos="8306"/>
      </w:tabs>
      <w:snapToGrid w:val="0"/>
      <w:jc w:val="left"/>
    </w:pPr>
    <w:rPr>
      <w:sz w:val="18"/>
    </w:rPr>
  </w:style>
  <w:style w:type="table" w:customStyle="1" w:styleId="6">
    <w:name w:val="Table Normal"/>
    <w:autoRedefine/>
    <w:semiHidden/>
    <w:unhideWhenUsed/>
    <w:qFormat/>
    <w:uiPriority w:val="2"/>
    <w:tblPr>
      <w:tblCellMar>
        <w:top w:w="0" w:type="dxa"/>
        <w:left w:w="0" w:type="dxa"/>
        <w:bottom w:w="0" w:type="dxa"/>
        <w:right w:w="0" w:type="dxa"/>
      </w:tblCellMar>
    </w:tblPr>
  </w:style>
  <w:style w:type="paragraph" w:styleId="7">
    <w:name w:val="List Paragraph"/>
    <w:basedOn w:val="1"/>
    <w:autoRedefine/>
    <w:qFormat/>
    <w:uiPriority w:val="1"/>
    <w:rPr>
      <w:lang w:val="zh-CN" w:eastAsia="zh-CN" w:bidi="zh-CN"/>
    </w:rPr>
  </w:style>
  <w:style w:type="paragraph" w:customStyle="1" w:styleId="8">
    <w:name w:val="Table Paragraph"/>
    <w:basedOn w:val="1"/>
    <w:autoRedefine/>
    <w:qFormat/>
    <w:uiPriority w:val="1"/>
    <w:pPr>
      <w:ind w:left="108"/>
    </w:pPr>
    <w:rPr>
      <w:rFonts w:ascii="宋体" w:hAnsi="宋体" w:eastAsia="宋体" w:cs="宋体"/>
      <w:lang w:val="zh-CN" w:eastAsia="zh-CN" w:bidi="zh-CN"/>
    </w:rPr>
  </w:style>
  <w:style w:type="paragraph" w:customStyle="1" w:styleId="9">
    <w:name w:val="12"/>
    <w:autoRedefine/>
    <w:qFormat/>
    <w:uiPriority w:val="0"/>
    <w:pPr>
      <w:widowControl w:val="0"/>
      <w:jc w:val="both"/>
    </w:pPr>
    <w:rPr>
      <w:rFonts w:ascii="Calibri" w:hAnsi="Calibri" w:eastAsia="宋体" w:cs="Times New Roman"/>
      <w:kern w:val="2"/>
      <w:lang w:val="en-US" w:eastAsia="zh-CN" w:bidi="ar-SA"/>
    </w:rPr>
  </w:style>
  <w:style w:type="paragraph" w:customStyle="1" w:styleId="10">
    <w:name w:val="正文5"/>
    <w:qFormat/>
    <w:uiPriority w:val="0"/>
    <w:pPr>
      <w:jc w:val="both"/>
    </w:pPr>
    <w:rPr>
      <w:rFonts w:ascii="Times New Roman" w:hAnsi="Times New Roman"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1378</Words>
  <Characters>1490</Characters>
  <TotalTime>33</TotalTime>
  <ScaleCrop>false</ScaleCrop>
  <LinksUpToDate>false</LinksUpToDate>
  <CharactersWithSpaces>1706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2022-08-11T01:07:00Z</dcterms:created>
  <dc:creator>XIONG</dc:creator>
  <cp:lastModifiedBy>ZYJ</cp:lastModifiedBy>
  <cp:lastPrinted>2022-09-29T09:35:00Z</cp:lastPrinted>
  <dcterms:modified xsi:type="dcterms:W3CDTF">2026-06-30T10:02:21Z</dcterms:modified>
  <dc:title>证券代码：300327                      证券简称：中颖电子</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2022-07-12T00:00:00Z</vt:filetime>
  </property>
  <property fmtid="{D5CDD505-2E9C-101B-9397-08002B2CF9AE}" pid="3" name="Creator">
    <vt:lpwstr>Microsoft® Word 2010</vt:lpwstr>
  </property>
  <property fmtid="{D5CDD505-2E9C-101B-9397-08002B2CF9AE}" pid="4" name="LastSaved">
    <vt:filetime>2022-08-11T00:00:00Z</vt:filetime>
  </property>
  <property fmtid="{D5CDD505-2E9C-101B-9397-08002B2CF9AE}" pid="5" name="KSOProductBuildVer">
    <vt:lpwstr>2052-12.1.0.26895</vt:lpwstr>
  </property>
  <property fmtid="{D5CDD505-2E9C-101B-9397-08002B2CF9AE}" pid="6" name="ICV">
    <vt:lpwstr>BCE091CECC0944B1BEC91BA6ED58B74A_13</vt:lpwstr>
  </property>
  <property fmtid="{D5CDD505-2E9C-101B-9397-08002B2CF9AE}" pid="7" name="KSOTemplateDocerSaveRecord">
    <vt:lpwstr>eyJoZGlkIjoiZTQ4ODQwNThiYTg4YTBlNDhkZDRmNGNiNWM5NWE1YzAiLCJ1c2VySWQiOiIyNDk3MTA2NDYifQ==</vt:lpwstr>
  </property>
</Properties>
</file>