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E21885">
      <w:pPr>
        <w:spacing w:before="156" w:beforeLines="50" w:after="156" w:afterLines="50" w:line="400" w:lineRule="exact"/>
        <w:rPr>
          <w:rFonts w:hint="default" w:ascii="Times New Roman" w:hAnsi="Times New Roman" w:cs="Times New Roman"/>
          <w:bCs/>
          <w:iCs/>
          <w:color w:val="000000"/>
          <w:sz w:val="24"/>
        </w:rPr>
      </w:pPr>
      <w:r>
        <w:rPr>
          <w:rFonts w:hint="default" w:ascii="Times New Roman" w:hAnsi="Times New Roman" w:cs="Times New Roman"/>
          <w:bCs/>
          <w:iCs/>
          <w:color w:val="000000"/>
          <w:sz w:val="24"/>
        </w:rPr>
        <w:t xml:space="preserve">证券代码：688303                               </w:t>
      </w:r>
      <w:r>
        <w:rPr>
          <w:rFonts w:hint="eastAsia" w:cs="Times New Roman"/>
          <w:bCs/>
          <w:iCs/>
          <w:color w:val="000000"/>
          <w:sz w:val="24"/>
          <w:lang w:val="en-US" w:eastAsia="zh-CN"/>
        </w:rPr>
        <w:t xml:space="preserve">                                    </w:t>
      </w:r>
      <w:r>
        <w:rPr>
          <w:rFonts w:hint="default" w:ascii="Times New Roman" w:hAnsi="Times New Roman" w:cs="Times New Roman"/>
          <w:bCs/>
          <w:iCs/>
          <w:color w:val="000000"/>
          <w:sz w:val="24"/>
        </w:rPr>
        <w:t xml:space="preserve">   证券简称：大全能源</w:t>
      </w:r>
    </w:p>
    <w:p w14:paraId="5ED21BC4">
      <w:pPr>
        <w:spacing w:line="360" w:lineRule="auto"/>
        <w:jc w:val="center"/>
        <w:rPr>
          <w:rFonts w:hint="default" w:ascii="Times New Roman" w:hAnsi="Times New Roman" w:cs="Times New Roman"/>
          <w:b/>
          <w:bCs/>
          <w:sz w:val="28"/>
          <w:szCs w:val="28"/>
        </w:rPr>
      </w:pPr>
      <w:r>
        <w:rPr>
          <w:rFonts w:hint="default" w:ascii="Times New Roman" w:hAnsi="Times New Roman" w:cs="Times New Roman"/>
          <w:b/>
          <w:bCs/>
          <w:sz w:val="28"/>
          <w:szCs w:val="28"/>
        </w:rPr>
        <w:t>新疆大全新能源股份有限公司投资者关系活动记录表</w:t>
      </w:r>
    </w:p>
    <w:p w14:paraId="36DD3C0D">
      <w:pPr>
        <w:keepNext w:val="0"/>
        <w:keepLines w:val="0"/>
        <w:pageBreakBefore w:val="0"/>
        <w:widowControl/>
        <w:kinsoku/>
        <w:wordWrap/>
        <w:overflowPunct/>
        <w:topLinePunct w:val="0"/>
        <w:autoSpaceDE/>
        <w:autoSpaceDN/>
        <w:bidi w:val="0"/>
        <w:adjustRightInd/>
        <w:snapToGrid/>
        <w:spacing w:line="360" w:lineRule="auto"/>
        <w:jc w:val="right"/>
        <w:textAlignment w:val="auto"/>
        <w:rPr>
          <w:rFonts w:hint="default" w:ascii="Times New Roman" w:hAnsi="Times New Roman" w:eastAsia="宋体" w:cs="Times New Roman"/>
          <w:color w:val="FF0000"/>
          <w:lang w:val="en-US" w:eastAsia="zh-CN"/>
        </w:rPr>
      </w:pPr>
      <w:r>
        <w:rPr>
          <w:rFonts w:hint="default" w:ascii="Times New Roman" w:hAnsi="Times New Roman" w:cs="Times New Roman"/>
        </w:rPr>
        <w:t>编号：</w:t>
      </w:r>
      <w:r>
        <w:rPr>
          <w:rFonts w:hint="default" w:ascii="Times New Roman" w:hAnsi="Times New Roman" w:cs="Times New Roman"/>
          <w:lang w:val="en-US" w:eastAsia="zh-CN"/>
        </w:rPr>
        <w:t>202</w:t>
      </w:r>
      <w:r>
        <w:rPr>
          <w:rFonts w:hint="eastAsia" w:cs="Times New Roman"/>
          <w:lang w:val="en-US" w:eastAsia="zh-CN"/>
        </w:rPr>
        <w:t>6-6</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6"/>
        <w:gridCol w:w="6666"/>
      </w:tblGrid>
      <w:tr w14:paraId="2F944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3" w:hRule="atLeast"/>
        </w:trPr>
        <w:tc>
          <w:tcPr>
            <w:tcW w:w="1856" w:type="dxa"/>
            <w:shd w:val="clear" w:color="auto" w:fill="auto"/>
            <w:vAlign w:val="center"/>
          </w:tcPr>
          <w:p w14:paraId="642E4A74">
            <w:pPr>
              <w:jc w:val="center"/>
              <w:rPr>
                <w:rFonts w:hint="default" w:ascii="Times New Roman" w:hAnsi="Times New Roman" w:cs="Times New Roman"/>
                <w:b/>
                <w:sz w:val="24"/>
                <w:szCs w:val="24"/>
              </w:rPr>
            </w:pPr>
            <w:r>
              <w:rPr>
                <w:rFonts w:hint="default" w:ascii="Times New Roman" w:hAnsi="Times New Roman" w:cs="Times New Roman"/>
                <w:b/>
                <w:sz w:val="24"/>
                <w:szCs w:val="24"/>
              </w:rPr>
              <w:t>投资者活动类别</w:t>
            </w:r>
          </w:p>
        </w:tc>
        <w:tc>
          <w:tcPr>
            <w:tcW w:w="6666" w:type="dxa"/>
            <w:shd w:val="clear" w:color="auto" w:fill="auto"/>
            <w:vAlign w:val="center"/>
          </w:tcPr>
          <w:p w14:paraId="65D00A9F">
            <w:pPr>
              <w:jc w:val="both"/>
              <w:rPr>
                <w:rFonts w:hint="default" w:ascii="Times New Roman" w:hAnsi="Times New Roman" w:cs="Times New Roman"/>
                <w:sz w:val="24"/>
                <w:szCs w:val="24"/>
              </w:rPr>
            </w:pPr>
            <w:r>
              <w:rPr>
                <w:rFonts w:hint="default" w:ascii="Times New Roman" w:hAnsi="Times New Roman" w:cs="Times New Roman"/>
                <w:sz w:val="24"/>
                <w:szCs w:val="24"/>
                <w:lang w:eastAsia="zh-CN"/>
              </w:rPr>
              <w:sym w:font="Wingdings 2" w:char="0052"/>
            </w:r>
            <w:r>
              <w:rPr>
                <w:rFonts w:hint="default" w:ascii="Times New Roman" w:hAnsi="Times New Roman" w:cs="Times New Roman"/>
                <w:sz w:val="24"/>
                <w:szCs w:val="24"/>
              </w:rPr>
              <w:t xml:space="preserve">特定对象调研  </w:t>
            </w:r>
            <w:r>
              <w:rPr>
                <w:rFonts w:hint="default" w:ascii="Times New Roman" w:hAnsi="Times New Roman" w:cs="Times New Roman"/>
                <w:sz w:val="24"/>
                <w:szCs w:val="24"/>
              </w:rPr>
              <w:sym w:font="Wingdings 2" w:char="0052"/>
            </w:r>
            <w:r>
              <w:rPr>
                <w:rFonts w:hint="default" w:ascii="Times New Roman" w:hAnsi="Times New Roman" w:cs="Times New Roman"/>
                <w:sz w:val="24"/>
                <w:szCs w:val="24"/>
              </w:rPr>
              <w:t xml:space="preserve">分析师会议 </w:t>
            </w:r>
            <w:bookmarkStart w:id="0" w:name="OLE_LINK8"/>
            <w:bookmarkStart w:id="1" w:name="OLE_LINK7"/>
            <w:r>
              <w:rPr>
                <w:rFonts w:hint="default" w:ascii="Times New Roman" w:hAnsi="Times New Roman" w:cs="Times New Roman"/>
                <w:sz w:val="24"/>
                <w:szCs w:val="24"/>
              </w:rPr>
              <w:t xml:space="preserve">  </w:t>
            </w:r>
            <w:r>
              <w:rPr>
                <w:rFonts w:hint="default" w:ascii="Times New Roman" w:hAnsi="Times New Roman" w:cs="Times New Roman"/>
                <w:sz w:val="24"/>
                <w:szCs w:val="24"/>
              </w:rPr>
              <w:sym w:font="Wingdings 2" w:char="00A3"/>
            </w:r>
            <w:r>
              <w:rPr>
                <w:rFonts w:hint="default" w:ascii="Times New Roman" w:hAnsi="Times New Roman" w:cs="Times New Roman"/>
                <w:sz w:val="24"/>
                <w:szCs w:val="24"/>
              </w:rPr>
              <w:t>媒体采访</w:t>
            </w:r>
            <w:bookmarkEnd w:id="0"/>
            <w:bookmarkEnd w:id="1"/>
            <w:r>
              <w:rPr>
                <w:rFonts w:hint="default" w:ascii="Times New Roman" w:hAnsi="Times New Roman" w:cs="Times New Roman"/>
                <w:sz w:val="24"/>
                <w:szCs w:val="24"/>
              </w:rPr>
              <w:t xml:space="preserve"> </w:t>
            </w:r>
          </w:p>
          <w:p w14:paraId="046F24C1">
            <w:pPr>
              <w:jc w:val="both"/>
              <w:rPr>
                <w:rFonts w:hint="default" w:ascii="Times New Roman" w:hAnsi="Times New Roman" w:cs="Times New Roman"/>
                <w:sz w:val="24"/>
                <w:szCs w:val="24"/>
              </w:rPr>
            </w:pPr>
            <w:r>
              <w:rPr>
                <w:rFonts w:hint="default" w:ascii="Times New Roman" w:hAnsi="Times New Roman" w:cs="Times New Roman"/>
                <w:sz w:val="24"/>
                <w:szCs w:val="24"/>
              </w:rPr>
              <w:sym w:font="Wingdings 2" w:char="00A3"/>
            </w:r>
            <w:r>
              <w:rPr>
                <w:rFonts w:hint="default" w:ascii="Times New Roman" w:hAnsi="Times New Roman" w:cs="Times New Roman"/>
                <w:sz w:val="24"/>
                <w:szCs w:val="24"/>
              </w:rPr>
              <w:t xml:space="preserve">业绩说明会  </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w:t>
            </w:r>
            <w:r>
              <w:rPr>
                <w:rFonts w:hint="default" w:ascii="Times New Roman" w:hAnsi="Times New Roman" w:cs="Times New Roman"/>
                <w:sz w:val="24"/>
                <w:szCs w:val="24"/>
              </w:rPr>
              <w:sym w:font="Wingdings 2" w:char="00A3"/>
            </w:r>
            <w:r>
              <w:rPr>
                <w:rFonts w:hint="default" w:ascii="Times New Roman" w:hAnsi="Times New Roman" w:cs="Times New Roman"/>
                <w:sz w:val="24"/>
                <w:szCs w:val="24"/>
              </w:rPr>
              <w:t xml:space="preserve">新闻发布会  </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sym w:font="Wingdings 2" w:char="00A3"/>
            </w:r>
            <w:r>
              <w:rPr>
                <w:rFonts w:hint="default" w:ascii="Times New Roman" w:hAnsi="Times New Roman" w:cs="Times New Roman"/>
                <w:sz w:val="24"/>
                <w:szCs w:val="24"/>
              </w:rPr>
              <w:t>路演活动</w:t>
            </w:r>
          </w:p>
          <w:p w14:paraId="01A6B30E">
            <w:pPr>
              <w:jc w:val="both"/>
              <w:rPr>
                <w:rFonts w:hint="default" w:ascii="Times New Roman" w:hAnsi="Times New Roman" w:cs="Times New Roman"/>
                <w:sz w:val="24"/>
                <w:szCs w:val="24"/>
              </w:rPr>
            </w:pPr>
            <w:r>
              <w:rPr>
                <w:rFonts w:hint="default" w:ascii="Times New Roman" w:hAnsi="Times New Roman" w:cs="Times New Roman"/>
                <w:sz w:val="24"/>
                <w:szCs w:val="24"/>
                <w:lang w:eastAsia="zh-CN"/>
              </w:rPr>
              <w:sym w:font="Wingdings 2" w:char="00A3"/>
            </w:r>
            <w:r>
              <w:rPr>
                <w:rFonts w:hint="default" w:ascii="Times New Roman" w:hAnsi="Times New Roman" w:cs="Times New Roman"/>
                <w:sz w:val="24"/>
                <w:szCs w:val="24"/>
              </w:rPr>
              <w:t>现场参观</w:t>
            </w:r>
          </w:p>
          <w:p w14:paraId="5B91C730">
            <w:pPr>
              <w:keepNext w:val="0"/>
              <w:keepLines w:val="0"/>
              <w:pageBreakBefore w:val="0"/>
              <w:widowControl/>
              <w:kinsoku/>
              <w:wordWrap/>
              <w:overflowPunct/>
              <w:topLinePunct w:val="0"/>
              <w:autoSpaceDE/>
              <w:autoSpaceDN/>
              <w:bidi w:val="0"/>
              <w:adjustRightInd/>
              <w:snapToGrid/>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lang w:eastAsia="zh-CN"/>
              </w:rPr>
              <w:sym w:font="Wingdings 2" w:char="0052"/>
            </w:r>
            <w:r>
              <w:rPr>
                <w:rFonts w:hint="default" w:ascii="Times New Roman" w:hAnsi="Times New Roman" w:cs="Times New Roman"/>
                <w:sz w:val="24"/>
                <w:szCs w:val="24"/>
              </w:rPr>
              <w:t>其他</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u w:val="single"/>
                <w:lang w:val="en-US" w:eastAsia="zh-CN"/>
              </w:rPr>
              <w:t>策略会</w:t>
            </w:r>
          </w:p>
        </w:tc>
      </w:tr>
      <w:tr w14:paraId="56976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8" w:hRule="atLeast"/>
        </w:trPr>
        <w:tc>
          <w:tcPr>
            <w:tcW w:w="1856" w:type="dxa"/>
            <w:shd w:val="clear" w:color="auto" w:fill="auto"/>
            <w:vAlign w:val="center"/>
          </w:tcPr>
          <w:p w14:paraId="30BFC055">
            <w:pPr>
              <w:jc w:val="center"/>
              <w:rPr>
                <w:rFonts w:hint="default" w:ascii="Times New Roman" w:hAnsi="Times New Roman" w:cs="Times New Roman"/>
                <w:sz w:val="24"/>
                <w:szCs w:val="24"/>
              </w:rPr>
            </w:pPr>
            <w:r>
              <w:rPr>
                <w:rFonts w:hint="default" w:ascii="Times New Roman" w:hAnsi="Times New Roman" w:cs="Times New Roman"/>
                <w:b/>
                <w:sz w:val="24"/>
                <w:szCs w:val="24"/>
              </w:rPr>
              <w:t>公司接待</w:t>
            </w:r>
          </w:p>
          <w:p w14:paraId="5309A89B">
            <w:pPr>
              <w:jc w:val="center"/>
              <w:rPr>
                <w:rFonts w:hint="default" w:ascii="Times New Roman" w:hAnsi="Times New Roman" w:cs="Times New Roman"/>
                <w:b/>
                <w:sz w:val="24"/>
                <w:szCs w:val="24"/>
              </w:rPr>
            </w:pPr>
            <w:r>
              <w:rPr>
                <w:rFonts w:hint="default" w:ascii="Times New Roman" w:hAnsi="Times New Roman" w:cs="Times New Roman"/>
                <w:b/>
                <w:sz w:val="24"/>
                <w:szCs w:val="24"/>
              </w:rPr>
              <w:t>成员名单</w:t>
            </w:r>
          </w:p>
        </w:tc>
        <w:tc>
          <w:tcPr>
            <w:tcW w:w="6666" w:type="dxa"/>
            <w:shd w:val="clear" w:color="auto" w:fill="auto"/>
            <w:vAlign w:val="center"/>
          </w:tcPr>
          <w:p w14:paraId="416AC10A">
            <w:pPr>
              <w:pStyle w:val="17"/>
              <w:ind w:left="0" w:leftChars="0" w:firstLine="240" w:firstLineChars="100"/>
              <w:rPr>
                <w:rFonts w:hint="default" w:ascii="Times New Roman" w:hAnsi="Times New Roman" w:cs="Times New Roman"/>
                <w:bCs/>
                <w:iCs/>
                <w:color w:val="000000"/>
                <w:kern w:val="0"/>
                <w:sz w:val="24"/>
                <w:szCs w:val="24"/>
                <w:lang w:val="en-US" w:eastAsia="zh-CN" w:bidi="ar-SA"/>
              </w:rPr>
            </w:pPr>
            <w:bookmarkStart w:id="2" w:name="OLE_LINK10"/>
            <w:r>
              <w:rPr>
                <w:rFonts w:hint="eastAsia" w:ascii="Times New Roman" w:hAnsi="Times New Roman" w:cs="Times New Roman"/>
                <w:bCs/>
                <w:iCs/>
                <w:color w:val="000000"/>
                <w:kern w:val="0"/>
                <w:sz w:val="24"/>
                <w:szCs w:val="24"/>
                <w:lang w:val="en-US" w:eastAsia="zh-CN" w:bidi="ar-SA"/>
              </w:rPr>
              <w:t>徐    翔  副董事长</w:t>
            </w:r>
          </w:p>
          <w:p w14:paraId="13E6411F">
            <w:pPr>
              <w:pStyle w:val="17"/>
              <w:ind w:left="0" w:leftChars="0" w:firstLine="240" w:firstLineChars="100"/>
              <w:rPr>
                <w:rFonts w:hint="default" w:ascii="Times New Roman" w:hAnsi="Times New Roman" w:cs="Times New Roman"/>
                <w:sz w:val="24"/>
                <w:szCs w:val="24"/>
                <w:lang w:val="en-US" w:eastAsia="zh-CN"/>
              </w:rPr>
            </w:pPr>
            <w:r>
              <w:rPr>
                <w:rFonts w:hint="default" w:ascii="Times New Roman" w:hAnsi="Times New Roman" w:cs="Times New Roman"/>
                <w:bCs/>
                <w:iCs/>
                <w:color w:val="000000"/>
                <w:kern w:val="0"/>
                <w:sz w:val="24"/>
                <w:szCs w:val="24"/>
                <w:lang w:val="en-US" w:eastAsia="zh-CN" w:bidi="ar-SA"/>
              </w:rPr>
              <w:t xml:space="preserve">孙逸铖 </w:t>
            </w:r>
            <w:r>
              <w:rPr>
                <w:rFonts w:hint="eastAsia" w:ascii="Times New Roman" w:hAnsi="Times New Roman" w:cs="Times New Roman"/>
                <w:bCs/>
                <w:iCs/>
                <w:color w:val="000000"/>
                <w:kern w:val="0"/>
                <w:sz w:val="24"/>
                <w:szCs w:val="24"/>
                <w:lang w:val="en-US" w:eastAsia="zh-CN" w:bidi="ar-SA"/>
              </w:rPr>
              <w:t xml:space="preserve"> </w:t>
            </w:r>
            <w:r>
              <w:rPr>
                <w:rFonts w:hint="default" w:ascii="Times New Roman" w:hAnsi="Times New Roman" w:cs="Times New Roman"/>
                <w:bCs/>
                <w:iCs/>
                <w:color w:val="000000"/>
                <w:kern w:val="0"/>
                <w:sz w:val="24"/>
                <w:szCs w:val="24"/>
                <w:lang w:val="en-US" w:eastAsia="zh-CN" w:bidi="ar-SA"/>
              </w:rPr>
              <w:t>董事、董事会秘书</w:t>
            </w:r>
          </w:p>
          <w:p w14:paraId="47F16076">
            <w:pPr>
              <w:pStyle w:val="17"/>
              <w:keepNext w:val="0"/>
              <w:keepLines w:val="0"/>
              <w:pageBreakBefore w:val="0"/>
              <w:widowControl/>
              <w:kinsoku/>
              <w:wordWrap/>
              <w:overflowPunct/>
              <w:topLinePunct w:val="0"/>
              <w:autoSpaceDE/>
              <w:autoSpaceDN/>
              <w:bidi w:val="0"/>
              <w:adjustRightInd/>
              <w:snapToGrid/>
              <w:spacing w:line="240" w:lineRule="auto"/>
              <w:ind w:left="0" w:leftChars="0" w:firstLine="240" w:firstLineChars="100"/>
              <w:textAlignment w:val="baseline"/>
              <w:rPr>
                <w:rFonts w:hint="default" w:ascii="Times New Roman" w:hAnsi="Times New Roman" w:eastAsia="宋体" w:cs="Times New Roman"/>
                <w:bCs/>
                <w:iCs/>
                <w:color w:val="000000"/>
                <w:kern w:val="0"/>
                <w:sz w:val="24"/>
                <w:szCs w:val="24"/>
                <w:lang w:val="en-US" w:eastAsia="zh-CN" w:bidi="ar-SA"/>
              </w:rPr>
            </w:pPr>
            <w:r>
              <w:rPr>
                <w:rFonts w:hint="default" w:ascii="Times New Roman" w:hAnsi="Times New Roman" w:cs="Times New Roman"/>
                <w:bCs/>
                <w:iCs/>
                <w:color w:val="000000"/>
                <w:kern w:val="0"/>
                <w:sz w:val="24"/>
                <w:szCs w:val="24"/>
                <w:lang w:val="en-US" w:eastAsia="zh-CN" w:bidi="ar-SA"/>
              </w:rPr>
              <w:t xml:space="preserve">杨呈杰  </w:t>
            </w:r>
            <w:r>
              <w:rPr>
                <w:rFonts w:hint="default" w:ascii="Times New Roman" w:hAnsi="Times New Roman" w:eastAsia="宋体" w:cs="Times New Roman"/>
                <w:bCs/>
                <w:iCs/>
                <w:color w:val="000000"/>
                <w:kern w:val="0"/>
                <w:sz w:val="24"/>
                <w:szCs w:val="24"/>
                <w:lang w:val="en-US" w:eastAsia="zh-CN" w:bidi="ar-SA"/>
              </w:rPr>
              <w:t>投资者关系</w:t>
            </w:r>
          </w:p>
          <w:p w14:paraId="42A719B6">
            <w:pPr>
              <w:pStyle w:val="17"/>
              <w:keepNext w:val="0"/>
              <w:keepLines w:val="0"/>
              <w:pageBreakBefore w:val="0"/>
              <w:widowControl/>
              <w:kinsoku/>
              <w:wordWrap/>
              <w:overflowPunct/>
              <w:topLinePunct w:val="0"/>
              <w:autoSpaceDE/>
              <w:autoSpaceDN/>
              <w:bidi w:val="0"/>
              <w:adjustRightInd/>
              <w:snapToGrid/>
              <w:spacing w:line="240" w:lineRule="auto"/>
              <w:ind w:left="0" w:leftChars="0" w:firstLine="240" w:firstLineChars="100"/>
              <w:textAlignment w:val="baseline"/>
              <w:rPr>
                <w:rFonts w:hint="default" w:ascii="Times New Roman" w:hAnsi="Times New Roman" w:eastAsia="宋体" w:cs="Times New Roman"/>
                <w:bCs/>
                <w:iCs/>
                <w:color w:val="000000"/>
                <w:kern w:val="0"/>
                <w:sz w:val="24"/>
                <w:szCs w:val="24"/>
                <w:lang w:val="en-US" w:eastAsia="zh-CN" w:bidi="ar-SA"/>
              </w:rPr>
            </w:pPr>
            <w:r>
              <w:rPr>
                <w:rFonts w:hint="default" w:ascii="Times New Roman" w:hAnsi="Times New Roman" w:cs="Times New Roman"/>
                <w:bCs/>
                <w:iCs/>
                <w:color w:val="000000"/>
                <w:kern w:val="0"/>
                <w:sz w:val="24"/>
                <w:szCs w:val="24"/>
                <w:lang w:val="en-US" w:eastAsia="zh-CN" w:bidi="ar-SA"/>
              </w:rPr>
              <w:t xml:space="preserve">崔    景  </w:t>
            </w:r>
            <w:r>
              <w:rPr>
                <w:rFonts w:hint="default" w:ascii="Times New Roman" w:hAnsi="Times New Roman" w:eastAsia="宋体" w:cs="Times New Roman"/>
                <w:bCs/>
                <w:iCs/>
                <w:color w:val="000000"/>
                <w:kern w:val="0"/>
                <w:sz w:val="24"/>
                <w:szCs w:val="24"/>
                <w:lang w:val="en-US" w:eastAsia="zh-CN" w:bidi="ar-SA"/>
              </w:rPr>
              <w:t>投资者关系</w:t>
            </w:r>
            <w:bookmarkEnd w:id="2"/>
          </w:p>
        </w:tc>
      </w:tr>
      <w:tr w14:paraId="30633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56" w:type="dxa"/>
            <w:shd w:val="clear" w:color="auto" w:fill="auto"/>
            <w:vAlign w:val="center"/>
          </w:tcPr>
          <w:p w14:paraId="6AFCFAD5">
            <w:pPr>
              <w:jc w:val="center"/>
              <w:rPr>
                <w:rFonts w:hint="default" w:ascii="Times New Roman" w:hAnsi="Times New Roman" w:cs="Times New Roman"/>
                <w:b/>
                <w:sz w:val="24"/>
                <w:szCs w:val="24"/>
              </w:rPr>
            </w:pPr>
            <w:r>
              <w:rPr>
                <w:rFonts w:hint="default" w:ascii="Times New Roman" w:hAnsi="Times New Roman" w:cs="Times New Roman"/>
                <w:b/>
                <w:sz w:val="24"/>
                <w:szCs w:val="24"/>
              </w:rPr>
              <w:t>参与单位名称及人员姓名</w:t>
            </w:r>
          </w:p>
        </w:tc>
        <w:tc>
          <w:tcPr>
            <w:tcW w:w="6666" w:type="dxa"/>
            <w:shd w:val="clear" w:color="auto" w:fill="auto"/>
            <w:vAlign w:val="center"/>
          </w:tcPr>
          <w:p w14:paraId="0FCB0649">
            <w:pPr>
              <w:pStyle w:val="17"/>
              <w:keepNext w:val="0"/>
              <w:keepLines w:val="0"/>
              <w:pageBreakBefore w:val="0"/>
              <w:widowControl/>
              <w:numPr>
                <w:ilvl w:val="0"/>
                <w:numId w:val="1"/>
              </w:numPr>
              <w:kinsoku/>
              <w:wordWrap/>
              <w:overflowPunct/>
              <w:topLinePunct w:val="0"/>
              <w:autoSpaceDE/>
              <w:autoSpaceDN/>
              <w:bidi w:val="0"/>
              <w:adjustRightInd/>
              <w:snapToGrid/>
              <w:spacing w:before="157" w:beforeLines="50" w:after="0" w:line="360" w:lineRule="auto"/>
              <w:ind w:left="400" w:leftChars="0" w:firstLine="0" w:firstLineChars="0"/>
              <w:textAlignment w:val="baseline"/>
              <w:rPr>
                <w:rFonts w:hint="default" w:ascii="Times New Roman" w:hAnsi="Times New Roman" w:cs="Times New Roman"/>
                <w:b/>
                <w:bCs/>
                <w:sz w:val="24"/>
                <w:szCs w:val="24"/>
                <w:highlight w:val="none"/>
                <w:lang w:val="en-US" w:eastAsia="zh-CN"/>
              </w:rPr>
            </w:pPr>
            <w:r>
              <w:rPr>
                <w:rFonts w:hint="default" w:ascii="Times New Roman" w:hAnsi="Times New Roman" w:cs="Times New Roman"/>
                <w:b/>
                <w:bCs/>
                <w:sz w:val="24"/>
                <w:szCs w:val="24"/>
                <w:highlight w:val="none"/>
                <w:lang w:val="en-US" w:eastAsia="zh-CN"/>
              </w:rPr>
              <w:t>机构策略会</w:t>
            </w:r>
          </w:p>
          <w:p w14:paraId="2F9F395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b w:val="0"/>
                <w:bCs w:val="0"/>
                <w:kern w:val="0"/>
                <w:sz w:val="24"/>
                <w:szCs w:val="24"/>
                <w:highlight w:val="none"/>
                <w:lang w:val="en-US" w:eastAsia="zh-CN" w:bidi="ar-SA"/>
              </w:rPr>
            </w:pPr>
            <w:r>
              <w:rPr>
                <w:rFonts w:hint="default" w:ascii="Times New Roman" w:hAnsi="Times New Roman" w:eastAsia="宋体" w:cs="Times New Roman"/>
                <w:b w:val="0"/>
                <w:bCs w:val="0"/>
                <w:kern w:val="0"/>
                <w:sz w:val="24"/>
                <w:szCs w:val="24"/>
                <w:highlight w:val="none"/>
                <w:lang w:val="en-US" w:eastAsia="zh-CN" w:bidi="ar-SA"/>
              </w:rPr>
              <w:t>参加了</w:t>
            </w:r>
            <w:bookmarkStart w:id="3" w:name="OLE_LINK2"/>
            <w:r>
              <w:rPr>
                <w:rFonts w:hint="eastAsia" w:cs="Times New Roman"/>
                <w:b w:val="0"/>
                <w:bCs w:val="0"/>
                <w:kern w:val="0"/>
                <w:sz w:val="24"/>
                <w:szCs w:val="24"/>
                <w:highlight w:val="none"/>
                <w:lang w:val="en-US" w:eastAsia="zh-CN" w:bidi="ar-SA"/>
              </w:rPr>
              <w:t>中信建投、兴业证券、长江证券、华创证券、天风证券、中金公司、华泰证券、天风证券、招商证券、东财证券、法巴证券</w:t>
            </w:r>
            <w:r>
              <w:rPr>
                <w:rFonts w:hint="default" w:cs="Times New Roman"/>
                <w:b w:val="0"/>
                <w:bCs w:val="0"/>
                <w:kern w:val="0"/>
                <w:sz w:val="24"/>
                <w:szCs w:val="24"/>
                <w:highlight w:val="none"/>
                <w:lang w:val="en-US" w:eastAsia="zh-CN" w:bidi="ar-SA"/>
              </w:rPr>
              <w:t>等券商机构组织的策</w:t>
            </w:r>
            <w:r>
              <w:rPr>
                <w:rFonts w:hint="default" w:ascii="Times New Roman" w:hAnsi="Times New Roman" w:eastAsia="宋体" w:cs="Times New Roman"/>
                <w:b w:val="0"/>
                <w:bCs w:val="0"/>
                <w:kern w:val="0"/>
                <w:sz w:val="24"/>
                <w:szCs w:val="24"/>
                <w:highlight w:val="none"/>
                <w:lang w:val="en-US" w:eastAsia="zh-CN" w:bidi="ar-SA"/>
              </w:rPr>
              <w:t>略会和交流会。</w:t>
            </w:r>
          </w:p>
          <w:p w14:paraId="25057E3A">
            <w:pPr>
              <w:pStyle w:val="17"/>
              <w:keepNext w:val="0"/>
              <w:keepLines w:val="0"/>
              <w:pageBreakBefore w:val="0"/>
              <w:widowControl/>
              <w:numPr>
                <w:ilvl w:val="0"/>
                <w:numId w:val="1"/>
              </w:numPr>
              <w:kinsoku/>
              <w:wordWrap/>
              <w:overflowPunct/>
              <w:topLinePunct w:val="0"/>
              <w:autoSpaceDE/>
              <w:autoSpaceDN/>
              <w:bidi w:val="0"/>
              <w:adjustRightInd/>
              <w:snapToGrid/>
              <w:spacing w:after="0" w:line="360" w:lineRule="auto"/>
              <w:ind w:left="403" w:leftChars="0" w:firstLine="0" w:firstLineChars="0"/>
              <w:textAlignment w:val="baseline"/>
              <w:rPr>
                <w:rFonts w:hint="default" w:ascii="Times New Roman" w:hAnsi="Times New Roman" w:cs="Times New Roman"/>
                <w:b/>
                <w:bCs/>
                <w:sz w:val="24"/>
                <w:szCs w:val="24"/>
                <w:highlight w:val="none"/>
                <w:lang w:val="en-US" w:eastAsia="zh-CN"/>
              </w:rPr>
            </w:pPr>
            <w:r>
              <w:rPr>
                <w:rFonts w:hint="eastAsia" w:ascii="Times New Roman" w:hAnsi="Times New Roman" w:cs="Times New Roman"/>
                <w:b/>
                <w:bCs/>
                <w:sz w:val="24"/>
                <w:szCs w:val="24"/>
                <w:highlight w:val="none"/>
                <w:lang w:val="en-US" w:eastAsia="zh-CN"/>
              </w:rPr>
              <w:t>现场调研</w:t>
            </w:r>
          </w:p>
          <w:p w14:paraId="0CE139B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cs="Times New Roman"/>
                <w:b w:val="0"/>
                <w:bCs w:val="0"/>
                <w:kern w:val="0"/>
                <w:sz w:val="24"/>
                <w:szCs w:val="24"/>
                <w:highlight w:val="yellow"/>
                <w:lang w:val="en-US" w:eastAsia="zh-CN" w:bidi="ar-SA"/>
              </w:rPr>
            </w:pPr>
            <w:r>
              <w:rPr>
                <w:rFonts w:hint="eastAsia" w:cs="Times New Roman"/>
                <w:b w:val="0"/>
                <w:bCs w:val="0"/>
                <w:kern w:val="0"/>
                <w:sz w:val="24"/>
                <w:szCs w:val="24"/>
                <w:highlight w:val="none"/>
                <w:lang w:val="en-US" w:eastAsia="zh-CN" w:bidi="ar-SA"/>
              </w:rPr>
              <w:t>信达资管、</w:t>
            </w:r>
            <w:r>
              <w:rPr>
                <w:rFonts w:hint="eastAsia" w:ascii="Times New Roman" w:hAnsi="Times New Roman" w:eastAsia="宋体" w:cs="Times New Roman"/>
                <w:b w:val="0"/>
                <w:bCs w:val="0"/>
                <w:kern w:val="0"/>
                <w:sz w:val="24"/>
                <w:szCs w:val="24"/>
                <w:highlight w:val="none"/>
                <w:lang w:val="en-US" w:eastAsia="zh-CN" w:bidi="ar-SA"/>
              </w:rPr>
              <w:t>华泰</w:t>
            </w:r>
            <w:r>
              <w:rPr>
                <w:rFonts w:hint="eastAsia" w:cs="Times New Roman"/>
                <w:b w:val="0"/>
                <w:bCs w:val="0"/>
                <w:kern w:val="0"/>
                <w:sz w:val="24"/>
                <w:szCs w:val="24"/>
                <w:highlight w:val="none"/>
                <w:lang w:val="en-US" w:eastAsia="zh-CN" w:bidi="ar-SA"/>
              </w:rPr>
              <w:t>证券、天风证券、汇丰晋信、中金公司、广发基金、中欧基金、富国基金、博裕资本、华泰资产、鑫元基金、东吴自营、景顺长城、中庚基金、国寿安保、华创证券、长江证券、招商银行、朱雀基金、远信投资、旌安投资、3W Fund、青骊投资、和谐汇一、宁泉资产、Jefferies、厦门国贸、First Beijing、银华基金、申万菱信等机构在上海进行现场调研交流。</w:t>
            </w:r>
          </w:p>
          <w:p w14:paraId="4AEB672C">
            <w:pPr>
              <w:pStyle w:val="17"/>
              <w:keepNext w:val="0"/>
              <w:keepLines w:val="0"/>
              <w:pageBreakBefore w:val="0"/>
              <w:widowControl/>
              <w:numPr>
                <w:ilvl w:val="0"/>
                <w:numId w:val="1"/>
              </w:numPr>
              <w:kinsoku/>
              <w:wordWrap/>
              <w:overflowPunct/>
              <w:topLinePunct w:val="0"/>
              <w:autoSpaceDE/>
              <w:autoSpaceDN/>
              <w:bidi w:val="0"/>
              <w:adjustRightInd/>
              <w:snapToGrid/>
              <w:spacing w:after="0" w:line="360" w:lineRule="auto"/>
              <w:ind w:left="403" w:leftChars="0" w:firstLine="0" w:firstLineChars="0"/>
              <w:textAlignment w:val="baseline"/>
              <w:rPr>
                <w:rFonts w:hint="default" w:ascii="Times New Roman" w:hAnsi="Times New Roman" w:cs="Times New Roman"/>
                <w:b/>
                <w:bCs/>
                <w:sz w:val="24"/>
                <w:szCs w:val="24"/>
                <w:highlight w:val="none"/>
                <w:lang w:val="en-US" w:eastAsia="zh-CN"/>
              </w:rPr>
            </w:pPr>
            <w:r>
              <w:rPr>
                <w:rFonts w:hint="default" w:ascii="Times New Roman" w:hAnsi="Times New Roman" w:cs="Times New Roman"/>
                <w:b/>
                <w:bCs/>
                <w:sz w:val="24"/>
                <w:szCs w:val="24"/>
                <w:highlight w:val="none"/>
                <w:lang w:val="en-US" w:eastAsia="zh-CN"/>
              </w:rPr>
              <w:t>业绩说明会</w:t>
            </w:r>
          </w:p>
          <w:p w14:paraId="5C01FCB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b w:val="0"/>
                <w:bCs w:val="0"/>
                <w:kern w:val="0"/>
                <w:sz w:val="24"/>
                <w:szCs w:val="24"/>
                <w:highlight w:val="none"/>
                <w:lang w:val="en-US" w:eastAsia="zh-CN" w:bidi="ar-SA"/>
              </w:rPr>
              <w:t>参加了202</w:t>
            </w:r>
            <w:r>
              <w:rPr>
                <w:rFonts w:hint="eastAsia" w:cs="Times New Roman"/>
                <w:b w:val="0"/>
                <w:bCs w:val="0"/>
                <w:kern w:val="0"/>
                <w:sz w:val="24"/>
                <w:szCs w:val="24"/>
                <w:highlight w:val="none"/>
                <w:lang w:val="en-US" w:eastAsia="zh-CN" w:bidi="ar-SA"/>
              </w:rPr>
              <w:t>6</w:t>
            </w:r>
            <w:r>
              <w:rPr>
                <w:rFonts w:hint="default" w:ascii="Times New Roman" w:hAnsi="Times New Roman" w:eastAsia="宋体" w:cs="Times New Roman"/>
                <w:b w:val="0"/>
                <w:bCs w:val="0"/>
                <w:kern w:val="0"/>
                <w:sz w:val="24"/>
                <w:szCs w:val="24"/>
                <w:highlight w:val="none"/>
                <w:lang w:val="en-US" w:eastAsia="zh-CN" w:bidi="ar-SA"/>
              </w:rPr>
              <w:t>年新疆上市公司投资者网上集体接待日活动</w:t>
            </w:r>
            <w:r>
              <w:rPr>
                <w:rFonts w:hint="eastAsia" w:cs="Times New Roman"/>
                <w:b w:val="0"/>
                <w:bCs w:val="0"/>
                <w:kern w:val="0"/>
                <w:sz w:val="24"/>
                <w:szCs w:val="24"/>
                <w:highlight w:val="none"/>
                <w:lang w:val="en-US" w:eastAsia="zh-CN" w:bidi="ar-SA"/>
              </w:rPr>
              <w:t>，采用网络远程的方式和投资者进行互动交流。</w:t>
            </w:r>
            <w:bookmarkEnd w:id="3"/>
          </w:p>
        </w:tc>
      </w:tr>
      <w:tr w14:paraId="65DEA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856" w:type="dxa"/>
            <w:shd w:val="clear" w:color="auto" w:fill="auto"/>
            <w:vAlign w:val="center"/>
          </w:tcPr>
          <w:p w14:paraId="6272CD83">
            <w:pPr>
              <w:jc w:val="center"/>
              <w:rPr>
                <w:rFonts w:hint="default" w:ascii="Times New Roman" w:hAnsi="Times New Roman" w:cs="Times New Roman"/>
                <w:b/>
                <w:sz w:val="24"/>
                <w:szCs w:val="24"/>
              </w:rPr>
            </w:pPr>
            <w:r>
              <w:rPr>
                <w:rFonts w:hint="default" w:ascii="Times New Roman" w:hAnsi="Times New Roman" w:cs="Times New Roman"/>
                <w:b/>
                <w:sz w:val="24"/>
                <w:szCs w:val="24"/>
              </w:rPr>
              <w:t>时间</w:t>
            </w:r>
          </w:p>
        </w:tc>
        <w:tc>
          <w:tcPr>
            <w:tcW w:w="6666" w:type="dxa"/>
            <w:shd w:val="clear" w:color="auto" w:fill="auto"/>
            <w:vAlign w:val="center"/>
          </w:tcPr>
          <w:p w14:paraId="507FB21A">
            <w:pPr>
              <w:pStyle w:val="17"/>
              <w:ind w:left="0" w:leftChars="0" w:firstLine="240" w:firstLineChars="100"/>
              <w:rPr>
                <w:rFonts w:hint="default" w:ascii="Times New Roman" w:hAnsi="Times New Roman" w:cs="Times New Roman"/>
                <w:sz w:val="24"/>
                <w:szCs w:val="24"/>
                <w:lang w:val="en-US" w:eastAsia="zh-CN"/>
              </w:rPr>
            </w:pPr>
            <w:r>
              <w:rPr>
                <w:rFonts w:hint="default" w:ascii="Times New Roman" w:hAnsi="Times New Roman" w:cs="Times New Roman"/>
                <w:b w:val="0"/>
                <w:bCs w:val="0"/>
                <w:sz w:val="24"/>
                <w:szCs w:val="24"/>
                <w:highlight w:val="none"/>
                <w:lang w:val="en-US" w:eastAsia="zh-CN"/>
              </w:rPr>
              <w:t>2026年</w:t>
            </w:r>
            <w:r>
              <w:rPr>
                <w:rFonts w:hint="eastAsia" w:ascii="Times New Roman" w:hAnsi="Times New Roman" w:cs="Times New Roman"/>
                <w:b w:val="0"/>
                <w:bCs w:val="0"/>
                <w:sz w:val="24"/>
                <w:szCs w:val="24"/>
                <w:highlight w:val="none"/>
                <w:lang w:val="en-US" w:eastAsia="zh-CN"/>
              </w:rPr>
              <w:t>6</w:t>
            </w:r>
            <w:r>
              <w:rPr>
                <w:rFonts w:hint="default" w:ascii="Times New Roman" w:hAnsi="Times New Roman" w:cs="Times New Roman"/>
                <w:b w:val="0"/>
                <w:bCs w:val="0"/>
                <w:sz w:val="24"/>
                <w:szCs w:val="24"/>
                <w:highlight w:val="none"/>
                <w:lang w:val="en-US" w:eastAsia="zh-CN"/>
              </w:rPr>
              <w:t>月</w:t>
            </w:r>
            <w:r>
              <w:rPr>
                <w:rFonts w:hint="eastAsia" w:ascii="Times New Roman" w:hAnsi="Times New Roman" w:cs="Times New Roman"/>
                <w:b w:val="0"/>
                <w:bCs w:val="0"/>
                <w:sz w:val="24"/>
                <w:szCs w:val="24"/>
                <w:highlight w:val="none"/>
                <w:lang w:val="en-US" w:eastAsia="zh-CN"/>
              </w:rPr>
              <w:t>2</w:t>
            </w:r>
            <w:r>
              <w:rPr>
                <w:rFonts w:hint="default" w:ascii="Times New Roman" w:hAnsi="Times New Roman" w:cs="Times New Roman"/>
                <w:b w:val="0"/>
                <w:bCs w:val="0"/>
                <w:sz w:val="24"/>
                <w:szCs w:val="24"/>
                <w:highlight w:val="none"/>
                <w:lang w:val="en-US" w:eastAsia="zh-CN"/>
              </w:rPr>
              <w:t>日</w:t>
            </w:r>
            <w:r>
              <w:rPr>
                <w:rFonts w:hint="eastAsia" w:ascii="Times New Roman" w:hAnsi="Times New Roman" w:cs="Times New Roman"/>
                <w:b w:val="0"/>
                <w:bCs w:val="0"/>
                <w:sz w:val="24"/>
                <w:szCs w:val="24"/>
                <w:highlight w:val="none"/>
                <w:lang w:val="en-US" w:eastAsia="zh-CN"/>
              </w:rPr>
              <w:t>-6月30日</w:t>
            </w:r>
          </w:p>
        </w:tc>
      </w:tr>
      <w:tr w14:paraId="093BF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1856" w:type="dxa"/>
            <w:shd w:val="clear" w:color="auto" w:fill="auto"/>
            <w:vAlign w:val="center"/>
          </w:tcPr>
          <w:p w14:paraId="34D6E2A7">
            <w:pPr>
              <w:jc w:val="center"/>
              <w:rPr>
                <w:rFonts w:hint="default" w:ascii="Times New Roman" w:hAnsi="Times New Roman" w:cs="Times New Roman"/>
                <w:b/>
                <w:sz w:val="24"/>
                <w:szCs w:val="24"/>
              </w:rPr>
            </w:pPr>
            <w:r>
              <w:rPr>
                <w:rFonts w:hint="default" w:ascii="Times New Roman" w:hAnsi="Times New Roman" w:cs="Times New Roman"/>
                <w:b/>
                <w:sz w:val="24"/>
                <w:szCs w:val="24"/>
              </w:rPr>
              <w:t>地点</w:t>
            </w:r>
          </w:p>
        </w:tc>
        <w:tc>
          <w:tcPr>
            <w:tcW w:w="6666" w:type="dxa"/>
            <w:shd w:val="clear" w:color="auto" w:fill="auto"/>
            <w:vAlign w:val="center"/>
          </w:tcPr>
          <w:p w14:paraId="078711B0">
            <w:pPr>
              <w:keepNext w:val="0"/>
              <w:keepLines w:val="0"/>
              <w:widowControl/>
              <w:suppressLineNumbers w:val="0"/>
              <w:ind w:firstLine="240" w:firstLineChars="100"/>
              <w:jc w:val="both"/>
              <w:textAlignment w:val="center"/>
              <w:rPr>
                <w:rFonts w:hint="default" w:ascii="Times New Roman" w:hAnsi="Times New Roman" w:eastAsia="宋体" w:cs="Times New Roman"/>
                <w:bCs/>
                <w:i w:val="0"/>
                <w:iCs/>
                <w:color w:val="000000"/>
                <w:kern w:val="0"/>
                <w:sz w:val="24"/>
                <w:szCs w:val="24"/>
                <w:u w:val="none"/>
                <w:lang w:val="en-US" w:eastAsia="zh-CN" w:bidi="ar-SA"/>
              </w:rPr>
            </w:pPr>
            <w:r>
              <w:rPr>
                <w:rFonts w:hint="default" w:ascii="Times New Roman" w:hAnsi="Times New Roman" w:eastAsia="宋体" w:cs="Times New Roman"/>
                <w:bCs/>
                <w:iCs/>
                <w:color w:val="000000"/>
                <w:kern w:val="0"/>
                <w:sz w:val="24"/>
                <w:szCs w:val="24"/>
                <w:lang w:val="en-US" w:eastAsia="zh-CN" w:bidi="ar-SA"/>
              </w:rPr>
              <w:t>上海</w:t>
            </w:r>
            <w:r>
              <w:rPr>
                <w:rFonts w:hint="eastAsia" w:cs="Times New Roman"/>
                <w:bCs/>
                <w:iCs/>
                <w:color w:val="000000"/>
                <w:kern w:val="0"/>
                <w:sz w:val="24"/>
                <w:szCs w:val="24"/>
                <w:lang w:val="en-US" w:eastAsia="zh-CN" w:bidi="ar-SA"/>
              </w:rPr>
              <w:t>、全景服务</w:t>
            </w:r>
            <w:r>
              <w:rPr>
                <w:rFonts w:hint="default" w:ascii="Times New Roman" w:hAnsi="Times New Roman" w:cs="Times New Roman"/>
                <w:bCs/>
                <w:iCs/>
                <w:color w:val="000000"/>
                <w:kern w:val="0"/>
                <w:sz w:val="24"/>
                <w:szCs w:val="24"/>
                <w:lang w:val="en-US" w:eastAsia="zh-CN" w:bidi="ar-SA"/>
              </w:rPr>
              <w:t>平台</w:t>
            </w:r>
          </w:p>
        </w:tc>
      </w:tr>
      <w:tr w14:paraId="43BFD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trPr>
        <w:tc>
          <w:tcPr>
            <w:tcW w:w="1856" w:type="dxa"/>
            <w:shd w:val="clear" w:color="auto" w:fill="auto"/>
            <w:vAlign w:val="center"/>
          </w:tcPr>
          <w:p w14:paraId="71688278">
            <w:pPr>
              <w:keepNext w:val="0"/>
              <w:keepLines w:val="0"/>
              <w:widowControl/>
              <w:suppressLineNumbers w:val="0"/>
              <w:jc w:val="center"/>
              <w:textAlignment w:val="center"/>
              <w:rPr>
                <w:rFonts w:hint="default" w:ascii="Times New Roman" w:hAnsi="Times New Roman" w:cs="Times New Roman"/>
                <w:sz w:val="24"/>
                <w:szCs w:val="24"/>
                <w:lang w:val="en-US" w:eastAsia="zh-CN"/>
              </w:rPr>
            </w:pPr>
            <w:r>
              <w:rPr>
                <w:rFonts w:hint="default" w:ascii="Times New Roman" w:hAnsi="Times New Roman" w:cs="Times New Roman"/>
                <w:b/>
                <w:sz w:val="24"/>
                <w:szCs w:val="24"/>
                <w:lang w:val="en-US" w:eastAsia="zh-CN"/>
              </w:rPr>
              <w:t>形式</w:t>
            </w:r>
          </w:p>
        </w:tc>
        <w:tc>
          <w:tcPr>
            <w:tcW w:w="6666" w:type="dxa"/>
            <w:shd w:val="clear" w:color="auto" w:fill="auto"/>
            <w:vAlign w:val="center"/>
          </w:tcPr>
          <w:p w14:paraId="404493BE">
            <w:pPr>
              <w:keepNext w:val="0"/>
              <w:keepLines w:val="0"/>
              <w:widowControl/>
              <w:suppressLineNumbers w:val="0"/>
              <w:ind w:firstLine="240" w:firstLineChars="100"/>
              <w:jc w:val="both"/>
              <w:textAlignment w:val="center"/>
              <w:rPr>
                <w:rFonts w:hint="default" w:ascii="Times New Roman" w:hAnsi="Times New Roman" w:cs="Times New Roman"/>
                <w:sz w:val="24"/>
                <w:szCs w:val="24"/>
                <w:lang w:val="en-US" w:eastAsia="zh-CN"/>
              </w:rPr>
            </w:pPr>
            <w:r>
              <w:rPr>
                <w:rFonts w:hint="eastAsia" w:cs="Times New Roman"/>
                <w:sz w:val="24"/>
                <w:szCs w:val="24"/>
                <w:lang w:val="en-US" w:eastAsia="zh-CN"/>
              </w:rPr>
              <w:t>现场调研、</w:t>
            </w:r>
            <w:r>
              <w:rPr>
                <w:rFonts w:hint="default" w:ascii="Times New Roman" w:hAnsi="Times New Roman" w:cs="Times New Roman"/>
                <w:sz w:val="24"/>
                <w:szCs w:val="24"/>
                <w:lang w:val="en-US" w:eastAsia="zh-CN"/>
              </w:rPr>
              <w:t>线下会议</w:t>
            </w:r>
            <w:r>
              <w:rPr>
                <w:rFonts w:hint="eastAsia" w:cs="Times New Roman"/>
                <w:sz w:val="24"/>
                <w:szCs w:val="24"/>
                <w:lang w:val="en-US" w:eastAsia="zh-CN"/>
              </w:rPr>
              <w:t>、线上会议、业绩说明会</w:t>
            </w:r>
          </w:p>
        </w:tc>
      </w:tr>
      <w:tr w14:paraId="3BB71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56" w:type="dxa"/>
            <w:shd w:val="clear" w:color="auto" w:fill="auto"/>
            <w:vAlign w:val="center"/>
          </w:tcPr>
          <w:p w14:paraId="3DE93E67">
            <w:pPr>
              <w:pStyle w:val="9"/>
              <w:shd w:val="clear" w:color="auto" w:fill="FFFFFF"/>
              <w:spacing w:before="150" w:after="150" w:line="435" w:lineRule="atLeast"/>
              <w:ind w:firstLine="205" w:firstLineChars="85"/>
              <w:jc w:val="both"/>
              <w:rPr>
                <w:rFonts w:hint="default" w:ascii="Times New Roman" w:hAnsi="Times New Roman" w:cs="Times New Roman"/>
                <w:bCs/>
                <w:iCs/>
                <w:color w:val="000000"/>
                <w:sz w:val="24"/>
                <w:szCs w:val="24"/>
                <w:lang w:val="en-US" w:eastAsia="zh-CN"/>
              </w:rPr>
            </w:pPr>
            <w:r>
              <w:rPr>
                <w:rFonts w:hint="default" w:ascii="Times New Roman" w:hAnsi="Times New Roman" w:eastAsia="宋体" w:cs="Times New Roman"/>
                <w:b/>
                <w:kern w:val="0"/>
                <w:sz w:val="24"/>
                <w:szCs w:val="24"/>
                <w:lang w:val="en-US" w:eastAsia="zh-CN" w:bidi="ar-SA"/>
              </w:rPr>
              <w:t>活动内容</w:t>
            </w:r>
          </w:p>
        </w:tc>
        <w:tc>
          <w:tcPr>
            <w:tcW w:w="6666" w:type="dxa"/>
            <w:shd w:val="clear" w:color="auto" w:fill="auto"/>
            <w:vAlign w:val="center"/>
          </w:tcPr>
          <w:p w14:paraId="53A3A491">
            <w:pPr>
              <w:pStyle w:val="17"/>
              <w:keepNext w:val="0"/>
              <w:keepLines w:val="0"/>
              <w:pageBreakBefore w:val="0"/>
              <w:widowControl/>
              <w:numPr>
                <w:ilvl w:val="0"/>
                <w:numId w:val="2"/>
              </w:numPr>
              <w:kinsoku/>
              <w:wordWrap/>
              <w:overflowPunct/>
              <w:topLinePunct w:val="0"/>
              <w:autoSpaceDE/>
              <w:autoSpaceDN/>
              <w:bidi w:val="0"/>
              <w:adjustRightInd/>
              <w:snapToGrid/>
              <w:spacing w:before="157" w:beforeLines="50" w:after="0" w:line="360" w:lineRule="auto"/>
              <w:ind w:left="0" w:leftChars="0" w:firstLine="0" w:firstLineChars="0"/>
              <w:textAlignment w:val="baseline"/>
              <w:rPr>
                <w:rFonts w:hint="default" w:ascii="宋体" w:hAnsi="宋体"/>
                <w:b/>
                <w:sz w:val="24"/>
                <w:szCs w:val="24"/>
                <w:lang w:val="en-US" w:eastAsia="zh-CN"/>
              </w:rPr>
            </w:pPr>
            <w:bookmarkStart w:id="4" w:name="OLE_LINK1"/>
            <w:r>
              <w:rPr>
                <w:rFonts w:hint="default" w:ascii="宋体" w:hAnsi="宋体"/>
                <w:b/>
                <w:sz w:val="24"/>
                <w:szCs w:val="24"/>
                <w:lang w:val="en-US" w:eastAsia="zh-CN"/>
              </w:rPr>
              <w:t>公司投资布局全新AIDC配电相关业务</w:t>
            </w:r>
            <w:r>
              <w:rPr>
                <w:rFonts w:hint="eastAsia" w:ascii="宋体" w:hAnsi="宋体"/>
                <w:b/>
                <w:sz w:val="24"/>
                <w:szCs w:val="24"/>
                <w:lang w:val="en-US" w:eastAsia="zh-CN"/>
              </w:rPr>
              <w:t>的考量是什么</w:t>
            </w:r>
            <w:r>
              <w:rPr>
                <w:rFonts w:hint="default" w:ascii="宋体" w:hAnsi="宋体"/>
                <w:b/>
                <w:sz w:val="24"/>
                <w:szCs w:val="24"/>
                <w:lang w:val="en-US" w:eastAsia="zh-CN"/>
              </w:rPr>
              <w:t>？</w:t>
            </w:r>
          </w:p>
          <w:p w14:paraId="6EF98ED0">
            <w:pPr>
              <w:pStyle w:val="17"/>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Chars="0" w:firstLine="480" w:firstLineChars="200"/>
              <w:textAlignment w:val="baseline"/>
              <w:rPr>
                <w:rFonts w:hint="eastAsia" w:ascii="Times New Roman" w:hAnsi="Times New Roman" w:cs="Times New Roman"/>
                <w:b w:val="0"/>
                <w:bCs w:val="0"/>
                <w:color w:val="auto"/>
                <w:kern w:val="0"/>
                <w:sz w:val="24"/>
                <w:szCs w:val="24"/>
                <w:highlight w:val="none"/>
                <w:lang w:val="en-US" w:eastAsia="zh-CN" w:bidi="ar-SA"/>
              </w:rPr>
            </w:pPr>
            <w:r>
              <w:rPr>
                <w:rFonts w:hint="eastAsia" w:ascii="Times New Roman" w:hAnsi="Times New Roman" w:cs="Times New Roman"/>
                <w:b w:val="0"/>
                <w:bCs w:val="0"/>
                <w:color w:val="auto"/>
                <w:kern w:val="0"/>
                <w:sz w:val="24"/>
                <w:szCs w:val="24"/>
                <w:highlight w:val="none"/>
                <w:lang w:val="en-US" w:eastAsia="zh-CN" w:bidi="ar-SA"/>
              </w:rPr>
              <w:t>答：公司目前主营业务集中于高纯多晶硅的研发、生产及销售，受行业周期性波动影响较大，通过向AIDC配电领域延伸，可以有效分散公司经营风险，培育新的利润增长点。本次投资的大全智慧能源系统制造基地项目高度契合国家“双碳”目标、新型电力系统建设及“东数西算”战略，发展空间广阔。</w:t>
            </w:r>
          </w:p>
          <w:p w14:paraId="139BEFC8">
            <w:pPr>
              <w:pStyle w:val="17"/>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Chars="0" w:firstLine="480" w:firstLineChars="200"/>
              <w:textAlignment w:val="baseline"/>
              <w:rPr>
                <w:rFonts w:hint="default" w:ascii="Times New Roman" w:hAnsi="Times New Roman" w:cs="Times New Roman"/>
                <w:b w:val="0"/>
                <w:bCs w:val="0"/>
                <w:color w:val="auto"/>
                <w:kern w:val="0"/>
                <w:sz w:val="24"/>
                <w:szCs w:val="24"/>
                <w:highlight w:val="none"/>
                <w:lang w:val="en-US" w:eastAsia="zh-CN" w:bidi="ar-SA"/>
              </w:rPr>
            </w:pPr>
            <w:r>
              <w:rPr>
                <w:rFonts w:hint="eastAsia" w:ascii="Times New Roman" w:hAnsi="Times New Roman" w:cs="Times New Roman"/>
                <w:b w:val="0"/>
                <w:bCs w:val="0"/>
                <w:color w:val="auto"/>
                <w:kern w:val="0"/>
                <w:sz w:val="24"/>
                <w:szCs w:val="24"/>
                <w:highlight w:val="none"/>
                <w:lang w:val="en-US" w:eastAsia="zh-CN" w:bidi="ar-SA"/>
              </w:rPr>
              <w:t>从技术协同角度看，大全品牌在电气、新能源、电力电子领域拥有超过五十年的技术积淀，持有有效专利近三千件，主导或参与制定九十余项行业标准，其在电力电子、系统集成、智能控制等方面的成熟能力可直接迁移至AIDC智慧能源系统解决方案及相关设备（包括储能系统、固态变压器、固态断路器和固态电池等产品）的研发制造，产品技术指标达到国际先进水平。依托现有制造、供应链及产业资源发展新业务，形成协同业务均衡发展格局，能够平滑光伏行业周期波动，支撑公司长期稳健经营。</w:t>
            </w:r>
          </w:p>
          <w:p w14:paraId="4EE3FCC8">
            <w:pPr>
              <w:pStyle w:val="17"/>
              <w:keepNext w:val="0"/>
              <w:keepLines w:val="0"/>
              <w:pageBreakBefore w:val="0"/>
              <w:widowControl/>
              <w:numPr>
                <w:ilvl w:val="0"/>
                <w:numId w:val="2"/>
              </w:numPr>
              <w:kinsoku/>
              <w:wordWrap/>
              <w:overflowPunct/>
              <w:topLinePunct w:val="0"/>
              <w:autoSpaceDE/>
              <w:autoSpaceDN/>
              <w:bidi w:val="0"/>
              <w:adjustRightInd/>
              <w:snapToGrid/>
              <w:spacing w:after="0" w:line="360" w:lineRule="auto"/>
              <w:ind w:left="0" w:leftChars="0" w:firstLine="0" w:firstLineChars="0"/>
              <w:textAlignment w:val="baseline"/>
              <w:rPr>
                <w:rFonts w:hint="default" w:ascii="Times New Roman" w:hAnsi="Times New Roman" w:cs="Times New Roman"/>
                <w:b w:val="0"/>
                <w:bCs w:val="0"/>
                <w:color w:val="auto"/>
                <w:kern w:val="0"/>
                <w:sz w:val="24"/>
                <w:szCs w:val="24"/>
                <w:highlight w:val="none"/>
                <w:lang w:val="en-US" w:eastAsia="zh-CN" w:bidi="ar-SA"/>
              </w:rPr>
            </w:pPr>
            <w:r>
              <w:rPr>
                <w:rFonts w:hint="default" w:ascii="宋体" w:hAnsi="宋体"/>
                <w:b/>
                <w:sz w:val="24"/>
                <w:szCs w:val="24"/>
              </w:rPr>
              <w:t>公司形成传统光伏硅料+算力配电新业务的双赛道布局，请问</w:t>
            </w:r>
            <w:r>
              <w:rPr>
                <w:rFonts w:hint="eastAsia" w:ascii="宋体" w:hAnsi="宋体"/>
                <w:b/>
                <w:sz w:val="24"/>
                <w:szCs w:val="24"/>
                <w:lang w:val="en-US" w:eastAsia="zh-CN"/>
              </w:rPr>
              <w:t>未来</w:t>
            </w:r>
            <w:r>
              <w:rPr>
                <w:rFonts w:hint="default" w:ascii="宋体" w:hAnsi="宋体"/>
                <w:b/>
                <w:sz w:val="24"/>
                <w:szCs w:val="24"/>
              </w:rPr>
              <w:t>发展战略</w:t>
            </w:r>
            <w:r>
              <w:rPr>
                <w:rFonts w:hint="eastAsia" w:ascii="宋体" w:hAnsi="宋体"/>
                <w:b/>
                <w:sz w:val="24"/>
                <w:szCs w:val="24"/>
                <w:lang w:val="en-US" w:eastAsia="zh-CN"/>
              </w:rPr>
              <w:t>是什么</w:t>
            </w:r>
            <w:r>
              <w:rPr>
                <w:rFonts w:hint="default" w:ascii="宋体" w:hAnsi="宋体"/>
                <w:b/>
                <w:sz w:val="24"/>
                <w:szCs w:val="24"/>
              </w:rPr>
              <w:t>？是深耕光伏主业提质，还是重点倾斜新赛道转型升级？</w:t>
            </w:r>
          </w:p>
          <w:p w14:paraId="09ECAB0E">
            <w:pPr>
              <w:pStyle w:val="17"/>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Chars="0" w:firstLine="480" w:firstLineChars="200"/>
              <w:textAlignment w:val="baseline"/>
              <w:rPr>
                <w:rFonts w:hint="default" w:ascii="Times New Roman" w:hAnsi="Times New Roman" w:cs="Times New Roman"/>
                <w:b w:val="0"/>
                <w:bCs w:val="0"/>
                <w:color w:val="auto"/>
                <w:kern w:val="0"/>
                <w:sz w:val="24"/>
                <w:szCs w:val="24"/>
                <w:highlight w:val="none"/>
                <w:lang w:val="en-US" w:eastAsia="zh-CN" w:bidi="ar-SA"/>
              </w:rPr>
            </w:pPr>
            <w:r>
              <w:rPr>
                <w:rFonts w:hint="eastAsia" w:ascii="Times New Roman" w:hAnsi="Times New Roman" w:cs="Times New Roman"/>
                <w:b w:val="0"/>
                <w:bCs w:val="0"/>
                <w:color w:val="auto"/>
                <w:kern w:val="0"/>
                <w:sz w:val="24"/>
                <w:szCs w:val="24"/>
                <w:highlight w:val="none"/>
                <w:lang w:val="en-US" w:eastAsia="zh-CN" w:bidi="ar-SA"/>
              </w:rPr>
              <w:t>答：大全智慧能源系统制造基地项目为公司业务板块的延伸拓展，此项目产品不仅能够推动公司在新能源产业链的多元化布局，巩固行业领先地位，提升综合竞争力，还将助力完善人工智能与新能源融合的产业生态，促进区域产业结构向高端化升级。公司将持续深耕高纯多晶硅主业，维持主业稳定经营，同步推进新业务的有序布局，实现两者协同发展。</w:t>
            </w:r>
          </w:p>
          <w:p w14:paraId="70C1AE88">
            <w:pPr>
              <w:pStyle w:val="17"/>
              <w:keepNext w:val="0"/>
              <w:keepLines w:val="0"/>
              <w:pageBreakBefore w:val="0"/>
              <w:widowControl/>
              <w:numPr>
                <w:ilvl w:val="0"/>
                <w:numId w:val="2"/>
              </w:numPr>
              <w:kinsoku/>
              <w:wordWrap/>
              <w:overflowPunct/>
              <w:topLinePunct w:val="0"/>
              <w:autoSpaceDE/>
              <w:autoSpaceDN/>
              <w:bidi w:val="0"/>
              <w:adjustRightInd/>
              <w:snapToGrid/>
              <w:spacing w:after="0" w:line="360" w:lineRule="auto"/>
              <w:ind w:left="0" w:leftChars="0" w:firstLine="0" w:firstLineChars="0"/>
              <w:textAlignment w:val="baseline"/>
              <w:rPr>
                <w:rFonts w:hint="default" w:ascii="宋体" w:hAnsi="宋体"/>
                <w:b/>
                <w:sz w:val="24"/>
                <w:szCs w:val="24"/>
                <w:lang w:val="en-US" w:eastAsia="zh-CN"/>
              </w:rPr>
            </w:pPr>
            <w:r>
              <w:rPr>
                <w:rFonts w:hint="default" w:ascii="宋体" w:hAnsi="宋体"/>
                <w:b/>
                <w:sz w:val="24"/>
                <w:szCs w:val="24"/>
                <w:lang w:val="en-US" w:eastAsia="zh-CN"/>
              </w:rPr>
              <w:t>公司布局算力配电、固态变压器新赛道，切入AIDC新能源配套领域，请问新项目落地进度、技术储备与产能规划？何时形成有效业绩增量？</w:t>
            </w:r>
          </w:p>
          <w:p w14:paraId="2C7433C6">
            <w:pPr>
              <w:pStyle w:val="17"/>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Chars="0" w:firstLine="480" w:firstLineChars="200"/>
              <w:textAlignment w:val="baseline"/>
              <w:rPr>
                <w:rFonts w:hint="default" w:ascii="Times New Roman" w:hAnsi="Times New Roman" w:cs="Times New Roman"/>
                <w:b w:val="0"/>
                <w:bCs w:val="0"/>
                <w:color w:val="auto"/>
                <w:kern w:val="0"/>
                <w:sz w:val="24"/>
                <w:szCs w:val="24"/>
                <w:highlight w:val="none"/>
                <w:lang w:val="en-US" w:eastAsia="zh-CN" w:bidi="ar-SA"/>
              </w:rPr>
            </w:pPr>
            <w:r>
              <w:rPr>
                <w:rFonts w:hint="eastAsia" w:ascii="Times New Roman" w:hAnsi="Times New Roman" w:cs="Times New Roman"/>
                <w:b w:val="0"/>
                <w:bCs w:val="0"/>
                <w:color w:val="auto"/>
                <w:kern w:val="0"/>
                <w:sz w:val="24"/>
                <w:szCs w:val="24"/>
                <w:highlight w:val="none"/>
                <w:lang w:val="en-US" w:eastAsia="zh-CN" w:bidi="ar-SA"/>
              </w:rPr>
              <w:t>答：</w:t>
            </w:r>
            <w:r>
              <w:rPr>
                <w:rFonts w:hint="default" w:ascii="Times New Roman" w:hAnsi="Times New Roman" w:cs="Times New Roman"/>
                <w:b w:val="0"/>
                <w:bCs w:val="0"/>
                <w:color w:val="auto"/>
                <w:kern w:val="0"/>
                <w:sz w:val="24"/>
                <w:szCs w:val="24"/>
                <w:highlight w:val="none"/>
                <w:lang w:val="en-US" w:eastAsia="zh-CN" w:bidi="ar-SA"/>
              </w:rPr>
              <w:t>目前新业务相关项目整体处于前期筹备阶段，项目前置审批工作正在有序进行，如达到信息披露标准，公司将严格按照监管要求，及时履行信息披露义务。新项目未来盈利业绩情况会受宏观经济、行业发展、市场变化、项目进展等多方面不确定性因素影响，因此现阶段公司无法对项目盈利前景做确定性承诺或量化预判。</w:t>
            </w:r>
          </w:p>
          <w:p w14:paraId="210A2EEF">
            <w:pPr>
              <w:pStyle w:val="17"/>
              <w:keepNext w:val="0"/>
              <w:keepLines w:val="0"/>
              <w:pageBreakBefore w:val="0"/>
              <w:widowControl/>
              <w:numPr>
                <w:ilvl w:val="0"/>
                <w:numId w:val="2"/>
              </w:numPr>
              <w:kinsoku/>
              <w:wordWrap/>
              <w:overflowPunct/>
              <w:topLinePunct w:val="0"/>
              <w:autoSpaceDE/>
              <w:autoSpaceDN/>
              <w:bidi w:val="0"/>
              <w:adjustRightInd/>
              <w:snapToGrid/>
              <w:spacing w:after="0" w:line="360" w:lineRule="auto"/>
              <w:ind w:left="0" w:leftChars="0" w:firstLine="0" w:firstLineChars="0"/>
              <w:textAlignment w:val="baseline"/>
              <w:rPr>
                <w:rFonts w:hint="default" w:ascii="宋体" w:hAnsi="宋体"/>
                <w:b/>
                <w:sz w:val="24"/>
                <w:szCs w:val="24"/>
                <w:lang w:val="en-US" w:eastAsia="zh-CN"/>
              </w:rPr>
            </w:pPr>
            <w:r>
              <w:rPr>
                <w:rFonts w:hint="default" w:ascii="宋体" w:hAnsi="宋体"/>
                <w:b/>
                <w:sz w:val="24"/>
                <w:szCs w:val="24"/>
                <w:lang w:val="en-US" w:eastAsia="zh-CN"/>
              </w:rPr>
              <w:t>本次投资项目的资金来源为哪类资金？该投资会对公司财务状况产生哪些影响？</w:t>
            </w:r>
          </w:p>
          <w:p w14:paraId="48FE2967">
            <w:pPr>
              <w:pStyle w:val="17"/>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Chars="0" w:firstLine="480" w:firstLineChars="200"/>
              <w:textAlignment w:val="baseline"/>
              <w:rPr>
                <w:rFonts w:hint="eastAsia" w:ascii="Times New Roman" w:hAnsi="Times New Roman" w:cs="Times New Roman"/>
                <w:b w:val="0"/>
                <w:bCs w:val="0"/>
                <w:color w:val="auto"/>
                <w:kern w:val="0"/>
                <w:sz w:val="24"/>
                <w:szCs w:val="24"/>
                <w:highlight w:val="none"/>
                <w:lang w:val="en-US" w:eastAsia="zh-CN" w:bidi="ar-SA"/>
              </w:rPr>
            </w:pPr>
            <w:r>
              <w:rPr>
                <w:rFonts w:hint="eastAsia" w:ascii="Times New Roman" w:hAnsi="Times New Roman" w:cs="Times New Roman"/>
                <w:b w:val="0"/>
                <w:bCs w:val="0"/>
                <w:color w:val="auto"/>
                <w:kern w:val="0"/>
                <w:sz w:val="24"/>
                <w:szCs w:val="24"/>
                <w:highlight w:val="none"/>
                <w:lang w:val="en-US" w:eastAsia="zh-CN" w:bidi="ar-SA"/>
              </w:rPr>
              <w:t>答：本项目出资方式为现金出资，资金来源为公司自有或自筹资金，不涉及募集资金。本项目总投资额为60亿元，项目分两期建设，一期项目投资总额约21亿元，二期项目将待项目满足相关产业政策条件及投资条件后择机推进。</w:t>
            </w:r>
          </w:p>
          <w:p w14:paraId="40CC422A">
            <w:pPr>
              <w:pStyle w:val="17"/>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Chars="0" w:firstLine="480" w:firstLineChars="200"/>
              <w:textAlignment w:val="baseline"/>
              <w:rPr>
                <w:rFonts w:hint="default" w:ascii="宋体" w:hAnsi="宋体"/>
                <w:b/>
                <w:sz w:val="24"/>
                <w:szCs w:val="24"/>
                <w:lang w:val="en-US" w:eastAsia="zh-CN"/>
              </w:rPr>
            </w:pPr>
            <w:r>
              <w:rPr>
                <w:rFonts w:hint="eastAsia" w:ascii="Times New Roman" w:hAnsi="Times New Roman" w:cs="Times New Roman"/>
                <w:b w:val="0"/>
                <w:bCs w:val="0"/>
                <w:color w:val="auto"/>
                <w:kern w:val="0"/>
                <w:sz w:val="24"/>
                <w:szCs w:val="24"/>
                <w:highlight w:val="none"/>
                <w:lang w:val="en-US" w:eastAsia="zh-CN" w:bidi="ar-SA"/>
              </w:rPr>
              <w:t>截至2026年第一季度末，公司资产负债率仅7.4%，账面现金储备为111.7亿元，资产结构稳健、流动性储备充足。公司新项目投资节奏把控审慎平稳，且本项目目前仍处于计划实施前期阶段，短期内不会对公司现有财务状况和经营成果产生重大影响。</w:t>
            </w:r>
          </w:p>
          <w:p w14:paraId="44002152">
            <w:pPr>
              <w:pStyle w:val="17"/>
              <w:keepNext w:val="0"/>
              <w:keepLines w:val="0"/>
              <w:pageBreakBefore w:val="0"/>
              <w:widowControl/>
              <w:numPr>
                <w:ilvl w:val="0"/>
                <w:numId w:val="2"/>
              </w:numPr>
              <w:kinsoku/>
              <w:wordWrap/>
              <w:overflowPunct/>
              <w:topLinePunct w:val="0"/>
              <w:autoSpaceDE/>
              <w:autoSpaceDN/>
              <w:bidi w:val="0"/>
              <w:adjustRightInd/>
              <w:snapToGrid/>
              <w:spacing w:after="0" w:line="360" w:lineRule="auto"/>
              <w:ind w:left="0" w:leftChars="0" w:firstLine="0" w:firstLineChars="0"/>
              <w:textAlignment w:val="baseline"/>
              <w:rPr>
                <w:rFonts w:hint="default" w:ascii="宋体" w:hAnsi="宋体"/>
                <w:b/>
                <w:sz w:val="24"/>
                <w:szCs w:val="24"/>
                <w:lang w:val="en-US" w:eastAsia="zh-CN"/>
              </w:rPr>
            </w:pPr>
            <w:r>
              <w:rPr>
                <w:rFonts w:hint="eastAsia" w:ascii="宋体" w:hAnsi="宋体"/>
                <w:b/>
                <w:sz w:val="24"/>
                <w:szCs w:val="24"/>
                <w:lang w:val="en-US" w:eastAsia="zh-CN"/>
              </w:rPr>
              <w:t>新业务将如何纳入公司现有的管理体系？公司在人才储备上有哪些准备？</w:t>
            </w:r>
          </w:p>
          <w:p w14:paraId="706C574C">
            <w:pPr>
              <w:pStyle w:val="17"/>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Chars="0" w:firstLine="480" w:firstLineChars="200"/>
              <w:textAlignment w:val="baseline"/>
              <w:rPr>
                <w:rFonts w:hint="default" w:ascii="Times New Roman" w:hAnsi="Times New Roman" w:cs="Times New Roman"/>
                <w:b w:val="0"/>
                <w:bCs w:val="0"/>
                <w:color w:val="auto"/>
                <w:kern w:val="0"/>
                <w:sz w:val="24"/>
                <w:szCs w:val="24"/>
                <w:highlight w:val="none"/>
                <w:lang w:val="en-US" w:eastAsia="zh-CN" w:bidi="ar-SA"/>
              </w:rPr>
            </w:pPr>
            <w:r>
              <w:rPr>
                <w:rFonts w:hint="eastAsia" w:ascii="Times New Roman" w:hAnsi="Times New Roman" w:cs="Times New Roman"/>
                <w:b w:val="0"/>
                <w:bCs w:val="0"/>
                <w:color w:val="auto"/>
                <w:kern w:val="0"/>
                <w:sz w:val="24"/>
                <w:szCs w:val="24"/>
                <w:highlight w:val="none"/>
                <w:lang w:val="en-US" w:eastAsia="zh-CN" w:bidi="ar-SA"/>
              </w:rPr>
              <w:t>答：新业务将被纳入上市公司现有管理体系统一管控。公司将委派董事、总经理，直接负责项目建设、生产、销售及日常运营管理工作，加快项目加快落地并实现稳定投产。大全品牌在电气、电力电子领域拥有数十年的技术深耕积淀，持有多项有效专利，长期积累的研发、销售、管理及专业人才等资源优势可迁移应用于本次智慧能源新业务的研发与制造环节，为项目全流程推进提供坚实保障。</w:t>
            </w:r>
          </w:p>
          <w:p w14:paraId="3F2C0417">
            <w:pPr>
              <w:pStyle w:val="17"/>
              <w:keepNext w:val="0"/>
              <w:keepLines w:val="0"/>
              <w:pageBreakBefore w:val="0"/>
              <w:widowControl/>
              <w:numPr>
                <w:ilvl w:val="0"/>
                <w:numId w:val="2"/>
              </w:numPr>
              <w:kinsoku/>
              <w:wordWrap/>
              <w:overflowPunct/>
              <w:topLinePunct w:val="0"/>
              <w:autoSpaceDE/>
              <w:autoSpaceDN/>
              <w:bidi w:val="0"/>
              <w:adjustRightInd/>
              <w:snapToGrid/>
              <w:spacing w:after="0" w:line="360" w:lineRule="auto"/>
              <w:ind w:left="0" w:leftChars="0" w:firstLine="0" w:firstLineChars="0"/>
              <w:textAlignment w:val="baseline"/>
              <w:rPr>
                <w:rFonts w:hint="default" w:ascii="宋体" w:hAnsi="宋体"/>
                <w:b/>
                <w:sz w:val="24"/>
                <w:szCs w:val="24"/>
                <w:lang w:val="en-US" w:eastAsia="zh-CN"/>
              </w:rPr>
            </w:pPr>
            <w:r>
              <w:rPr>
                <w:rFonts w:hint="default" w:ascii="宋体" w:hAnsi="宋体"/>
                <w:b/>
                <w:sz w:val="24"/>
                <w:szCs w:val="24"/>
                <w:lang w:val="en-US" w:eastAsia="zh-CN"/>
              </w:rPr>
              <w:t>公司通过主动大幅减产、严控出货节奏稳住经营底盘，有效缩减亏损幅度，请问阶段性控产策略的利弊？后续如何平衡产销规模与盈利质量的关系？</w:t>
            </w:r>
          </w:p>
          <w:p w14:paraId="5B75FEF2">
            <w:pPr>
              <w:pStyle w:val="17"/>
              <w:keepNext w:val="0"/>
              <w:keepLines w:val="0"/>
              <w:pageBreakBefore w:val="0"/>
              <w:widowControl/>
              <w:numPr>
                <w:ilvl w:val="0"/>
                <w:numId w:val="0"/>
              </w:numPr>
              <w:kinsoku/>
              <w:wordWrap/>
              <w:overflowPunct/>
              <w:topLinePunct w:val="0"/>
              <w:autoSpaceDE/>
              <w:autoSpaceDN/>
              <w:bidi w:val="0"/>
              <w:adjustRightInd w:val="0"/>
              <w:snapToGrid w:val="0"/>
              <w:spacing w:after="0" w:line="440" w:lineRule="exact"/>
              <w:ind w:leftChars="0" w:firstLine="480" w:firstLineChars="200"/>
              <w:textAlignment w:val="baseline"/>
              <w:rPr>
                <w:rFonts w:hint="default" w:ascii="Times New Roman" w:hAnsi="Times New Roman" w:cs="Times New Roman"/>
                <w:b w:val="0"/>
                <w:bCs w:val="0"/>
                <w:color w:val="auto"/>
                <w:kern w:val="0"/>
                <w:sz w:val="24"/>
                <w:szCs w:val="24"/>
                <w:highlight w:val="none"/>
                <w:lang w:val="en-US" w:eastAsia="zh-CN" w:bidi="ar-SA"/>
              </w:rPr>
            </w:pPr>
            <w:r>
              <w:rPr>
                <w:rFonts w:hint="eastAsia" w:ascii="Times New Roman" w:hAnsi="Times New Roman" w:cs="Times New Roman"/>
                <w:b w:val="0"/>
                <w:bCs w:val="0"/>
                <w:color w:val="auto"/>
                <w:kern w:val="0"/>
                <w:sz w:val="24"/>
                <w:szCs w:val="24"/>
                <w:highlight w:val="none"/>
                <w:lang w:val="en-US" w:eastAsia="zh-CN" w:bidi="ar-SA"/>
              </w:rPr>
              <w:t>答：</w:t>
            </w:r>
            <w:r>
              <w:rPr>
                <w:rFonts w:hint="default" w:ascii="宋体" w:hAnsi="宋体"/>
                <w:sz w:val="24"/>
                <w:szCs w:val="24"/>
              </w:rPr>
              <w:t>阶段性调节产量、销量是公司结合行业周期、市场价格走势做出的经营性调整，能够稳固公司经营基本面，保障现金流安全。公司会继续以稳经营、保现金、控风险为核心，进一步平衡产销与盈利质量，提升经营灵活性与可持续发展能力，筑牢企业长期发展根基。</w:t>
            </w:r>
          </w:p>
          <w:p w14:paraId="2F709EC1">
            <w:pPr>
              <w:pStyle w:val="17"/>
              <w:keepNext w:val="0"/>
              <w:keepLines w:val="0"/>
              <w:pageBreakBefore w:val="0"/>
              <w:widowControl/>
              <w:numPr>
                <w:ilvl w:val="0"/>
                <w:numId w:val="2"/>
              </w:numPr>
              <w:kinsoku/>
              <w:wordWrap/>
              <w:overflowPunct/>
              <w:topLinePunct w:val="0"/>
              <w:autoSpaceDE/>
              <w:autoSpaceDN/>
              <w:bidi w:val="0"/>
              <w:adjustRightInd w:val="0"/>
              <w:snapToGrid w:val="0"/>
              <w:spacing w:after="0" w:line="440" w:lineRule="exact"/>
              <w:ind w:left="0" w:leftChars="0" w:firstLine="0" w:firstLineChars="0"/>
              <w:textAlignment w:val="baseline"/>
              <w:rPr>
                <w:rFonts w:hint="default" w:ascii="Times New Roman" w:hAnsi="Times New Roman" w:cs="Times New Roman"/>
                <w:b/>
                <w:bCs/>
                <w:color w:val="auto"/>
                <w:kern w:val="0"/>
                <w:sz w:val="24"/>
                <w:szCs w:val="24"/>
                <w:highlight w:val="none"/>
                <w:lang w:val="en-US" w:eastAsia="zh-CN" w:bidi="ar-SA"/>
              </w:rPr>
            </w:pPr>
            <w:r>
              <w:rPr>
                <w:rFonts w:hint="default" w:ascii="Times New Roman" w:hAnsi="Times New Roman" w:cs="Times New Roman"/>
                <w:b/>
                <w:bCs/>
                <w:color w:val="auto"/>
                <w:kern w:val="0"/>
                <w:sz w:val="24"/>
                <w:szCs w:val="24"/>
                <w:highlight w:val="none"/>
                <w:lang w:val="en-US" w:eastAsia="zh-CN" w:bidi="ar-SA"/>
              </w:rPr>
              <w:t>公司高纯硅料品质行业领先，适配主流光伏客户需求，请问后续如何稳固核心客户、保障存量订单基本盘？</w:t>
            </w:r>
          </w:p>
          <w:p w14:paraId="1C383260">
            <w:pPr>
              <w:pStyle w:val="23"/>
              <w:keepNext w:val="0"/>
              <w:keepLines w:val="0"/>
              <w:pageBreakBefore w:val="0"/>
              <w:widowControl/>
              <w:kinsoku/>
              <w:wordWrap/>
              <w:overflowPunct/>
              <w:topLinePunct w:val="0"/>
              <w:autoSpaceDE/>
              <w:autoSpaceDN/>
              <w:bidi w:val="0"/>
              <w:adjustRightInd w:val="0"/>
              <w:snapToGrid w:val="0"/>
              <w:spacing w:line="440" w:lineRule="exact"/>
              <w:ind w:left="0" w:leftChars="0" w:firstLine="480"/>
              <w:textAlignment w:val="auto"/>
              <w:rPr>
                <w:rFonts w:hint="default" w:ascii="Times New Roman" w:hAnsi="Times New Roman" w:eastAsia="宋体" w:cs="Times New Roman"/>
                <w:b w:val="0"/>
                <w:bCs w:val="0"/>
                <w:color w:val="auto"/>
                <w:kern w:val="0"/>
                <w:sz w:val="24"/>
                <w:szCs w:val="24"/>
                <w:highlight w:val="none"/>
                <w:lang w:val="en-US" w:eastAsia="zh-CN" w:bidi="ar-SA"/>
              </w:rPr>
            </w:pPr>
            <w:r>
              <w:rPr>
                <w:rFonts w:hint="eastAsia" w:ascii="Times New Roman" w:hAnsi="Times New Roman" w:cs="Times New Roman"/>
                <w:b w:val="0"/>
                <w:bCs w:val="0"/>
                <w:color w:val="auto"/>
                <w:kern w:val="0"/>
                <w:sz w:val="24"/>
                <w:szCs w:val="24"/>
                <w:highlight w:val="none"/>
                <w:lang w:val="en-US" w:eastAsia="zh-CN" w:bidi="ar-SA"/>
              </w:rPr>
              <w:t>答：</w:t>
            </w:r>
            <w:r>
              <w:rPr>
                <w:rFonts w:hint="default" w:ascii="Times New Roman" w:hAnsi="Times New Roman" w:eastAsia="宋体" w:cs="Times New Roman"/>
                <w:b w:val="0"/>
                <w:bCs w:val="0"/>
                <w:color w:val="auto"/>
                <w:kern w:val="0"/>
                <w:sz w:val="24"/>
                <w:szCs w:val="24"/>
                <w:highlight w:val="none"/>
                <w:lang w:val="en-US" w:eastAsia="zh-CN" w:bidi="ar-SA"/>
              </w:rPr>
              <w:t>公司采用</w:t>
            </w:r>
            <w:r>
              <w:rPr>
                <w:rFonts w:hint="eastAsia" w:ascii="Times New Roman" w:hAnsi="Times New Roman" w:cs="Times New Roman"/>
                <w:b w:val="0"/>
                <w:bCs w:val="0"/>
                <w:color w:val="auto"/>
                <w:kern w:val="0"/>
                <w:sz w:val="24"/>
                <w:szCs w:val="24"/>
                <w:highlight w:val="none"/>
                <w:lang w:val="en-US" w:eastAsia="zh-CN" w:bidi="ar-SA"/>
              </w:rPr>
              <w:t>“</w:t>
            </w:r>
            <w:r>
              <w:rPr>
                <w:rFonts w:hint="default" w:ascii="Times New Roman" w:hAnsi="Times New Roman" w:eastAsia="宋体" w:cs="Times New Roman"/>
                <w:b w:val="0"/>
                <w:bCs w:val="0"/>
                <w:color w:val="auto"/>
                <w:kern w:val="0"/>
                <w:sz w:val="24"/>
                <w:szCs w:val="24"/>
                <w:highlight w:val="none"/>
                <w:lang w:val="en-US" w:eastAsia="zh-CN" w:bidi="ar-SA"/>
              </w:rPr>
              <w:t>锁量不锁价</w:t>
            </w:r>
            <w:r>
              <w:rPr>
                <w:rFonts w:hint="eastAsia" w:ascii="Times New Roman" w:hAnsi="Times New Roman" w:cs="Times New Roman"/>
                <w:b w:val="0"/>
                <w:bCs w:val="0"/>
                <w:color w:val="auto"/>
                <w:kern w:val="0"/>
                <w:sz w:val="24"/>
                <w:szCs w:val="24"/>
                <w:highlight w:val="none"/>
                <w:lang w:val="en-US" w:eastAsia="zh-CN" w:bidi="ar-SA"/>
              </w:rPr>
              <w:t>”</w:t>
            </w:r>
            <w:r>
              <w:rPr>
                <w:rFonts w:hint="default" w:ascii="Times New Roman" w:hAnsi="Times New Roman" w:eastAsia="宋体" w:cs="Times New Roman"/>
                <w:b w:val="0"/>
                <w:bCs w:val="0"/>
                <w:color w:val="auto"/>
                <w:kern w:val="0"/>
                <w:sz w:val="24"/>
                <w:szCs w:val="24"/>
                <w:highlight w:val="none"/>
                <w:lang w:val="en-US" w:eastAsia="zh-CN" w:bidi="ar-SA"/>
              </w:rPr>
              <w:t>的长单合作模式，巩固与核心客户的长期战略合作关系，确保客户结构稳定、合作基础坚实。</w:t>
            </w:r>
          </w:p>
          <w:p w14:paraId="36B007E5">
            <w:pPr>
              <w:pStyle w:val="17"/>
              <w:keepNext w:val="0"/>
              <w:keepLines w:val="0"/>
              <w:pageBreakBefore w:val="0"/>
              <w:widowControl/>
              <w:numPr>
                <w:ilvl w:val="0"/>
                <w:numId w:val="2"/>
              </w:numPr>
              <w:kinsoku/>
              <w:wordWrap/>
              <w:overflowPunct/>
              <w:topLinePunct w:val="0"/>
              <w:autoSpaceDE/>
              <w:autoSpaceDN/>
              <w:bidi w:val="0"/>
              <w:adjustRightInd w:val="0"/>
              <w:snapToGrid w:val="0"/>
              <w:spacing w:after="0" w:line="440" w:lineRule="exact"/>
              <w:ind w:left="0" w:leftChars="0" w:firstLine="0" w:firstLineChars="0"/>
              <w:textAlignment w:val="baseline"/>
              <w:rPr>
                <w:rFonts w:hint="eastAsia" w:ascii="Times New Roman" w:hAnsi="Times New Roman" w:cs="Times New Roman"/>
                <w:b/>
                <w:bCs/>
                <w:color w:val="auto"/>
                <w:kern w:val="0"/>
                <w:sz w:val="24"/>
                <w:szCs w:val="24"/>
                <w:highlight w:val="none"/>
                <w:lang w:val="en-US" w:eastAsia="zh-CN" w:bidi="ar-SA"/>
              </w:rPr>
            </w:pPr>
            <w:r>
              <w:rPr>
                <w:rFonts w:hint="eastAsia" w:ascii="Times New Roman" w:hAnsi="Times New Roman" w:cs="Times New Roman"/>
                <w:b/>
                <w:bCs/>
                <w:color w:val="auto"/>
                <w:kern w:val="0"/>
                <w:sz w:val="24"/>
                <w:szCs w:val="24"/>
                <w:highlight w:val="none"/>
                <w:lang w:val="en-US" w:eastAsia="zh-CN" w:bidi="ar-SA"/>
              </w:rPr>
              <w:t>公司拥有的高纯多晶硅合规产能处于行业第一梯队，请问当前常态化产能利用率、实际产销规模、库存储备及下游长单锁价情况？</w:t>
            </w:r>
          </w:p>
          <w:p w14:paraId="6DADF641">
            <w:pPr>
              <w:pStyle w:val="23"/>
              <w:keepNext w:val="0"/>
              <w:keepLines w:val="0"/>
              <w:pageBreakBefore w:val="0"/>
              <w:widowControl/>
              <w:kinsoku/>
              <w:wordWrap/>
              <w:overflowPunct/>
              <w:topLinePunct w:val="0"/>
              <w:autoSpaceDE/>
              <w:autoSpaceDN/>
              <w:bidi w:val="0"/>
              <w:adjustRightInd w:val="0"/>
              <w:snapToGrid w:val="0"/>
              <w:spacing w:line="440" w:lineRule="exact"/>
              <w:ind w:left="0" w:leftChars="0" w:firstLine="480"/>
              <w:textAlignment w:val="auto"/>
              <w:rPr>
                <w:rFonts w:hint="eastAsia" w:ascii="Times New Roman" w:hAnsi="Times New Roman" w:cs="Times New Roman"/>
                <w:b w:val="0"/>
                <w:bCs w:val="0"/>
                <w:color w:val="auto"/>
                <w:kern w:val="0"/>
                <w:sz w:val="24"/>
                <w:szCs w:val="24"/>
                <w:highlight w:val="none"/>
                <w:lang w:val="en-US" w:eastAsia="zh-CN" w:bidi="ar-SA"/>
              </w:rPr>
            </w:pPr>
            <w:r>
              <w:rPr>
                <w:rFonts w:hint="eastAsia" w:ascii="Times New Roman" w:hAnsi="Times New Roman" w:cs="Times New Roman"/>
                <w:b w:val="0"/>
                <w:bCs w:val="0"/>
                <w:color w:val="auto"/>
                <w:kern w:val="0"/>
                <w:sz w:val="24"/>
                <w:szCs w:val="24"/>
                <w:highlight w:val="none"/>
                <w:lang w:val="en-US" w:eastAsia="zh-CN" w:bidi="ar-SA"/>
              </w:rPr>
              <w:t>答：公司目前产能利用率约50%。公司一季度多晶硅产量为4.3万吨，生产运营节奏保持稳定；为应对多晶硅价格波动，公司重点保障现金流安全和长期经营质量，采取审慎的销售策略，理性把控出货节奏，报告期内实现销量0.45万吨，报告期末公司存货为19.5亿元。</w:t>
            </w:r>
          </w:p>
          <w:p w14:paraId="456BBD42">
            <w:pPr>
              <w:pStyle w:val="17"/>
              <w:keepNext w:val="0"/>
              <w:keepLines w:val="0"/>
              <w:pageBreakBefore w:val="0"/>
              <w:widowControl/>
              <w:numPr>
                <w:ilvl w:val="0"/>
                <w:numId w:val="2"/>
              </w:numPr>
              <w:kinsoku/>
              <w:wordWrap/>
              <w:overflowPunct/>
              <w:topLinePunct w:val="0"/>
              <w:autoSpaceDE/>
              <w:autoSpaceDN/>
              <w:bidi w:val="0"/>
              <w:adjustRightInd w:val="0"/>
              <w:snapToGrid w:val="0"/>
              <w:spacing w:after="0" w:line="440" w:lineRule="exact"/>
              <w:ind w:left="0" w:leftChars="0" w:firstLine="0" w:firstLineChars="0"/>
              <w:textAlignment w:val="baseline"/>
              <w:rPr>
                <w:rFonts w:hint="default" w:ascii="Times New Roman" w:hAnsi="Times New Roman" w:cs="Times New Roman"/>
                <w:b/>
                <w:bCs/>
                <w:color w:val="auto"/>
                <w:kern w:val="0"/>
                <w:sz w:val="24"/>
                <w:szCs w:val="24"/>
                <w:highlight w:val="none"/>
                <w:lang w:val="en-US" w:eastAsia="zh-CN" w:bidi="ar-SA"/>
              </w:rPr>
            </w:pPr>
            <w:r>
              <w:rPr>
                <w:rFonts w:hint="default" w:ascii="Times New Roman" w:hAnsi="Times New Roman" w:cs="Times New Roman"/>
                <w:b/>
                <w:bCs/>
                <w:color w:val="auto"/>
                <w:kern w:val="0"/>
                <w:sz w:val="24"/>
                <w:szCs w:val="24"/>
                <w:highlight w:val="none"/>
                <w:lang w:val="en-US" w:eastAsia="zh-CN" w:bidi="ar-SA"/>
              </w:rPr>
              <w:t>公司从过往高盈利龙头转为周期亏损状态，经营业绩波动极大，请问后续如何优化经营策略、灵活适配硅料价格波动，持续提升周期经营韧性？</w:t>
            </w:r>
          </w:p>
          <w:p w14:paraId="3C67D9ED">
            <w:pPr>
              <w:pStyle w:val="23"/>
              <w:keepNext w:val="0"/>
              <w:keepLines w:val="0"/>
              <w:pageBreakBefore w:val="0"/>
              <w:widowControl/>
              <w:kinsoku/>
              <w:wordWrap/>
              <w:overflowPunct/>
              <w:topLinePunct w:val="0"/>
              <w:autoSpaceDE/>
              <w:autoSpaceDN/>
              <w:bidi w:val="0"/>
              <w:adjustRightInd w:val="0"/>
              <w:snapToGrid w:val="0"/>
              <w:spacing w:line="440" w:lineRule="exact"/>
              <w:ind w:left="-2" w:leftChars="-1" w:firstLine="480"/>
              <w:rPr>
                <w:rFonts w:hint="default" w:ascii="Times New Roman" w:hAnsi="Times New Roman" w:cs="Times New Roman"/>
                <w:b w:val="0"/>
                <w:bCs w:val="0"/>
                <w:color w:val="4472C4" w:themeColor="accent1"/>
                <w:kern w:val="0"/>
                <w:sz w:val="24"/>
                <w:szCs w:val="24"/>
                <w:highlight w:val="none"/>
                <w:lang w:val="en-US" w:eastAsia="zh-CN" w:bidi="ar-SA"/>
                <w14:textFill>
                  <w14:solidFill>
                    <w14:schemeClr w14:val="accent1"/>
                  </w14:solidFill>
                </w14:textFill>
              </w:rPr>
            </w:pPr>
            <w:r>
              <w:rPr>
                <w:rFonts w:hint="eastAsia" w:ascii="宋体" w:hAnsi="宋体"/>
                <w:sz w:val="24"/>
                <w:szCs w:val="24"/>
                <w:lang w:val="en-US" w:eastAsia="zh-CN"/>
              </w:rPr>
              <w:t>答：</w:t>
            </w:r>
            <w:r>
              <w:rPr>
                <w:rFonts w:hint="default" w:ascii="宋体" w:hAnsi="宋体"/>
                <w:sz w:val="24"/>
                <w:szCs w:val="24"/>
              </w:rPr>
              <w:t>公司将结合市场供需情况，合理调节开工率、产品结构与出货节奏，持续降低综合能耗，控制生产成本，保障长期经营发展质量；维持稳健的资产负债结构，为公司穿越行业周期、开展长远布局提供坚实的资金基础；稳步推进智慧能源系统新业务布局，培育全新增长曲线，分散光伏行业周期波动的经营风险。</w:t>
            </w:r>
            <w:bookmarkEnd w:id="4"/>
          </w:p>
        </w:tc>
      </w:tr>
      <w:tr w14:paraId="4874F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trPr>
        <w:tc>
          <w:tcPr>
            <w:tcW w:w="1856" w:type="dxa"/>
            <w:shd w:val="clear" w:color="auto" w:fill="auto"/>
            <w:vAlign w:val="center"/>
          </w:tcPr>
          <w:p w14:paraId="143F6F39">
            <w:pPr>
              <w:jc w:val="center"/>
              <w:rPr>
                <w:rFonts w:hint="default" w:ascii="Times New Roman" w:hAnsi="Times New Roman" w:eastAsia="宋体" w:cs="Times New Roman"/>
                <w:b/>
                <w:kern w:val="0"/>
                <w:sz w:val="24"/>
                <w:szCs w:val="24"/>
                <w:lang w:val="en-US" w:eastAsia="zh-CN" w:bidi="ar-SA"/>
              </w:rPr>
            </w:pPr>
            <w:r>
              <w:rPr>
                <w:rFonts w:hint="default" w:ascii="Times New Roman" w:hAnsi="Times New Roman" w:cs="Times New Roman"/>
                <w:b/>
                <w:sz w:val="24"/>
                <w:szCs w:val="24"/>
              </w:rPr>
              <w:t>风险提示</w:t>
            </w:r>
          </w:p>
        </w:tc>
        <w:tc>
          <w:tcPr>
            <w:tcW w:w="6666" w:type="dxa"/>
            <w:shd w:val="clear" w:color="auto" w:fill="auto"/>
            <w:vAlign w:val="center"/>
          </w:tcPr>
          <w:p w14:paraId="46C036E5">
            <w:pPr>
              <w:keepNext w:val="0"/>
              <w:keepLines w:val="0"/>
              <w:pageBreakBefore w:val="0"/>
              <w:widowControl/>
              <w:kinsoku/>
              <w:wordWrap/>
              <w:overflowPunct/>
              <w:topLinePunct w:val="0"/>
              <w:autoSpaceDE/>
              <w:autoSpaceDN/>
              <w:bidi w:val="0"/>
              <w:adjustRightInd/>
              <w:snapToGrid/>
              <w:ind w:firstLine="482" w:firstLineChars="200"/>
              <w:jc w:val="both"/>
              <w:textAlignment w:val="auto"/>
              <w:rPr>
                <w:rFonts w:hint="default" w:ascii="Times New Roman" w:hAnsi="Times New Roman" w:eastAsia="宋体" w:cs="Times New Roman"/>
                <w:kern w:val="0"/>
                <w:sz w:val="24"/>
                <w:szCs w:val="24"/>
                <w:lang w:val="en-US" w:eastAsia="zh-CN" w:bidi="ar-SA"/>
              </w:rPr>
            </w:pPr>
            <w:r>
              <w:rPr>
                <w:rFonts w:hint="default" w:ascii="Times New Roman" w:hAnsi="Times New Roman" w:cs="Times New Roman"/>
                <w:b/>
                <w:bCs/>
                <w:sz w:val="24"/>
                <w:szCs w:val="24"/>
              </w:rPr>
              <w:t>以上如涉及对行业的预测、公司发展战略规划等相关内容，不能视作公司或公司管理层对行业、公司发展的承诺和保证，敬请广大投资者注意投资风险。</w:t>
            </w:r>
          </w:p>
        </w:tc>
      </w:tr>
      <w:tr w14:paraId="31C46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trPr>
        <w:tc>
          <w:tcPr>
            <w:tcW w:w="1856" w:type="dxa"/>
            <w:shd w:val="clear" w:color="auto" w:fill="auto"/>
            <w:vAlign w:val="center"/>
          </w:tcPr>
          <w:p w14:paraId="78C1E2B3">
            <w:pPr>
              <w:jc w:val="center"/>
              <w:rPr>
                <w:rFonts w:hint="default" w:ascii="Times New Roman" w:hAnsi="Times New Roman" w:cs="Times New Roman"/>
                <w:b/>
                <w:sz w:val="24"/>
                <w:szCs w:val="24"/>
              </w:rPr>
            </w:pPr>
            <w:r>
              <w:rPr>
                <w:rFonts w:hint="default" w:ascii="Times New Roman" w:hAnsi="Times New Roman" w:cs="Times New Roman"/>
                <w:b/>
                <w:sz w:val="24"/>
                <w:szCs w:val="24"/>
              </w:rPr>
              <w:t>日期</w:t>
            </w:r>
          </w:p>
        </w:tc>
        <w:tc>
          <w:tcPr>
            <w:tcW w:w="6666" w:type="dxa"/>
            <w:shd w:val="clear" w:color="auto" w:fill="auto"/>
            <w:vAlign w:val="center"/>
          </w:tcPr>
          <w:p w14:paraId="5BE752D2">
            <w:pPr>
              <w:ind w:firstLine="204" w:firstLineChars="85"/>
              <w:jc w:val="both"/>
              <w:rPr>
                <w:rFonts w:hint="default" w:ascii="Times New Roman" w:hAnsi="Times New Roman" w:eastAsia="宋体" w:cs="Times New Roman"/>
                <w:sz w:val="24"/>
                <w:szCs w:val="24"/>
                <w:lang w:val="en-US" w:eastAsia="zh-CN"/>
              </w:rPr>
            </w:pPr>
            <w:r>
              <w:rPr>
                <w:rFonts w:hint="default" w:ascii="Times New Roman" w:hAnsi="Times New Roman" w:cs="Times New Roman"/>
                <w:sz w:val="24"/>
                <w:szCs w:val="24"/>
              </w:rPr>
              <w:t>202</w:t>
            </w:r>
            <w:r>
              <w:rPr>
                <w:rFonts w:hint="default" w:ascii="Times New Roman" w:hAnsi="Times New Roman" w:cs="Times New Roman"/>
                <w:sz w:val="24"/>
                <w:szCs w:val="24"/>
                <w:lang w:val="en-US" w:eastAsia="zh-CN"/>
              </w:rPr>
              <w:t>6</w:t>
            </w:r>
            <w:r>
              <w:rPr>
                <w:rFonts w:hint="default" w:ascii="Times New Roman" w:hAnsi="Times New Roman" w:cs="Times New Roman"/>
                <w:sz w:val="24"/>
                <w:szCs w:val="24"/>
              </w:rPr>
              <w:t>年</w:t>
            </w:r>
            <w:r>
              <w:rPr>
                <w:rFonts w:hint="eastAsia" w:cs="Times New Roman"/>
                <w:sz w:val="24"/>
                <w:szCs w:val="24"/>
                <w:lang w:val="en-US" w:eastAsia="zh-CN"/>
              </w:rPr>
              <w:t>6</w:t>
            </w:r>
            <w:r>
              <w:rPr>
                <w:rFonts w:hint="default" w:ascii="Times New Roman" w:hAnsi="Times New Roman" w:cs="Times New Roman"/>
                <w:sz w:val="24"/>
                <w:szCs w:val="24"/>
              </w:rPr>
              <w:t>月</w:t>
            </w:r>
            <w:r>
              <w:rPr>
                <w:rFonts w:hint="eastAsia" w:cs="Times New Roman"/>
                <w:sz w:val="24"/>
                <w:szCs w:val="24"/>
                <w:lang w:val="en-US" w:eastAsia="zh-CN"/>
              </w:rPr>
              <w:t>30</w:t>
            </w:r>
            <w:r>
              <w:rPr>
                <w:rFonts w:hint="default" w:ascii="Times New Roman" w:hAnsi="Times New Roman" w:cs="Times New Roman"/>
                <w:sz w:val="24"/>
                <w:szCs w:val="24"/>
                <w:lang w:val="en-US" w:eastAsia="zh-CN"/>
              </w:rPr>
              <w:t>日</w:t>
            </w:r>
          </w:p>
        </w:tc>
      </w:tr>
    </w:tbl>
    <w:p w14:paraId="15B2EEED">
      <w:pPr>
        <w:pStyle w:val="17"/>
        <w:ind w:left="0" w:leftChars="0" w:firstLine="0" w:firstLineChars="0"/>
        <w:rPr>
          <w:rFonts w:hint="default" w:ascii="Times New Roman" w:hAnsi="Times New Roman" w:cs="Times New Roman"/>
          <w:lang w:val="en-US" w:eastAsia="zh-CN"/>
        </w:rPr>
      </w:pPr>
    </w:p>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B326BB">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692573">
                          <w:pPr>
                            <w:pStyle w:val="6"/>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A692573">
                    <w:pPr>
                      <w:pStyle w:val="6"/>
                    </w:pPr>
                    <w:r>
                      <w:fldChar w:fldCharType="begin"/>
                    </w:r>
                    <w:r>
                      <w:instrText xml:space="preserve"> PAGE  \* MERGEFORMAT </w:instrText>
                    </w:r>
                    <w:r>
                      <w:fldChar w:fldCharType="separate"/>
                    </w:r>
                    <w:r>
                      <w:t>1</w:t>
                    </w:r>
                    <w:r>
                      <w:fldChar w:fldCharType="end"/>
                    </w:r>
                    <w:r>
                      <w:t xml:space="preserve"> / </w:t>
                    </w:r>
                    <w:r>
                      <w:fldChar w:fldCharType="begin"/>
                    </w:r>
                    <w:r>
                      <w:instrText xml:space="preserve"> NUMPAGES  \* MERGEFORMAT </w:instrText>
                    </w:r>
                    <w:r>
                      <w:fldChar w:fldCharType="separate"/>
                    </w:r>
                    <w:r>
                      <w:t>4</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54325D"/>
    <w:multiLevelType w:val="singleLevel"/>
    <w:tmpl w:val="E054325D"/>
    <w:lvl w:ilvl="0" w:tentative="0">
      <w:start w:val="1"/>
      <w:numFmt w:val="chineseCounting"/>
      <w:suff w:val="nothing"/>
      <w:lvlText w:val="%1、"/>
      <w:lvlJc w:val="left"/>
      <w:pPr>
        <w:ind w:left="0" w:firstLine="420"/>
      </w:pPr>
      <w:rPr>
        <w:rFonts w:hint="eastAsia"/>
        <w:b/>
        <w:bCs/>
      </w:rPr>
    </w:lvl>
  </w:abstractNum>
  <w:abstractNum w:abstractNumId="1">
    <w:nsid w:val="0903A552"/>
    <w:multiLevelType w:val="singleLevel"/>
    <w:tmpl w:val="0903A552"/>
    <w:lvl w:ilvl="0" w:tentative="0">
      <w:start w:val="1"/>
      <w:numFmt w:val="decimal"/>
      <w:suff w:val="space"/>
      <w:lvlText w:val="%1."/>
      <w:lvlJc w:val="left"/>
      <w:pPr>
        <w:ind w:left="400" w:leftChars="0" w:firstLine="0" w:firstLineChars="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Y2YWM4ZGMxMWRhMDU1YjU4NmI2YTYyMDIxMTU4ZjcifQ=="/>
    <w:docVar w:name="KSO_WPS_MARK_KEY" w:val="9744ed95-e099-48c5-99b4-2a38b735fe23"/>
  </w:docVars>
  <w:rsids>
    <w:rsidRoot w:val="009543BA"/>
    <w:rsid w:val="00016021"/>
    <w:rsid w:val="0002218E"/>
    <w:rsid w:val="00084462"/>
    <w:rsid w:val="000A02A2"/>
    <w:rsid w:val="001740DA"/>
    <w:rsid w:val="002D268D"/>
    <w:rsid w:val="002E0130"/>
    <w:rsid w:val="00306310"/>
    <w:rsid w:val="00384B92"/>
    <w:rsid w:val="003B72A8"/>
    <w:rsid w:val="00470E82"/>
    <w:rsid w:val="00525711"/>
    <w:rsid w:val="007F48F7"/>
    <w:rsid w:val="00801414"/>
    <w:rsid w:val="008A3773"/>
    <w:rsid w:val="00932684"/>
    <w:rsid w:val="009543BA"/>
    <w:rsid w:val="009E3578"/>
    <w:rsid w:val="00A245A2"/>
    <w:rsid w:val="00A245B4"/>
    <w:rsid w:val="00A824DD"/>
    <w:rsid w:val="00AC40B5"/>
    <w:rsid w:val="00B85C06"/>
    <w:rsid w:val="00BC27E1"/>
    <w:rsid w:val="00C80206"/>
    <w:rsid w:val="00D1567A"/>
    <w:rsid w:val="00D91E6C"/>
    <w:rsid w:val="00DB330E"/>
    <w:rsid w:val="00E166B7"/>
    <w:rsid w:val="00E434B8"/>
    <w:rsid w:val="00EF1A16"/>
    <w:rsid w:val="00F7100C"/>
    <w:rsid w:val="00FE4F04"/>
    <w:rsid w:val="010C0073"/>
    <w:rsid w:val="014D6AE7"/>
    <w:rsid w:val="01BA04E4"/>
    <w:rsid w:val="020B6A0C"/>
    <w:rsid w:val="02182655"/>
    <w:rsid w:val="02B364E5"/>
    <w:rsid w:val="02C1374A"/>
    <w:rsid w:val="032D26DE"/>
    <w:rsid w:val="03B66504"/>
    <w:rsid w:val="03E11DFE"/>
    <w:rsid w:val="04253689"/>
    <w:rsid w:val="043F5083"/>
    <w:rsid w:val="04C602E0"/>
    <w:rsid w:val="050D65F7"/>
    <w:rsid w:val="05216642"/>
    <w:rsid w:val="057C0D10"/>
    <w:rsid w:val="06486A8B"/>
    <w:rsid w:val="06691F53"/>
    <w:rsid w:val="068E6E0A"/>
    <w:rsid w:val="069C7F0D"/>
    <w:rsid w:val="06A64813"/>
    <w:rsid w:val="06C278B5"/>
    <w:rsid w:val="06E54224"/>
    <w:rsid w:val="06FC4E78"/>
    <w:rsid w:val="072365A6"/>
    <w:rsid w:val="073922DA"/>
    <w:rsid w:val="076646E5"/>
    <w:rsid w:val="07697D31"/>
    <w:rsid w:val="07746E01"/>
    <w:rsid w:val="07782440"/>
    <w:rsid w:val="080041F1"/>
    <w:rsid w:val="080C703A"/>
    <w:rsid w:val="081C08FB"/>
    <w:rsid w:val="08284B72"/>
    <w:rsid w:val="08DD4532"/>
    <w:rsid w:val="08E753B1"/>
    <w:rsid w:val="092258F8"/>
    <w:rsid w:val="0933275D"/>
    <w:rsid w:val="095E2640"/>
    <w:rsid w:val="095F3855"/>
    <w:rsid w:val="09B259BF"/>
    <w:rsid w:val="09EA213F"/>
    <w:rsid w:val="0A1D37C1"/>
    <w:rsid w:val="0A4C1970"/>
    <w:rsid w:val="0A7F3E74"/>
    <w:rsid w:val="0A832A87"/>
    <w:rsid w:val="0ACE05D7"/>
    <w:rsid w:val="0B5A13AA"/>
    <w:rsid w:val="0B8D0492"/>
    <w:rsid w:val="0BBF153D"/>
    <w:rsid w:val="0BF47BED"/>
    <w:rsid w:val="0C210BDA"/>
    <w:rsid w:val="0C22507E"/>
    <w:rsid w:val="0C48260B"/>
    <w:rsid w:val="0CEE1657"/>
    <w:rsid w:val="0CF61A8A"/>
    <w:rsid w:val="0CF75E98"/>
    <w:rsid w:val="0DA50DBC"/>
    <w:rsid w:val="0DCE2E9E"/>
    <w:rsid w:val="0DD864EF"/>
    <w:rsid w:val="0DE079FA"/>
    <w:rsid w:val="0DE51060"/>
    <w:rsid w:val="0E002589"/>
    <w:rsid w:val="0E121122"/>
    <w:rsid w:val="0E211365"/>
    <w:rsid w:val="0E5E1C72"/>
    <w:rsid w:val="0E99714E"/>
    <w:rsid w:val="0E9B1E28"/>
    <w:rsid w:val="0EBE0962"/>
    <w:rsid w:val="0ED10695"/>
    <w:rsid w:val="0F001A96"/>
    <w:rsid w:val="0F3B6457"/>
    <w:rsid w:val="0F3E5437"/>
    <w:rsid w:val="0F553B85"/>
    <w:rsid w:val="0FED7751"/>
    <w:rsid w:val="101A031D"/>
    <w:rsid w:val="10D01FDB"/>
    <w:rsid w:val="10E0736E"/>
    <w:rsid w:val="10E87F18"/>
    <w:rsid w:val="10EA0134"/>
    <w:rsid w:val="10FA6071"/>
    <w:rsid w:val="110411F6"/>
    <w:rsid w:val="112206A6"/>
    <w:rsid w:val="113F59F6"/>
    <w:rsid w:val="1156182E"/>
    <w:rsid w:val="11785740"/>
    <w:rsid w:val="11BA7DDA"/>
    <w:rsid w:val="11F849BE"/>
    <w:rsid w:val="121460C3"/>
    <w:rsid w:val="1222745A"/>
    <w:rsid w:val="123B54AB"/>
    <w:rsid w:val="12891287"/>
    <w:rsid w:val="128C0104"/>
    <w:rsid w:val="12E764B7"/>
    <w:rsid w:val="13A02D2C"/>
    <w:rsid w:val="13A20852"/>
    <w:rsid w:val="13D675B8"/>
    <w:rsid w:val="1420412F"/>
    <w:rsid w:val="14B63572"/>
    <w:rsid w:val="14C96572"/>
    <w:rsid w:val="14DA34FB"/>
    <w:rsid w:val="14F6421B"/>
    <w:rsid w:val="14F84334"/>
    <w:rsid w:val="15177988"/>
    <w:rsid w:val="155F2836"/>
    <w:rsid w:val="15724254"/>
    <w:rsid w:val="159D5775"/>
    <w:rsid w:val="15C46ECC"/>
    <w:rsid w:val="15D24AB9"/>
    <w:rsid w:val="15EC04AB"/>
    <w:rsid w:val="16461969"/>
    <w:rsid w:val="16CD208A"/>
    <w:rsid w:val="16D04334"/>
    <w:rsid w:val="16EE3C9A"/>
    <w:rsid w:val="17254582"/>
    <w:rsid w:val="174B1B73"/>
    <w:rsid w:val="178D5A10"/>
    <w:rsid w:val="17C74E1D"/>
    <w:rsid w:val="17E4768B"/>
    <w:rsid w:val="17F35371"/>
    <w:rsid w:val="180C7535"/>
    <w:rsid w:val="185C03F8"/>
    <w:rsid w:val="1889721A"/>
    <w:rsid w:val="1899795C"/>
    <w:rsid w:val="18B3705E"/>
    <w:rsid w:val="18F421FA"/>
    <w:rsid w:val="19120F75"/>
    <w:rsid w:val="195E346D"/>
    <w:rsid w:val="19793E03"/>
    <w:rsid w:val="19C05FE4"/>
    <w:rsid w:val="1A1E0DCC"/>
    <w:rsid w:val="1A442A66"/>
    <w:rsid w:val="1AAC1FB7"/>
    <w:rsid w:val="1AE81873"/>
    <w:rsid w:val="1B216501"/>
    <w:rsid w:val="1BA57132"/>
    <w:rsid w:val="1BCF77FF"/>
    <w:rsid w:val="1C3A12E6"/>
    <w:rsid w:val="1C456532"/>
    <w:rsid w:val="1C8E406A"/>
    <w:rsid w:val="1C940F54"/>
    <w:rsid w:val="1CB83E9F"/>
    <w:rsid w:val="1CC932F4"/>
    <w:rsid w:val="1D2B0F6C"/>
    <w:rsid w:val="1D304A69"/>
    <w:rsid w:val="1D3E783E"/>
    <w:rsid w:val="1D4665DA"/>
    <w:rsid w:val="1D666D95"/>
    <w:rsid w:val="1D684E70"/>
    <w:rsid w:val="1D7768AC"/>
    <w:rsid w:val="1DE55F0B"/>
    <w:rsid w:val="1DEA3522"/>
    <w:rsid w:val="1E05331F"/>
    <w:rsid w:val="1E380731"/>
    <w:rsid w:val="1E685ACF"/>
    <w:rsid w:val="1EF06916"/>
    <w:rsid w:val="1F325180"/>
    <w:rsid w:val="1F345854"/>
    <w:rsid w:val="1F4C5154"/>
    <w:rsid w:val="1F5466D3"/>
    <w:rsid w:val="1F68119F"/>
    <w:rsid w:val="1F704E11"/>
    <w:rsid w:val="1F943D2A"/>
    <w:rsid w:val="1FD52EB0"/>
    <w:rsid w:val="1FEC7D94"/>
    <w:rsid w:val="20191E9C"/>
    <w:rsid w:val="20653333"/>
    <w:rsid w:val="20A025BE"/>
    <w:rsid w:val="20E42B11"/>
    <w:rsid w:val="21350F58"/>
    <w:rsid w:val="21355D04"/>
    <w:rsid w:val="217A6BD0"/>
    <w:rsid w:val="21A30D62"/>
    <w:rsid w:val="21B31E7D"/>
    <w:rsid w:val="21BC068A"/>
    <w:rsid w:val="21BE2CFB"/>
    <w:rsid w:val="21C92738"/>
    <w:rsid w:val="21E07451"/>
    <w:rsid w:val="21E94280"/>
    <w:rsid w:val="22364F87"/>
    <w:rsid w:val="223D08D7"/>
    <w:rsid w:val="22602004"/>
    <w:rsid w:val="228D4E06"/>
    <w:rsid w:val="22A3046A"/>
    <w:rsid w:val="22C35463"/>
    <w:rsid w:val="22DB000E"/>
    <w:rsid w:val="23160915"/>
    <w:rsid w:val="23311652"/>
    <w:rsid w:val="235755D2"/>
    <w:rsid w:val="23695156"/>
    <w:rsid w:val="237911D4"/>
    <w:rsid w:val="237C4FE1"/>
    <w:rsid w:val="23B048C6"/>
    <w:rsid w:val="23C45431"/>
    <w:rsid w:val="23D6056F"/>
    <w:rsid w:val="23DF51AB"/>
    <w:rsid w:val="24241CC0"/>
    <w:rsid w:val="246057D0"/>
    <w:rsid w:val="24952361"/>
    <w:rsid w:val="24A34325"/>
    <w:rsid w:val="24DE247B"/>
    <w:rsid w:val="25162E4E"/>
    <w:rsid w:val="252B1830"/>
    <w:rsid w:val="254730DF"/>
    <w:rsid w:val="255521CD"/>
    <w:rsid w:val="2593624D"/>
    <w:rsid w:val="26473DB9"/>
    <w:rsid w:val="26600825"/>
    <w:rsid w:val="26C11752"/>
    <w:rsid w:val="273677D8"/>
    <w:rsid w:val="2793077B"/>
    <w:rsid w:val="28053934"/>
    <w:rsid w:val="28E53ED3"/>
    <w:rsid w:val="28EB12EF"/>
    <w:rsid w:val="29171209"/>
    <w:rsid w:val="292E4C0A"/>
    <w:rsid w:val="29595305"/>
    <w:rsid w:val="29686FB1"/>
    <w:rsid w:val="298E6E7F"/>
    <w:rsid w:val="29F85409"/>
    <w:rsid w:val="29FB2C9C"/>
    <w:rsid w:val="2A494AE3"/>
    <w:rsid w:val="2A57080F"/>
    <w:rsid w:val="2AA422A4"/>
    <w:rsid w:val="2AF53506"/>
    <w:rsid w:val="2AF65BAE"/>
    <w:rsid w:val="2B0741DE"/>
    <w:rsid w:val="2B201FFC"/>
    <w:rsid w:val="2B3C3CFC"/>
    <w:rsid w:val="2BD51703"/>
    <w:rsid w:val="2BED61CA"/>
    <w:rsid w:val="2C482373"/>
    <w:rsid w:val="2C7A5D3F"/>
    <w:rsid w:val="2CAB2CBB"/>
    <w:rsid w:val="2CB20E1B"/>
    <w:rsid w:val="2D4516F5"/>
    <w:rsid w:val="2D5269EE"/>
    <w:rsid w:val="2E183166"/>
    <w:rsid w:val="2E2B3D7D"/>
    <w:rsid w:val="2E3F73B2"/>
    <w:rsid w:val="2E433BD4"/>
    <w:rsid w:val="2E450B99"/>
    <w:rsid w:val="2E833314"/>
    <w:rsid w:val="2EB72FAC"/>
    <w:rsid w:val="2ED51684"/>
    <w:rsid w:val="2F0361F1"/>
    <w:rsid w:val="2F0A1CD2"/>
    <w:rsid w:val="30064E82"/>
    <w:rsid w:val="300F0BC6"/>
    <w:rsid w:val="30141434"/>
    <w:rsid w:val="301B3E9D"/>
    <w:rsid w:val="303B135D"/>
    <w:rsid w:val="30411766"/>
    <w:rsid w:val="30656A38"/>
    <w:rsid w:val="30DA5C50"/>
    <w:rsid w:val="30EB77A1"/>
    <w:rsid w:val="311D6658"/>
    <w:rsid w:val="31386792"/>
    <w:rsid w:val="319943C6"/>
    <w:rsid w:val="31A30A4A"/>
    <w:rsid w:val="31BB2DB3"/>
    <w:rsid w:val="31D6746F"/>
    <w:rsid w:val="32476D3D"/>
    <w:rsid w:val="327D275F"/>
    <w:rsid w:val="329A34F9"/>
    <w:rsid w:val="32A45F3D"/>
    <w:rsid w:val="32BF4133"/>
    <w:rsid w:val="32D0306E"/>
    <w:rsid w:val="332477A8"/>
    <w:rsid w:val="332638B4"/>
    <w:rsid w:val="33715E85"/>
    <w:rsid w:val="3379483E"/>
    <w:rsid w:val="33B65F28"/>
    <w:rsid w:val="33D463AE"/>
    <w:rsid w:val="34144C3F"/>
    <w:rsid w:val="34203644"/>
    <w:rsid w:val="34232F74"/>
    <w:rsid w:val="345469C5"/>
    <w:rsid w:val="345C79CB"/>
    <w:rsid w:val="34D131E2"/>
    <w:rsid w:val="34E90E6C"/>
    <w:rsid w:val="34FA62E8"/>
    <w:rsid w:val="350E58F0"/>
    <w:rsid w:val="352256B5"/>
    <w:rsid w:val="352B46F4"/>
    <w:rsid w:val="357A2F85"/>
    <w:rsid w:val="358A27C1"/>
    <w:rsid w:val="358B46D1"/>
    <w:rsid w:val="35D42696"/>
    <w:rsid w:val="35D501BC"/>
    <w:rsid w:val="36401AD9"/>
    <w:rsid w:val="365740F9"/>
    <w:rsid w:val="36610D3B"/>
    <w:rsid w:val="36865309"/>
    <w:rsid w:val="36DE78BB"/>
    <w:rsid w:val="370D3891"/>
    <w:rsid w:val="371B2546"/>
    <w:rsid w:val="372C0A6A"/>
    <w:rsid w:val="37D502EF"/>
    <w:rsid w:val="37F76B0F"/>
    <w:rsid w:val="381C6BD2"/>
    <w:rsid w:val="38303AF2"/>
    <w:rsid w:val="38C62C27"/>
    <w:rsid w:val="38F00852"/>
    <w:rsid w:val="392E43AB"/>
    <w:rsid w:val="393769E8"/>
    <w:rsid w:val="393C3CE1"/>
    <w:rsid w:val="393F5A64"/>
    <w:rsid w:val="398D21EF"/>
    <w:rsid w:val="39911300"/>
    <w:rsid w:val="39DF17FD"/>
    <w:rsid w:val="3A4E0C27"/>
    <w:rsid w:val="3A660847"/>
    <w:rsid w:val="3AAA60BB"/>
    <w:rsid w:val="3ABF48FF"/>
    <w:rsid w:val="3AD03533"/>
    <w:rsid w:val="3AE55345"/>
    <w:rsid w:val="3AED32A5"/>
    <w:rsid w:val="3B6174EB"/>
    <w:rsid w:val="3B9B2B3A"/>
    <w:rsid w:val="3BA3045E"/>
    <w:rsid w:val="3BED27E9"/>
    <w:rsid w:val="3C2A6DF9"/>
    <w:rsid w:val="3C552056"/>
    <w:rsid w:val="3C807D22"/>
    <w:rsid w:val="3C9C0948"/>
    <w:rsid w:val="3CA62CFD"/>
    <w:rsid w:val="3CBB0420"/>
    <w:rsid w:val="3CD81A6B"/>
    <w:rsid w:val="3CE024D8"/>
    <w:rsid w:val="3CF153F9"/>
    <w:rsid w:val="3D0D0EE1"/>
    <w:rsid w:val="3D3879AE"/>
    <w:rsid w:val="3D9425AC"/>
    <w:rsid w:val="3DD60F75"/>
    <w:rsid w:val="3DD60F7C"/>
    <w:rsid w:val="3DD671C7"/>
    <w:rsid w:val="3E1C1EF6"/>
    <w:rsid w:val="3E3C34CE"/>
    <w:rsid w:val="3E3C7FE6"/>
    <w:rsid w:val="3EA177D5"/>
    <w:rsid w:val="3EDD6CD8"/>
    <w:rsid w:val="3F0C10F2"/>
    <w:rsid w:val="3F1B7587"/>
    <w:rsid w:val="3F9A6706"/>
    <w:rsid w:val="3FDD2DA4"/>
    <w:rsid w:val="401B44D0"/>
    <w:rsid w:val="403331ED"/>
    <w:rsid w:val="404D19C2"/>
    <w:rsid w:val="405B2FF3"/>
    <w:rsid w:val="40645910"/>
    <w:rsid w:val="40A278CC"/>
    <w:rsid w:val="40E110F2"/>
    <w:rsid w:val="410B1366"/>
    <w:rsid w:val="41107BC1"/>
    <w:rsid w:val="411E2D31"/>
    <w:rsid w:val="412A5860"/>
    <w:rsid w:val="41714D8A"/>
    <w:rsid w:val="41A359E8"/>
    <w:rsid w:val="41FA741E"/>
    <w:rsid w:val="42024A2E"/>
    <w:rsid w:val="42070318"/>
    <w:rsid w:val="421877CE"/>
    <w:rsid w:val="42265860"/>
    <w:rsid w:val="42274AC7"/>
    <w:rsid w:val="42440BA3"/>
    <w:rsid w:val="42A45AE6"/>
    <w:rsid w:val="42CE1845"/>
    <w:rsid w:val="430965FA"/>
    <w:rsid w:val="431C567C"/>
    <w:rsid w:val="4335673E"/>
    <w:rsid w:val="437A1BA2"/>
    <w:rsid w:val="43B00525"/>
    <w:rsid w:val="44305883"/>
    <w:rsid w:val="44337121"/>
    <w:rsid w:val="44D035AC"/>
    <w:rsid w:val="44DB34F6"/>
    <w:rsid w:val="450B3ED7"/>
    <w:rsid w:val="45361227"/>
    <w:rsid w:val="4541586E"/>
    <w:rsid w:val="45765517"/>
    <w:rsid w:val="458B6F1A"/>
    <w:rsid w:val="45966D83"/>
    <w:rsid w:val="45CB4ADB"/>
    <w:rsid w:val="45DD06E1"/>
    <w:rsid w:val="464253F9"/>
    <w:rsid w:val="46720027"/>
    <w:rsid w:val="47021D7C"/>
    <w:rsid w:val="47264849"/>
    <w:rsid w:val="47467536"/>
    <w:rsid w:val="477259CC"/>
    <w:rsid w:val="477E6905"/>
    <w:rsid w:val="47A940DA"/>
    <w:rsid w:val="47CC2A01"/>
    <w:rsid w:val="47D1716B"/>
    <w:rsid w:val="47F15951"/>
    <w:rsid w:val="480A2EC3"/>
    <w:rsid w:val="481F3F04"/>
    <w:rsid w:val="483714DD"/>
    <w:rsid w:val="486024AF"/>
    <w:rsid w:val="488315CD"/>
    <w:rsid w:val="488E19A2"/>
    <w:rsid w:val="48D569F9"/>
    <w:rsid w:val="492C0A93"/>
    <w:rsid w:val="49557B3A"/>
    <w:rsid w:val="49713590"/>
    <w:rsid w:val="49B17AC3"/>
    <w:rsid w:val="49F94308"/>
    <w:rsid w:val="4A0C644A"/>
    <w:rsid w:val="4A987CDE"/>
    <w:rsid w:val="4AD256ED"/>
    <w:rsid w:val="4B35377F"/>
    <w:rsid w:val="4B683B54"/>
    <w:rsid w:val="4B700C5B"/>
    <w:rsid w:val="4BFC604B"/>
    <w:rsid w:val="4C7A729B"/>
    <w:rsid w:val="4CC556D4"/>
    <w:rsid w:val="4CD56804"/>
    <w:rsid w:val="4CE57C6E"/>
    <w:rsid w:val="4D0D6D01"/>
    <w:rsid w:val="4D1D0015"/>
    <w:rsid w:val="4D565C2E"/>
    <w:rsid w:val="4D65537F"/>
    <w:rsid w:val="4D7165E7"/>
    <w:rsid w:val="4D9C35E3"/>
    <w:rsid w:val="4DA06861"/>
    <w:rsid w:val="4DCC61A3"/>
    <w:rsid w:val="4E176C4B"/>
    <w:rsid w:val="4E1F3556"/>
    <w:rsid w:val="4E3E0D43"/>
    <w:rsid w:val="4E900D80"/>
    <w:rsid w:val="4EB10C75"/>
    <w:rsid w:val="4EBB6482"/>
    <w:rsid w:val="4F306126"/>
    <w:rsid w:val="4F436AA0"/>
    <w:rsid w:val="4F624D5E"/>
    <w:rsid w:val="4F72126C"/>
    <w:rsid w:val="4F763358"/>
    <w:rsid w:val="4F9C4AEF"/>
    <w:rsid w:val="4FDC4BA4"/>
    <w:rsid w:val="4FDD4E67"/>
    <w:rsid w:val="4FF754A7"/>
    <w:rsid w:val="50060376"/>
    <w:rsid w:val="50322EC1"/>
    <w:rsid w:val="504E09F4"/>
    <w:rsid w:val="509275A7"/>
    <w:rsid w:val="5115039D"/>
    <w:rsid w:val="51600471"/>
    <w:rsid w:val="518E26B3"/>
    <w:rsid w:val="51D971C0"/>
    <w:rsid w:val="51FE227C"/>
    <w:rsid w:val="52534D66"/>
    <w:rsid w:val="527E5A0B"/>
    <w:rsid w:val="52946FAB"/>
    <w:rsid w:val="52A40059"/>
    <w:rsid w:val="52F774FB"/>
    <w:rsid w:val="53067833"/>
    <w:rsid w:val="536C7562"/>
    <w:rsid w:val="53B87C77"/>
    <w:rsid w:val="53CE7E2A"/>
    <w:rsid w:val="54040D0B"/>
    <w:rsid w:val="540A298D"/>
    <w:rsid w:val="545244CF"/>
    <w:rsid w:val="546926EB"/>
    <w:rsid w:val="55067F3A"/>
    <w:rsid w:val="55255BBE"/>
    <w:rsid w:val="552C79A0"/>
    <w:rsid w:val="55413554"/>
    <w:rsid w:val="555B5122"/>
    <w:rsid w:val="5575291E"/>
    <w:rsid w:val="55913CA7"/>
    <w:rsid w:val="55F253AA"/>
    <w:rsid w:val="55FA2E24"/>
    <w:rsid w:val="55FD5B12"/>
    <w:rsid w:val="560F6013"/>
    <w:rsid w:val="561C557A"/>
    <w:rsid w:val="56496F49"/>
    <w:rsid w:val="56553CE7"/>
    <w:rsid w:val="567A298E"/>
    <w:rsid w:val="56AE4935"/>
    <w:rsid w:val="56B01028"/>
    <w:rsid w:val="56B011F9"/>
    <w:rsid w:val="56B57E6A"/>
    <w:rsid w:val="572D5C52"/>
    <w:rsid w:val="573F0586"/>
    <w:rsid w:val="57841F1C"/>
    <w:rsid w:val="57A6691E"/>
    <w:rsid w:val="57CE19E2"/>
    <w:rsid w:val="57CE621C"/>
    <w:rsid w:val="57E24F30"/>
    <w:rsid w:val="58294CE8"/>
    <w:rsid w:val="58405511"/>
    <w:rsid w:val="58562F86"/>
    <w:rsid w:val="585E0FDB"/>
    <w:rsid w:val="586C4654"/>
    <w:rsid w:val="588548A0"/>
    <w:rsid w:val="58E41FBC"/>
    <w:rsid w:val="58F357A9"/>
    <w:rsid w:val="594F3C5E"/>
    <w:rsid w:val="599C6117"/>
    <w:rsid w:val="59C81C62"/>
    <w:rsid w:val="59E0440D"/>
    <w:rsid w:val="5A356228"/>
    <w:rsid w:val="5A5B4884"/>
    <w:rsid w:val="5A6B1344"/>
    <w:rsid w:val="5AE44879"/>
    <w:rsid w:val="5AEA3C95"/>
    <w:rsid w:val="5B1E5FDD"/>
    <w:rsid w:val="5B4300F6"/>
    <w:rsid w:val="5B831260"/>
    <w:rsid w:val="5B896942"/>
    <w:rsid w:val="5B896F2F"/>
    <w:rsid w:val="5B910C3D"/>
    <w:rsid w:val="5BB66216"/>
    <w:rsid w:val="5BB73D3C"/>
    <w:rsid w:val="5C182A2D"/>
    <w:rsid w:val="5C734107"/>
    <w:rsid w:val="5C91632B"/>
    <w:rsid w:val="5CFB79C1"/>
    <w:rsid w:val="5D212C28"/>
    <w:rsid w:val="5D294FB4"/>
    <w:rsid w:val="5D3E32D0"/>
    <w:rsid w:val="5D526412"/>
    <w:rsid w:val="5D657148"/>
    <w:rsid w:val="5D730187"/>
    <w:rsid w:val="5DA01B06"/>
    <w:rsid w:val="5DBB72DF"/>
    <w:rsid w:val="5DC32E6C"/>
    <w:rsid w:val="5E341674"/>
    <w:rsid w:val="5E57286E"/>
    <w:rsid w:val="5E6C52B2"/>
    <w:rsid w:val="5E6E5D58"/>
    <w:rsid w:val="5E912ACB"/>
    <w:rsid w:val="5EA96363"/>
    <w:rsid w:val="5F1D5C23"/>
    <w:rsid w:val="5F3F1555"/>
    <w:rsid w:val="5F451537"/>
    <w:rsid w:val="5F557759"/>
    <w:rsid w:val="5F6C0DA5"/>
    <w:rsid w:val="5F824661"/>
    <w:rsid w:val="5F93686E"/>
    <w:rsid w:val="5FAC3111"/>
    <w:rsid w:val="5FC51FC2"/>
    <w:rsid w:val="603B05A2"/>
    <w:rsid w:val="603B466F"/>
    <w:rsid w:val="605303FB"/>
    <w:rsid w:val="6070305D"/>
    <w:rsid w:val="60720577"/>
    <w:rsid w:val="60921F91"/>
    <w:rsid w:val="614D13CA"/>
    <w:rsid w:val="615764B7"/>
    <w:rsid w:val="615F5E74"/>
    <w:rsid w:val="61707879"/>
    <w:rsid w:val="619C5EAE"/>
    <w:rsid w:val="62214605"/>
    <w:rsid w:val="62783A56"/>
    <w:rsid w:val="62AA3548"/>
    <w:rsid w:val="62E754DB"/>
    <w:rsid w:val="63505382"/>
    <w:rsid w:val="63E70161"/>
    <w:rsid w:val="641E0DFC"/>
    <w:rsid w:val="642D55E5"/>
    <w:rsid w:val="64320F40"/>
    <w:rsid w:val="643C0CE2"/>
    <w:rsid w:val="643E3A8F"/>
    <w:rsid w:val="650153DC"/>
    <w:rsid w:val="651915C4"/>
    <w:rsid w:val="652E506F"/>
    <w:rsid w:val="65566528"/>
    <w:rsid w:val="65913850"/>
    <w:rsid w:val="659A011A"/>
    <w:rsid w:val="659B647C"/>
    <w:rsid w:val="65DA51F7"/>
    <w:rsid w:val="65DA5394"/>
    <w:rsid w:val="65EE6E39"/>
    <w:rsid w:val="660C5ECE"/>
    <w:rsid w:val="663C03C1"/>
    <w:rsid w:val="66811273"/>
    <w:rsid w:val="66C31E79"/>
    <w:rsid w:val="66E53E53"/>
    <w:rsid w:val="67185FD7"/>
    <w:rsid w:val="67717D90"/>
    <w:rsid w:val="67747AB8"/>
    <w:rsid w:val="6785407E"/>
    <w:rsid w:val="685E6478"/>
    <w:rsid w:val="686229AB"/>
    <w:rsid w:val="68EF4668"/>
    <w:rsid w:val="69302E1A"/>
    <w:rsid w:val="69364FD8"/>
    <w:rsid w:val="694A2693"/>
    <w:rsid w:val="69643755"/>
    <w:rsid w:val="697C7C9C"/>
    <w:rsid w:val="699D6C67"/>
    <w:rsid w:val="6A3824EC"/>
    <w:rsid w:val="6A3A6264"/>
    <w:rsid w:val="6A624B72"/>
    <w:rsid w:val="6AA81420"/>
    <w:rsid w:val="6AB04A26"/>
    <w:rsid w:val="6AF0758F"/>
    <w:rsid w:val="6AF93C38"/>
    <w:rsid w:val="6B28594A"/>
    <w:rsid w:val="6B3D425E"/>
    <w:rsid w:val="6B6B07C2"/>
    <w:rsid w:val="6B8F438D"/>
    <w:rsid w:val="6BA755D2"/>
    <w:rsid w:val="6BC947BB"/>
    <w:rsid w:val="6BFF2DE1"/>
    <w:rsid w:val="6C0E1756"/>
    <w:rsid w:val="6C4247CC"/>
    <w:rsid w:val="6C517307"/>
    <w:rsid w:val="6C606698"/>
    <w:rsid w:val="6CDB5DB4"/>
    <w:rsid w:val="6CEA1EDF"/>
    <w:rsid w:val="6D0F75C8"/>
    <w:rsid w:val="6D1F078B"/>
    <w:rsid w:val="6D4029C4"/>
    <w:rsid w:val="6D9B526C"/>
    <w:rsid w:val="6DB47563"/>
    <w:rsid w:val="6DBD764E"/>
    <w:rsid w:val="6DCB188A"/>
    <w:rsid w:val="6DFD5F26"/>
    <w:rsid w:val="6E2214E9"/>
    <w:rsid w:val="6E4E6782"/>
    <w:rsid w:val="6E565636"/>
    <w:rsid w:val="6E8563B9"/>
    <w:rsid w:val="6E9934A1"/>
    <w:rsid w:val="6EAD34A8"/>
    <w:rsid w:val="6EC40DFE"/>
    <w:rsid w:val="6F17084F"/>
    <w:rsid w:val="6F3B5E65"/>
    <w:rsid w:val="6F3F0452"/>
    <w:rsid w:val="6F4F630E"/>
    <w:rsid w:val="6F547DC8"/>
    <w:rsid w:val="6F5E54CB"/>
    <w:rsid w:val="6F610745"/>
    <w:rsid w:val="6F926B42"/>
    <w:rsid w:val="6FD675DE"/>
    <w:rsid w:val="701B368C"/>
    <w:rsid w:val="703917D0"/>
    <w:rsid w:val="704E3146"/>
    <w:rsid w:val="705810AB"/>
    <w:rsid w:val="70675DE3"/>
    <w:rsid w:val="70E9243E"/>
    <w:rsid w:val="70F03B20"/>
    <w:rsid w:val="71273AD8"/>
    <w:rsid w:val="71285068"/>
    <w:rsid w:val="7143743F"/>
    <w:rsid w:val="71557E27"/>
    <w:rsid w:val="717233C4"/>
    <w:rsid w:val="719C15B2"/>
    <w:rsid w:val="71DA3910"/>
    <w:rsid w:val="71F90300"/>
    <w:rsid w:val="72253C9E"/>
    <w:rsid w:val="72370D0B"/>
    <w:rsid w:val="726C5429"/>
    <w:rsid w:val="7282447F"/>
    <w:rsid w:val="72AC594A"/>
    <w:rsid w:val="72B64306"/>
    <w:rsid w:val="72C75AAA"/>
    <w:rsid w:val="72EB65D2"/>
    <w:rsid w:val="730601E1"/>
    <w:rsid w:val="7317587D"/>
    <w:rsid w:val="73502181"/>
    <w:rsid w:val="735623C8"/>
    <w:rsid w:val="7366631C"/>
    <w:rsid w:val="73995D32"/>
    <w:rsid w:val="740022CC"/>
    <w:rsid w:val="740A6CA7"/>
    <w:rsid w:val="742A3DEB"/>
    <w:rsid w:val="749A63B4"/>
    <w:rsid w:val="752E4C17"/>
    <w:rsid w:val="753205EE"/>
    <w:rsid w:val="75357D54"/>
    <w:rsid w:val="753F755F"/>
    <w:rsid w:val="75654BD9"/>
    <w:rsid w:val="758E02CF"/>
    <w:rsid w:val="763439C1"/>
    <w:rsid w:val="764C5FBF"/>
    <w:rsid w:val="764D5571"/>
    <w:rsid w:val="769A1D62"/>
    <w:rsid w:val="76F06113"/>
    <w:rsid w:val="770F024F"/>
    <w:rsid w:val="771166DA"/>
    <w:rsid w:val="771D6F35"/>
    <w:rsid w:val="778047FC"/>
    <w:rsid w:val="778356EE"/>
    <w:rsid w:val="778925D9"/>
    <w:rsid w:val="77A318EC"/>
    <w:rsid w:val="77B2090C"/>
    <w:rsid w:val="77D97A1B"/>
    <w:rsid w:val="77E31CE9"/>
    <w:rsid w:val="77F55523"/>
    <w:rsid w:val="77F87164"/>
    <w:rsid w:val="7836748D"/>
    <w:rsid w:val="78574485"/>
    <w:rsid w:val="78743289"/>
    <w:rsid w:val="78B0592F"/>
    <w:rsid w:val="78C53087"/>
    <w:rsid w:val="78EF5C5D"/>
    <w:rsid w:val="78FE2B52"/>
    <w:rsid w:val="793D6305"/>
    <w:rsid w:val="794157FA"/>
    <w:rsid w:val="795919F3"/>
    <w:rsid w:val="7985744E"/>
    <w:rsid w:val="7A0C6C81"/>
    <w:rsid w:val="7A0E7F9F"/>
    <w:rsid w:val="7A431165"/>
    <w:rsid w:val="7A5A200A"/>
    <w:rsid w:val="7A5D5C58"/>
    <w:rsid w:val="7A6335B5"/>
    <w:rsid w:val="7A70182E"/>
    <w:rsid w:val="7A9F2B27"/>
    <w:rsid w:val="7AAC729E"/>
    <w:rsid w:val="7B000E04"/>
    <w:rsid w:val="7B190B54"/>
    <w:rsid w:val="7B2D5FB5"/>
    <w:rsid w:val="7BBF5D15"/>
    <w:rsid w:val="7C376AA7"/>
    <w:rsid w:val="7C787354"/>
    <w:rsid w:val="7C831CEC"/>
    <w:rsid w:val="7CCE37B5"/>
    <w:rsid w:val="7D2A6445"/>
    <w:rsid w:val="7D2A660C"/>
    <w:rsid w:val="7D505A02"/>
    <w:rsid w:val="7D810A5C"/>
    <w:rsid w:val="7DD3164E"/>
    <w:rsid w:val="7E357016"/>
    <w:rsid w:val="7E372D8F"/>
    <w:rsid w:val="7E480AE5"/>
    <w:rsid w:val="7E492B99"/>
    <w:rsid w:val="7E5F0A07"/>
    <w:rsid w:val="7E705C9C"/>
    <w:rsid w:val="7E9975A5"/>
    <w:rsid w:val="7EB3201F"/>
    <w:rsid w:val="7ED95A43"/>
    <w:rsid w:val="7F3861DF"/>
    <w:rsid w:val="7F6573DA"/>
    <w:rsid w:val="7FB778F4"/>
    <w:rsid w:val="7FCE3A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rPr>
      <w:rFonts w:ascii="Times New Roman" w:hAnsi="Times New Roman" w:eastAsia="宋体" w:cs="Times New Roman"/>
      <w:kern w:val="0"/>
      <w:sz w:val="20"/>
      <w:szCs w:val="20"/>
      <w:lang w:val="en-US" w:eastAsia="zh-CN" w:bidi="ar-SA"/>
    </w:rPr>
  </w:style>
  <w:style w:type="paragraph" w:styleId="2">
    <w:name w:val="heading 3"/>
    <w:basedOn w:val="1"/>
    <w:next w:val="1"/>
    <w:autoRedefine/>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3">
    <w:name w:val="heading 5"/>
    <w:basedOn w:val="1"/>
    <w:next w:val="1"/>
    <w:link w:val="22"/>
    <w:autoRedefine/>
    <w:qFormat/>
    <w:uiPriority w:val="9"/>
    <w:pPr>
      <w:keepNext/>
      <w:keepLines/>
      <w:widowControl w:val="0"/>
      <w:spacing w:before="60" w:after="60"/>
      <w:jc w:val="both"/>
      <w:outlineLvl w:val="4"/>
    </w:pPr>
    <w:rPr>
      <w:rFonts w:ascii="Calibri" w:hAnsi="Calibri" w:cs="Times New Roman"/>
      <w:b/>
      <w:bCs/>
      <w:kern w:val="2"/>
      <w:szCs w:val="28"/>
    </w:rPr>
  </w:style>
  <w:style w:type="character" w:default="1" w:styleId="13">
    <w:name w:val="Default Paragraph Font"/>
    <w:autoRedefine/>
    <w:semiHidden/>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autoRedefine/>
    <w:semiHidden/>
    <w:unhideWhenUsed/>
    <w:qFormat/>
    <w:uiPriority w:val="99"/>
    <w:pPr>
      <w:jc w:val="left"/>
    </w:pPr>
  </w:style>
  <w:style w:type="paragraph" w:styleId="5">
    <w:name w:val="Plain Text"/>
    <w:basedOn w:val="1"/>
    <w:autoRedefine/>
    <w:unhideWhenUsed/>
    <w:qFormat/>
    <w:uiPriority w:val="99"/>
    <w:rPr>
      <w:rFonts w:ascii="宋体" w:hAnsi="Courier New" w:eastAsia="宋体" w:cs="Courier New"/>
      <w:szCs w:val="21"/>
    </w:rPr>
  </w:style>
  <w:style w:type="paragraph" w:styleId="6">
    <w:name w:val="footer"/>
    <w:basedOn w:val="1"/>
    <w:autoRedefine/>
    <w:unhideWhenUsed/>
    <w:qFormat/>
    <w:uiPriority w:val="99"/>
    <w:pPr>
      <w:tabs>
        <w:tab w:val="center" w:pos="4153"/>
        <w:tab w:val="right" w:pos="8306"/>
      </w:tabs>
      <w:snapToGrid w:val="0"/>
      <w:spacing w:line="240" w:lineRule="auto"/>
    </w:pPr>
    <w:rPr>
      <w:sz w:val="18"/>
      <w:szCs w:val="18"/>
    </w:rPr>
  </w:style>
  <w:style w:type="paragraph" w:styleId="7">
    <w:name w:val="header"/>
    <w:basedOn w:val="1"/>
    <w:autoRedefine/>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8">
    <w:name w:val="List"/>
    <w:basedOn w:val="1"/>
    <w:autoRedefine/>
    <w:qFormat/>
    <w:uiPriority w:val="0"/>
  </w:style>
  <w:style w:type="paragraph" w:styleId="9">
    <w:name w:val="HTML Preformatted"/>
    <w:basedOn w:val="1"/>
    <w:link w:val="20"/>
    <w:autoRedefine/>
    <w:qFormat/>
    <w:uiPriority w:val="0"/>
    <w:rPr>
      <w:rFonts w:ascii="Courier New" w:hAnsi="Courier New" w:cs="Courier New"/>
    </w:rPr>
  </w:style>
  <w:style w:type="paragraph" w:styleId="10">
    <w:name w:val="Normal (Web)"/>
    <w:basedOn w:val="1"/>
    <w:autoRedefine/>
    <w:qFormat/>
    <w:uiPriority w:val="0"/>
    <w:pPr>
      <w:spacing w:before="0" w:beforeAutospacing="1" w:after="0" w:afterAutospacing="1"/>
      <w:ind w:left="0" w:right="0"/>
      <w:jc w:val="left"/>
    </w:pPr>
    <w:rPr>
      <w:kern w:val="0"/>
      <w:sz w:val="24"/>
      <w:lang w:val="en-US" w:eastAsia="zh-CN" w:bidi="ar"/>
    </w:rPr>
  </w:style>
  <w:style w:type="table" w:styleId="12">
    <w:name w:val="Table Grid"/>
    <w:basedOn w:val="11"/>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autoRedefine/>
    <w:qFormat/>
    <w:uiPriority w:val="22"/>
    <w:rPr>
      <w:b/>
    </w:rPr>
  </w:style>
  <w:style w:type="character" w:styleId="15">
    <w:name w:val="Emphasis"/>
    <w:basedOn w:val="13"/>
    <w:autoRedefine/>
    <w:qFormat/>
    <w:uiPriority w:val="20"/>
    <w:rPr>
      <w:i/>
    </w:rPr>
  </w:style>
  <w:style w:type="character" w:styleId="16">
    <w:name w:val="Hyperlink"/>
    <w:basedOn w:val="13"/>
    <w:autoRedefine/>
    <w:semiHidden/>
    <w:unhideWhenUsed/>
    <w:qFormat/>
    <w:uiPriority w:val="99"/>
    <w:rPr>
      <w:color w:val="0000FF"/>
      <w:u w:val="single"/>
    </w:rPr>
  </w:style>
  <w:style w:type="paragraph" w:customStyle="1" w:styleId="17">
    <w:name w:val="BodyText1I2"/>
    <w:basedOn w:val="18"/>
    <w:autoRedefine/>
    <w:qFormat/>
    <w:uiPriority w:val="0"/>
    <w:pPr>
      <w:spacing w:after="0"/>
      <w:ind w:firstLine="200" w:firstLineChars="200"/>
    </w:pPr>
    <w:rPr>
      <w:rFonts w:ascii="Calibri" w:hAnsi="Calibri"/>
    </w:rPr>
  </w:style>
  <w:style w:type="paragraph" w:customStyle="1" w:styleId="18">
    <w:name w:val="BodyTextIndent"/>
    <w:basedOn w:val="1"/>
    <w:next w:val="19"/>
    <w:autoRedefine/>
    <w:qFormat/>
    <w:uiPriority w:val="0"/>
    <w:pPr>
      <w:spacing w:after="120"/>
      <w:ind w:left="200" w:leftChars="200"/>
      <w:textAlignment w:val="baseline"/>
    </w:pPr>
    <w:rPr>
      <w:rFonts w:ascii="Times New Roman" w:hAnsi="Times New Roman"/>
      <w:szCs w:val="24"/>
    </w:rPr>
  </w:style>
  <w:style w:type="paragraph" w:customStyle="1" w:styleId="19">
    <w:name w:val="NormalIndent"/>
    <w:basedOn w:val="1"/>
    <w:autoRedefine/>
    <w:qFormat/>
    <w:uiPriority w:val="0"/>
    <w:pPr>
      <w:ind w:firstLine="200" w:firstLineChars="200"/>
      <w:textAlignment w:val="baseline"/>
    </w:pPr>
    <w:rPr>
      <w:rFonts w:ascii="Times New Roman" w:hAnsi="Times New Roman" w:eastAsia="仿宋"/>
      <w:sz w:val="32"/>
      <w:szCs w:val="24"/>
    </w:rPr>
  </w:style>
  <w:style w:type="character" w:customStyle="1" w:styleId="20">
    <w:name w:val="HTML 预设格式 字符"/>
    <w:basedOn w:val="13"/>
    <w:link w:val="9"/>
    <w:autoRedefine/>
    <w:qFormat/>
    <w:uiPriority w:val="0"/>
    <w:rPr>
      <w:rFonts w:ascii="Courier New" w:hAnsi="Courier New" w:eastAsia="宋体" w:cs="Courier New"/>
      <w:kern w:val="0"/>
      <w:sz w:val="20"/>
      <w:szCs w:val="20"/>
    </w:rPr>
  </w:style>
  <w:style w:type="paragraph" w:styleId="21">
    <w:name w:val="List Paragraph"/>
    <w:basedOn w:val="1"/>
    <w:autoRedefine/>
    <w:qFormat/>
    <w:uiPriority w:val="99"/>
    <w:pPr>
      <w:ind w:firstLine="420" w:firstLineChars="200"/>
    </w:pPr>
  </w:style>
  <w:style w:type="character" w:customStyle="1" w:styleId="22">
    <w:name w:val="标题 5 字符"/>
    <w:basedOn w:val="13"/>
    <w:link w:val="3"/>
    <w:autoRedefine/>
    <w:qFormat/>
    <w:uiPriority w:val="9"/>
    <w:rPr>
      <w:rFonts w:ascii="Calibri" w:hAnsi="Calibri" w:cs="Times New Roman"/>
      <w:b/>
      <w:bCs/>
      <w:kern w:val="2"/>
      <w:szCs w:val="28"/>
    </w:rPr>
  </w:style>
  <w:style w:type="paragraph" w:customStyle="1" w:styleId="23">
    <w:name w:val="_Style 6"/>
    <w:basedOn w:val="1"/>
    <w:autoRedefine/>
    <w:qFormat/>
    <w:uiPriority w:val="34"/>
    <w:pPr>
      <w:ind w:firstLine="420" w:firstLineChars="200"/>
    </w:pPr>
    <w:rPr>
      <w:rFonts w:ascii="Calibri" w:hAnsi="Calibri" w:eastAsia="宋体" w:cs="Times New Roman"/>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2484</Words>
  <Characters>2562</Characters>
  <Lines>1</Lines>
  <Paragraphs>1</Paragraphs>
  <TotalTime>279</TotalTime>
  <ScaleCrop>false</ScaleCrop>
  <LinksUpToDate>false</LinksUpToDate>
  <CharactersWithSpaces>2666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2022-06-02T04:28:00Z</dcterms:created>
  <dc:creator>段莉雯</dc:creator>
  <cp:lastModifiedBy>daqo-杨呈杰</cp:lastModifiedBy>
  <dcterms:modified xsi:type="dcterms:W3CDTF">2026-07-03T03:52:21Z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C14B036D9F204D92ACF1914212FB7572_13</vt:lpwstr>
  </property>
  <property fmtid="{D5CDD505-2E9C-101B-9397-08002B2CF9AE}" pid="4" name="KSOTemplateDocerSaveRecord">
    <vt:lpwstr>eyJoZGlkIjoiMzEwNTM5NzYwMDRjMzkwZTVkZjY2ODkwMGIxNGU0OTUiLCJ1c2VySWQiOiIzNzYxNTQ1ODYifQ==</vt:lpwstr>
  </property>
</Properties>
</file>