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9F80B">
      <w:pPr>
        <w:pStyle w:val="2"/>
        <w:rPr>
          <w:rFonts w:ascii="Times New Roman" w:hAnsi="Times New Roman" w:eastAsia="宋体" w:cs="Times New Roman"/>
          <w:sz w:val="24"/>
          <w:szCs w:val="24"/>
          <w:lang w:val="en-US"/>
        </w:rPr>
      </w:pPr>
      <w:r>
        <w:rPr>
          <w:rFonts w:ascii="Times New Roman" w:hAnsi="Times New Roman" w:eastAsia="宋体" w:cs="Times New Roman"/>
          <w:sz w:val="24"/>
          <w:szCs w:val="24"/>
          <w:lang w:val="en-US"/>
        </w:rPr>
        <w:t>证券代码：688281                                  证券简称：华秦科技</w:t>
      </w:r>
    </w:p>
    <w:p w14:paraId="30A23CDD">
      <w:pPr>
        <w:rPr>
          <w:lang w:val="en-US"/>
        </w:rPr>
      </w:pPr>
    </w:p>
    <w:p w14:paraId="2EDE651E">
      <w:pPr>
        <w:spacing w:before="120" w:beforeLines="50" w:line="360" w:lineRule="auto"/>
        <w:jc w:val="center"/>
        <w:rPr>
          <w:rFonts w:ascii="Times New Roman" w:hAnsi="Times New Roman" w:eastAsia="黑体" w:cs="Times New Roman"/>
          <w:b/>
          <w:bCs/>
          <w:sz w:val="30"/>
          <w:szCs w:val="30"/>
        </w:rPr>
      </w:pPr>
      <w:r>
        <w:rPr>
          <w:rFonts w:ascii="Times New Roman" w:hAnsi="Times New Roman" w:eastAsia="黑体" w:cs="Times New Roman"/>
          <w:b/>
          <w:bCs/>
          <w:sz w:val="30"/>
          <w:szCs w:val="30"/>
        </w:rPr>
        <w:t>陕西华秦科技实业股份有限公司</w:t>
      </w:r>
    </w:p>
    <w:p w14:paraId="5929C0CF">
      <w:pPr>
        <w:spacing w:line="360" w:lineRule="auto"/>
        <w:jc w:val="center"/>
        <w:rPr>
          <w:rFonts w:ascii="Times New Roman" w:hAnsi="Times New Roman" w:eastAsia="黑体" w:cs="Times New Roman"/>
          <w:sz w:val="30"/>
          <w:szCs w:val="30"/>
        </w:rPr>
      </w:pPr>
      <w:r>
        <w:rPr>
          <w:rFonts w:ascii="Times New Roman" w:hAnsi="Times New Roman" w:eastAsia="黑体" w:cs="Times New Roman"/>
          <w:b/>
          <w:bCs/>
          <w:sz w:val="30"/>
          <w:szCs w:val="30"/>
        </w:rPr>
        <w:t>投资者关系活动记录表</w:t>
      </w:r>
    </w:p>
    <w:p w14:paraId="2DB766D7">
      <w:pPr>
        <w:spacing w:before="51" w:after="32"/>
        <w:ind w:right="619"/>
        <w:jc w:val="right"/>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rPr>
        <w:t>编号：</w:t>
      </w:r>
      <w:r>
        <w:rPr>
          <w:rFonts w:ascii="Times New Roman" w:hAnsi="Times New Roman" w:cs="Times New Roman" w:eastAsiaTheme="minorEastAsia"/>
          <w:sz w:val="24"/>
          <w:szCs w:val="24"/>
          <w:lang w:val="en-US"/>
        </w:rPr>
        <w:t>2026</w:t>
      </w:r>
      <w:r>
        <w:rPr>
          <w:rFonts w:ascii="Times New Roman" w:hAnsi="Times New Roman" w:cs="Times New Roman" w:eastAsiaTheme="minorEastAsia"/>
          <w:sz w:val="24"/>
          <w:szCs w:val="24"/>
        </w:rPr>
        <w:t>-0</w:t>
      </w:r>
      <w:r>
        <w:rPr>
          <w:rFonts w:hint="eastAsia" w:ascii="Times New Roman" w:hAnsi="Times New Roman" w:cs="Times New Roman" w:eastAsiaTheme="minorEastAsia"/>
          <w:sz w:val="24"/>
          <w:szCs w:val="24"/>
          <w:lang w:val="en-US"/>
        </w:rPr>
        <w:t>11</w:t>
      </w:r>
    </w:p>
    <w:tbl>
      <w:tblPr>
        <w:tblStyle w:val="9"/>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1696"/>
        <w:gridCol w:w="6829"/>
      </w:tblGrid>
      <w:tr w14:paraId="231D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1696" w:type="dxa"/>
            <w:vAlign w:val="center"/>
          </w:tcPr>
          <w:p w14:paraId="2CDB7842">
            <w:pPr>
              <w:pStyle w:val="12"/>
              <w:spacing w:before="120" w:beforeLines="50" w:after="120" w:afterLines="50" w:line="360" w:lineRule="auto"/>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投资者关系活动类别</w:t>
            </w:r>
          </w:p>
        </w:tc>
        <w:tc>
          <w:tcPr>
            <w:tcW w:w="6829" w:type="dxa"/>
            <w:vAlign w:val="center"/>
          </w:tcPr>
          <w:p w14:paraId="2A53FC26">
            <w:pPr>
              <w:pStyle w:val="12"/>
              <w:tabs>
                <w:tab w:val="left" w:pos="2418"/>
              </w:tabs>
              <w:spacing w:before="240" w:beforeLines="100" w:after="120" w:afterLines="50" w:line="360" w:lineRule="auto"/>
              <w:ind w:left="108"/>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249780449"/>
                <w14:checkbox>
                  <w14:checked w14:val="1"/>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Times New Roman" w:hAnsi="Times New Roman" w:cs="Times New Roman" w:eastAsiaTheme="minorEastAsia"/>
                    <w:sz w:val="24"/>
                    <w:szCs w:val="24"/>
                  </w:rPr>
                  <w:sym w:font="Wingdings 2" w:char="F052"/>
                </w:r>
              </w:sdtContent>
            </w:sdt>
            <w:r>
              <w:rPr>
                <w:rFonts w:ascii="Times New Roman" w:hAnsi="Times New Roman" w:cs="Times New Roman" w:eastAsiaTheme="minorEastAsia"/>
                <w:sz w:val="24"/>
                <w:szCs w:val="24"/>
              </w:rPr>
              <w:t>特</w:t>
            </w:r>
            <w:r>
              <w:rPr>
                <w:rFonts w:ascii="Times New Roman" w:hAnsi="Times New Roman" w:cs="Times New Roman" w:eastAsiaTheme="minorEastAsia"/>
                <w:spacing w:val="-3"/>
                <w:sz w:val="24"/>
                <w:szCs w:val="24"/>
              </w:rPr>
              <w:t>定</w:t>
            </w:r>
            <w:r>
              <w:rPr>
                <w:rFonts w:ascii="Times New Roman" w:hAnsi="Times New Roman" w:cs="Times New Roman" w:eastAsiaTheme="minorEastAsia"/>
                <w:sz w:val="24"/>
                <w:szCs w:val="24"/>
              </w:rPr>
              <w:t>对</w:t>
            </w:r>
            <w:r>
              <w:rPr>
                <w:rFonts w:ascii="Times New Roman" w:hAnsi="Times New Roman" w:cs="Times New Roman" w:eastAsiaTheme="minorEastAsia"/>
                <w:spacing w:val="-3"/>
                <w:sz w:val="24"/>
                <w:szCs w:val="24"/>
              </w:rPr>
              <w:t>象</w:t>
            </w:r>
            <w:r>
              <w:rPr>
                <w:rFonts w:ascii="Times New Roman" w:hAnsi="Times New Roman" w:cs="Times New Roman" w:eastAsiaTheme="minorEastAsia"/>
                <w:sz w:val="24"/>
                <w:szCs w:val="24"/>
              </w:rPr>
              <w:t>调研</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6875725"/>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hint="eastAsia" w:ascii="MS Gothic" w:hAnsi="MS Gothic" w:eastAsia="MS Gothic" w:cs="Times New Roman"/>
                    <w:sz w:val="24"/>
                    <w:szCs w:val="24"/>
                  </w:rPr>
                  <w:t>☐</w:t>
                </w:r>
              </w:sdtContent>
            </w:sdt>
            <w:r>
              <w:rPr>
                <w:rFonts w:ascii="Times New Roman" w:hAnsi="Times New Roman" w:cs="Times New Roman" w:eastAsiaTheme="minorEastAsia"/>
                <w:sz w:val="24"/>
                <w:szCs w:val="24"/>
              </w:rPr>
              <w:t>分</w:t>
            </w:r>
            <w:r>
              <w:rPr>
                <w:rFonts w:ascii="Times New Roman" w:hAnsi="Times New Roman" w:cs="Times New Roman" w:eastAsiaTheme="minorEastAsia"/>
                <w:spacing w:val="-3"/>
                <w:sz w:val="24"/>
                <w:szCs w:val="24"/>
              </w:rPr>
              <w:t>析</w:t>
            </w:r>
            <w:r>
              <w:rPr>
                <w:rFonts w:ascii="Times New Roman" w:hAnsi="Times New Roman" w:cs="Times New Roman" w:eastAsiaTheme="minorEastAsia"/>
                <w:sz w:val="24"/>
                <w:szCs w:val="24"/>
              </w:rPr>
              <w:t>师</w:t>
            </w:r>
            <w:r>
              <w:rPr>
                <w:rFonts w:ascii="Times New Roman" w:hAnsi="Times New Roman" w:cs="Times New Roman" w:eastAsiaTheme="minorEastAsia"/>
                <w:spacing w:val="-3"/>
                <w:sz w:val="24"/>
                <w:szCs w:val="24"/>
              </w:rPr>
              <w:t>会</w:t>
            </w:r>
            <w:r>
              <w:rPr>
                <w:rFonts w:ascii="Times New Roman" w:hAnsi="Times New Roman" w:cs="Times New Roman" w:eastAsiaTheme="minorEastAsia"/>
                <w:sz w:val="24"/>
                <w:szCs w:val="24"/>
              </w:rPr>
              <w:t>议</w:t>
            </w:r>
          </w:p>
          <w:p w14:paraId="5D4328F7">
            <w:pPr>
              <w:pStyle w:val="12"/>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20690601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媒</w:t>
            </w:r>
            <w:r>
              <w:rPr>
                <w:rFonts w:ascii="Times New Roman" w:hAnsi="Times New Roman" w:cs="Times New Roman" w:eastAsiaTheme="minorEastAsia"/>
                <w:spacing w:val="-3"/>
                <w:sz w:val="24"/>
                <w:szCs w:val="24"/>
              </w:rPr>
              <w:t>体</w:t>
            </w:r>
            <w:r>
              <w:rPr>
                <w:rFonts w:ascii="Times New Roman" w:hAnsi="Times New Roman" w:cs="Times New Roman" w:eastAsiaTheme="minorEastAsia"/>
                <w:sz w:val="24"/>
                <w:szCs w:val="24"/>
              </w:rPr>
              <w:t>采访</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6665890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hint="eastAsia" w:ascii="MS Gothic" w:hAnsi="MS Gothic" w:eastAsia="MS Gothic" w:cs="Times New Roman"/>
                    <w:sz w:val="24"/>
                    <w:szCs w:val="24"/>
                  </w:rPr>
                  <w:t>☐</w:t>
                </w:r>
              </w:sdtContent>
            </w:sdt>
            <w:r>
              <w:rPr>
                <w:rFonts w:ascii="Times New Roman" w:hAnsi="Times New Roman" w:cs="Times New Roman" w:eastAsiaTheme="minorEastAsia"/>
                <w:sz w:val="24"/>
                <w:szCs w:val="24"/>
              </w:rPr>
              <w:t>业</w:t>
            </w:r>
            <w:r>
              <w:rPr>
                <w:rFonts w:ascii="Times New Roman" w:hAnsi="Times New Roman" w:cs="Times New Roman" w:eastAsiaTheme="minorEastAsia"/>
                <w:spacing w:val="-3"/>
                <w:sz w:val="24"/>
                <w:szCs w:val="24"/>
              </w:rPr>
              <w:t>绩</w:t>
            </w:r>
            <w:r>
              <w:rPr>
                <w:rFonts w:ascii="Times New Roman" w:hAnsi="Times New Roman" w:cs="Times New Roman" w:eastAsiaTheme="minorEastAsia"/>
                <w:sz w:val="24"/>
                <w:szCs w:val="24"/>
              </w:rPr>
              <w:t>说</w:t>
            </w:r>
            <w:r>
              <w:rPr>
                <w:rFonts w:ascii="Times New Roman" w:hAnsi="Times New Roman" w:cs="Times New Roman" w:eastAsiaTheme="minorEastAsia"/>
                <w:spacing w:val="-3"/>
                <w:sz w:val="24"/>
                <w:szCs w:val="24"/>
              </w:rPr>
              <w:t>明</w:t>
            </w:r>
            <w:r>
              <w:rPr>
                <w:rFonts w:ascii="Times New Roman" w:hAnsi="Times New Roman" w:cs="Times New Roman" w:eastAsiaTheme="minorEastAsia"/>
                <w:sz w:val="24"/>
                <w:szCs w:val="24"/>
              </w:rPr>
              <w:t>会</w:t>
            </w:r>
          </w:p>
          <w:p w14:paraId="16238505">
            <w:pPr>
              <w:pStyle w:val="12"/>
              <w:tabs>
                <w:tab w:val="left" w:pos="2418"/>
              </w:tabs>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848167434"/>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新</w:t>
            </w:r>
            <w:r>
              <w:rPr>
                <w:rFonts w:ascii="Times New Roman" w:hAnsi="Times New Roman" w:cs="Times New Roman" w:eastAsiaTheme="minorEastAsia"/>
                <w:spacing w:val="-3"/>
                <w:sz w:val="24"/>
                <w:szCs w:val="24"/>
              </w:rPr>
              <w:t>闻</w:t>
            </w:r>
            <w:r>
              <w:rPr>
                <w:rFonts w:ascii="Times New Roman" w:hAnsi="Times New Roman" w:cs="Times New Roman" w:eastAsiaTheme="minorEastAsia"/>
                <w:sz w:val="24"/>
                <w:szCs w:val="24"/>
              </w:rPr>
              <w:t>发</w:t>
            </w:r>
            <w:r>
              <w:rPr>
                <w:rFonts w:ascii="Times New Roman" w:hAnsi="Times New Roman" w:cs="Times New Roman" w:eastAsiaTheme="minorEastAsia"/>
                <w:spacing w:val="-3"/>
                <w:sz w:val="24"/>
                <w:szCs w:val="24"/>
              </w:rPr>
              <w:t>布</w:t>
            </w:r>
            <w:r>
              <w:rPr>
                <w:rFonts w:ascii="Times New Roman" w:hAnsi="Times New Roman" w:cs="Times New Roman" w:eastAsiaTheme="minorEastAsia"/>
                <w:sz w:val="24"/>
                <w:szCs w:val="24"/>
              </w:rPr>
              <w:t>会</w:t>
            </w:r>
            <w:r>
              <w:rPr>
                <w:rFonts w:ascii="Times New Roman" w:hAnsi="Times New Roman" w:cs="Times New Roman" w:eastAsiaTheme="minorEastAsia"/>
                <w:sz w:val="24"/>
                <w:szCs w:val="24"/>
              </w:rPr>
              <w:tab/>
            </w:r>
            <w:sdt>
              <w:sdtPr>
                <w:rPr>
                  <w:rFonts w:ascii="Times New Roman" w:hAnsi="Times New Roman" w:cs="Times New Roman" w:eastAsiaTheme="minorEastAsia"/>
                  <w:sz w:val="24"/>
                  <w:szCs w:val="24"/>
                </w:rPr>
                <w:id w:val="41204969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cs="Segoe UI Symbol" w:eastAsiaTheme="minorEastAsia"/>
                    <w:sz w:val="24"/>
                    <w:szCs w:val="24"/>
                  </w:rPr>
                  <w:t>☐</w:t>
                </w:r>
              </w:sdtContent>
            </w:sdt>
            <w:r>
              <w:rPr>
                <w:rFonts w:ascii="Times New Roman" w:hAnsi="Times New Roman" w:cs="Times New Roman" w:eastAsiaTheme="minorEastAsia"/>
                <w:sz w:val="24"/>
                <w:szCs w:val="24"/>
              </w:rPr>
              <w:t>路</w:t>
            </w:r>
            <w:r>
              <w:rPr>
                <w:rFonts w:ascii="Times New Roman" w:hAnsi="Times New Roman" w:cs="Times New Roman" w:eastAsiaTheme="minorEastAsia"/>
                <w:spacing w:val="-3"/>
                <w:sz w:val="24"/>
                <w:szCs w:val="24"/>
              </w:rPr>
              <w:t>演</w:t>
            </w:r>
            <w:r>
              <w:rPr>
                <w:rFonts w:ascii="Times New Roman" w:hAnsi="Times New Roman" w:cs="Times New Roman" w:eastAsiaTheme="minorEastAsia"/>
                <w:sz w:val="24"/>
                <w:szCs w:val="24"/>
              </w:rPr>
              <w:t>活动</w:t>
            </w:r>
          </w:p>
          <w:p w14:paraId="6BFFC255">
            <w:pPr>
              <w:pStyle w:val="12"/>
              <w:spacing w:before="120" w:beforeLines="50" w:after="120" w:afterLines="50" w:line="360" w:lineRule="auto"/>
              <w:ind w:left="107"/>
              <w:rPr>
                <w:rFonts w:ascii="Times New Roman" w:hAnsi="Times New Roman" w:cs="Times New Roman" w:eastAsiaTheme="minorEastAsia"/>
                <w:sz w:val="24"/>
                <w:szCs w:val="24"/>
              </w:rPr>
            </w:pPr>
            <w:sdt>
              <w:sdtPr>
                <w:rPr>
                  <w:rFonts w:ascii="Times New Roman" w:hAnsi="Times New Roman" w:cs="Times New Roman" w:eastAsiaTheme="minorEastAsia"/>
                  <w:sz w:val="24"/>
                  <w:szCs w:val="24"/>
                </w:rPr>
                <w:id w:val="-1333366911"/>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ascii="Segoe UI Symbol" w:hAnsi="Segoe UI Symbol" w:eastAsia="MS Gothic" w:cs="Segoe UI Symbol"/>
                    <w:sz w:val="24"/>
                    <w:szCs w:val="24"/>
                  </w:rPr>
                  <w:t>☐</w:t>
                </w:r>
              </w:sdtContent>
            </w:sdt>
            <w:r>
              <w:rPr>
                <w:rFonts w:ascii="Times New Roman" w:hAnsi="Times New Roman" w:cs="Times New Roman" w:eastAsiaTheme="minorEastAsia"/>
                <w:sz w:val="24"/>
                <w:szCs w:val="24"/>
              </w:rPr>
              <w:t>现场参观</w:t>
            </w:r>
            <w:r>
              <w:rPr>
                <w:rFonts w:hint="eastAsia"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t xml:space="preserve">         </w:t>
            </w:r>
            <w:sdt>
              <w:sdtPr>
                <w:rPr>
                  <w:rFonts w:ascii="Times New Roman" w:hAnsi="Times New Roman" w:cs="Times New Roman" w:eastAsiaTheme="minorEastAsia"/>
                  <w:sz w:val="24"/>
                  <w:szCs w:val="24"/>
                </w:rPr>
                <w:id w:val="400885218"/>
                <w14:checkbox>
                  <w14:checked w14:val="0"/>
                  <w14:checkedState w14:val="0052" w14:font="Wingdings 2"/>
                  <w14:uncheckedState w14:val="2610" w14:font="MS Gothic"/>
                </w14:checkbox>
              </w:sdtPr>
              <w:sdtEndPr>
                <w:rPr>
                  <w:rFonts w:ascii="Times New Roman" w:hAnsi="Times New Roman" w:cs="Times New Roman" w:eastAsiaTheme="minorEastAsia"/>
                  <w:sz w:val="24"/>
                  <w:szCs w:val="24"/>
                </w:rPr>
              </w:sdtEndPr>
              <w:sdtContent>
                <w:r>
                  <w:rPr>
                    <w:rFonts w:hint="eastAsia" w:ascii="MS Gothic" w:hAnsi="MS Gothic" w:eastAsia="MS Gothic" w:cs="Times New Roman"/>
                    <w:sz w:val="24"/>
                    <w:szCs w:val="24"/>
                  </w:rPr>
                  <w:t>☐</w:t>
                </w:r>
              </w:sdtContent>
            </w:sdt>
            <w:r>
              <w:rPr>
                <w:rFonts w:ascii="Times New Roman" w:hAnsi="Times New Roman" w:cs="Times New Roman" w:eastAsiaTheme="minorEastAsia"/>
                <w:sz w:val="24"/>
                <w:szCs w:val="24"/>
              </w:rPr>
              <w:t>其他（</w:t>
            </w:r>
            <w:r>
              <w:rPr>
                <w:rFonts w:hint="eastAsia" w:ascii="Times New Roman" w:hAnsi="Times New Roman" w:cs="Times New Roman" w:eastAsiaTheme="minorEastAsia"/>
                <w:sz w:val="24"/>
                <w:szCs w:val="24"/>
                <w:u w:val="single"/>
              </w:rPr>
              <w:t>请文字说明其他活动内容</w:t>
            </w:r>
            <w:r>
              <w:rPr>
                <w:rFonts w:ascii="Times New Roman" w:hAnsi="Times New Roman" w:cs="Times New Roman" w:eastAsiaTheme="minorEastAsia"/>
                <w:sz w:val="24"/>
                <w:szCs w:val="24"/>
                <w:u w:val="single"/>
              </w:rPr>
              <w:t>）</w:t>
            </w:r>
          </w:p>
        </w:tc>
      </w:tr>
      <w:tr w14:paraId="6613C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26" w:hRule="atLeast"/>
          <w:jc w:val="center"/>
        </w:trPr>
        <w:tc>
          <w:tcPr>
            <w:tcW w:w="1696" w:type="dxa"/>
            <w:vAlign w:val="center"/>
          </w:tcPr>
          <w:p w14:paraId="67840AC9">
            <w:pPr>
              <w:pStyle w:val="12"/>
              <w:spacing w:before="120" w:beforeLines="50" w:after="120" w:afterLines="50"/>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参与单位名称</w:t>
            </w:r>
          </w:p>
        </w:tc>
        <w:tc>
          <w:tcPr>
            <w:tcW w:w="6829" w:type="dxa"/>
            <w:vAlign w:val="center"/>
          </w:tcPr>
          <w:p w14:paraId="513E70EB">
            <w:pPr>
              <w:pStyle w:val="12"/>
              <w:spacing w:before="120" w:beforeLines="50" w:after="120" w:afterLines="50"/>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华源证券股份有限公司、华夏基金、祈安资本、长江证券股份有限公司、泓德基金、朱雀基金、国投瑞银、百年资管、建信养老、中航基金、银河自营、汇添富基金、诚通基金</w:t>
            </w:r>
          </w:p>
        </w:tc>
      </w:tr>
      <w:tr w14:paraId="7F964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479F45E2">
            <w:pPr>
              <w:pStyle w:val="12"/>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时间</w:t>
            </w:r>
          </w:p>
        </w:tc>
        <w:tc>
          <w:tcPr>
            <w:tcW w:w="6829" w:type="dxa"/>
            <w:vAlign w:val="center"/>
          </w:tcPr>
          <w:p w14:paraId="1D487FBD">
            <w:pPr>
              <w:spacing w:before="120" w:beforeLines="50" w:after="120" w:afterLines="50"/>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rPr>
              <w:t>2026年</w:t>
            </w:r>
            <w:r>
              <w:rPr>
                <w:rFonts w:hint="eastAsia" w:ascii="Times New Roman" w:hAnsi="Times New Roman" w:cs="Times New Roman" w:eastAsiaTheme="minorEastAsia"/>
                <w:sz w:val="24"/>
                <w:szCs w:val="24"/>
                <w:lang w:val="en-US"/>
              </w:rPr>
              <w:t>7</w:t>
            </w:r>
            <w:r>
              <w:rPr>
                <w:rFonts w:hint="eastAsia" w:ascii="Times New Roman" w:hAnsi="Times New Roman" w:cs="Times New Roman" w:eastAsiaTheme="minorEastAsia"/>
                <w:sz w:val="24"/>
                <w:szCs w:val="24"/>
              </w:rPr>
              <w:t>月</w:t>
            </w:r>
            <w:r>
              <w:rPr>
                <w:rFonts w:ascii="Times New Roman" w:hAnsi="Times New Roman" w:cs="Times New Roman" w:eastAsiaTheme="minorEastAsia"/>
                <w:sz w:val="24"/>
                <w:szCs w:val="24"/>
                <w:lang w:val="en-US"/>
              </w:rPr>
              <w:t>6</w:t>
            </w:r>
            <w:r>
              <w:rPr>
                <w:rFonts w:hint="eastAsia" w:ascii="Times New Roman" w:hAnsi="Times New Roman" w:cs="Times New Roman" w:eastAsiaTheme="minorEastAsia"/>
                <w:sz w:val="24"/>
                <w:szCs w:val="24"/>
              </w:rPr>
              <w:t>日-7月</w:t>
            </w:r>
            <w:r>
              <w:rPr>
                <w:rFonts w:hint="eastAsia" w:ascii="Times New Roman" w:hAnsi="Times New Roman" w:cs="Times New Roman" w:eastAsiaTheme="minorEastAsia"/>
                <w:sz w:val="24"/>
                <w:szCs w:val="24"/>
                <w:lang w:val="en-US"/>
              </w:rPr>
              <w:t>10</w:t>
            </w:r>
            <w:r>
              <w:rPr>
                <w:rFonts w:hint="eastAsia" w:ascii="Times New Roman" w:hAnsi="Times New Roman" w:cs="Times New Roman" w:eastAsiaTheme="minorEastAsia"/>
                <w:sz w:val="24"/>
                <w:szCs w:val="24"/>
              </w:rPr>
              <w:t>日</w:t>
            </w:r>
          </w:p>
        </w:tc>
      </w:tr>
      <w:tr w14:paraId="01307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02B733E">
            <w:pPr>
              <w:pStyle w:val="12"/>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地点</w:t>
            </w:r>
          </w:p>
        </w:tc>
        <w:tc>
          <w:tcPr>
            <w:tcW w:w="6829" w:type="dxa"/>
            <w:vAlign w:val="center"/>
          </w:tcPr>
          <w:p w14:paraId="2545A33B">
            <w:pPr>
              <w:pStyle w:val="12"/>
              <w:spacing w:before="120" w:beforeLines="50" w:after="120" w:afterLines="50"/>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西安市</w:t>
            </w:r>
          </w:p>
        </w:tc>
      </w:tr>
      <w:tr w14:paraId="40B9E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696" w:type="dxa"/>
            <w:vAlign w:val="center"/>
          </w:tcPr>
          <w:p w14:paraId="07164810">
            <w:pPr>
              <w:pStyle w:val="12"/>
              <w:spacing w:before="120" w:beforeLines="50" w:after="120" w:afterLines="50"/>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上市公司接待人员姓名</w:t>
            </w:r>
          </w:p>
        </w:tc>
        <w:tc>
          <w:tcPr>
            <w:tcW w:w="6829" w:type="dxa"/>
            <w:vAlign w:val="center"/>
          </w:tcPr>
          <w:p w14:paraId="08117034">
            <w:pPr>
              <w:pStyle w:val="12"/>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副总经理、财务总监、董事会秘书：武腾飞先生</w:t>
            </w:r>
          </w:p>
        </w:tc>
      </w:tr>
      <w:tr w14:paraId="369C7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16" w:hRule="atLeast"/>
          <w:jc w:val="center"/>
        </w:trPr>
        <w:tc>
          <w:tcPr>
            <w:tcW w:w="1696" w:type="dxa"/>
          </w:tcPr>
          <w:p w14:paraId="2806C304">
            <w:pPr>
              <w:pStyle w:val="12"/>
              <w:spacing w:before="120" w:beforeLines="50" w:after="120" w:afterLines="50" w:line="360" w:lineRule="auto"/>
              <w:rPr>
                <w:rFonts w:ascii="Times New Roman" w:hAnsi="Times New Roman" w:cs="Times New Roman" w:eastAsiaTheme="minorEastAsia"/>
                <w:b/>
                <w:bCs/>
                <w:sz w:val="24"/>
                <w:szCs w:val="24"/>
              </w:rPr>
            </w:pPr>
          </w:p>
          <w:p w14:paraId="21001BE1">
            <w:pPr>
              <w:pStyle w:val="12"/>
              <w:spacing w:before="120" w:beforeLines="50" w:after="120" w:afterLines="50" w:line="360" w:lineRule="auto"/>
              <w:rPr>
                <w:rFonts w:ascii="Times New Roman" w:hAnsi="Times New Roman" w:cs="Times New Roman" w:eastAsiaTheme="minorEastAsia"/>
                <w:b/>
                <w:bCs/>
                <w:sz w:val="24"/>
                <w:szCs w:val="24"/>
              </w:rPr>
            </w:pPr>
          </w:p>
          <w:p w14:paraId="72F2DE95">
            <w:pPr>
              <w:pStyle w:val="12"/>
              <w:spacing w:before="120" w:beforeLines="50" w:after="120" w:afterLines="50" w:line="360" w:lineRule="auto"/>
              <w:ind w:right="96"/>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投资者关系活动主要内容介绍</w:t>
            </w:r>
          </w:p>
        </w:tc>
        <w:tc>
          <w:tcPr>
            <w:tcW w:w="6829" w:type="dxa"/>
          </w:tcPr>
          <w:p w14:paraId="1B434CD7">
            <w:pPr>
              <w:pStyle w:val="12"/>
              <w:spacing w:before="120" w:beforeLines="50" w:after="120" w:afterLines="50" w:line="360" w:lineRule="auto"/>
              <w:ind w:firstLine="482" w:firstLineChars="200"/>
              <w:jc w:val="both"/>
              <w:rPr>
                <w:rFonts w:ascii="Times New Roman" w:hAnsi="Times New Roman" w:cs="Times New Roman" w:eastAsiaTheme="minorEastAsia"/>
                <w:b/>
                <w:sz w:val="24"/>
                <w:szCs w:val="24"/>
                <w:lang w:val="en-US"/>
              </w:rPr>
            </w:pPr>
            <w:r>
              <w:rPr>
                <w:rFonts w:hint="eastAsia" w:ascii="Times New Roman" w:hAnsi="Times New Roman" w:cs="Times New Roman" w:eastAsiaTheme="minorEastAsia"/>
                <w:b/>
                <w:sz w:val="24"/>
                <w:szCs w:val="24"/>
                <w:lang w:val="en-US"/>
              </w:rPr>
              <w:t>1、请介绍公司7月4日披露的合同情况，该合同属于什么业务方向？</w:t>
            </w:r>
          </w:p>
          <w:p w14:paraId="36A32592">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hint="eastAsia" w:ascii="Times New Roman" w:hAnsi="Times New Roman" w:cs="Times New Roman" w:eastAsiaTheme="minorEastAsia"/>
                <w:sz w:val="24"/>
                <w:szCs w:val="24"/>
                <w:lang w:val="en-US"/>
              </w:rPr>
              <w:t>答：公司于2026年7月4日在上海证券交易所网站发布《关于自愿披露公司签订日常经营销售框架合同的公告》（公告编号：2026-034），公司与某客户签订两份框架合同，总限额合计2.78亿元。两份框架合同标的均为公司航空器机身用特种功能材料产品，属于公司常温特种功能材料领域。</w:t>
            </w:r>
          </w:p>
          <w:p w14:paraId="4F047A93">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ascii="Times New Roman" w:hAnsi="Times New Roman" w:cs="Times New Roman" w:eastAsiaTheme="minorEastAsia"/>
                <w:sz w:val="24"/>
                <w:szCs w:val="24"/>
                <w:lang w:val="en-US"/>
              </w:rPr>
              <w:t>本次框架合同的签订是公司“一核两翼”战略规划布局逐步落地的体现。</w:t>
            </w:r>
            <w:r>
              <w:rPr>
                <w:rFonts w:hint="eastAsia" w:ascii="Times New Roman" w:hAnsi="Times New Roman" w:cs="Times New Roman" w:eastAsiaTheme="minorEastAsia"/>
                <w:sz w:val="24"/>
                <w:szCs w:val="24"/>
                <w:lang w:val="en-US"/>
              </w:rPr>
              <w:t>公司在持续提升航空发动机领域关键材料供应商市场地位的同时，进一步拓展在航空器机身及其他高端制造领域关键核心材料产品供应。公司以客户需求为锚点，不断拓展新材料应用边界，满足不同客户在各类高端制造中的多样化需求。公司本部在宽温域、多频谱兼容、多功能特种功能材料以及特种功能结构复合材料领域持续开展研制工作，取得了关键技术的突破；公司在中高温特种功能材料领域持续夯实竞争优势，并向常温特种功能材料领域及防护材料进行拓展，公司目前已有多个产品处在验证试制阶段，科研试制等待批产产品收入占比持续提升。同时，公司根据多年的技术积累为客户提供整体材料设计方案，从需求拆解、方案构思到材料供给，精准对接客户需求，为客户提供综合的解决方案。具体内容详见公司披露的《关于自愿披露公司签订日常经营销售框架合同的公告》（公告编号：</w:t>
            </w:r>
            <w:r>
              <w:rPr>
                <w:rFonts w:ascii="Times New Roman" w:hAnsi="Times New Roman" w:cs="Times New Roman" w:eastAsiaTheme="minorEastAsia"/>
                <w:sz w:val="24"/>
                <w:szCs w:val="24"/>
                <w:lang w:val="en-US"/>
              </w:rPr>
              <w:t>2026-034</w:t>
            </w:r>
            <w:r>
              <w:rPr>
                <w:rFonts w:hint="eastAsia" w:ascii="Times New Roman" w:hAnsi="Times New Roman" w:cs="Times New Roman" w:eastAsiaTheme="minorEastAsia"/>
                <w:sz w:val="24"/>
                <w:szCs w:val="24"/>
                <w:lang w:val="en-US"/>
              </w:rPr>
              <w:t>）。</w:t>
            </w:r>
          </w:p>
          <w:p w14:paraId="28C18DFF">
            <w:pPr>
              <w:pStyle w:val="12"/>
              <w:spacing w:before="120" w:beforeLines="50" w:after="120" w:afterLines="50" w:line="360" w:lineRule="auto"/>
              <w:ind w:firstLine="482" w:firstLineChars="200"/>
              <w:jc w:val="both"/>
              <w:rPr>
                <w:rFonts w:hint="eastAsia" w:ascii="Times New Roman" w:hAnsi="Times New Roman" w:cs="Times New Roman" w:eastAsiaTheme="minorEastAsia"/>
                <w:b/>
                <w:sz w:val="24"/>
                <w:szCs w:val="24"/>
                <w:lang w:val="en-US"/>
              </w:rPr>
            </w:pPr>
            <w:r>
              <w:rPr>
                <w:rFonts w:ascii="Times New Roman" w:hAnsi="Times New Roman" w:cs="Times New Roman" w:eastAsiaTheme="minorEastAsia"/>
                <w:b/>
                <w:sz w:val="24"/>
                <w:szCs w:val="24"/>
                <w:lang w:val="en-US"/>
              </w:rPr>
              <w:t>2、</w:t>
            </w:r>
            <w:r>
              <w:rPr>
                <w:rFonts w:hint="eastAsia" w:ascii="Times New Roman" w:hAnsi="Times New Roman" w:cs="Times New Roman" w:eastAsiaTheme="minorEastAsia"/>
                <w:b/>
                <w:sz w:val="24"/>
                <w:szCs w:val="24"/>
                <w:lang w:val="en-US"/>
              </w:rPr>
              <w:t>公司目前的下游需求情况怎么样？</w:t>
            </w:r>
          </w:p>
          <w:p w14:paraId="231EAF87">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hint="eastAsia" w:ascii="Times New Roman" w:hAnsi="Times New Roman" w:cs="Times New Roman" w:eastAsiaTheme="minorEastAsia"/>
                <w:sz w:val="24"/>
                <w:szCs w:val="24"/>
                <w:lang w:val="en-US"/>
              </w:rPr>
              <w:t>答：“一代材料，一代装备”，国家战略需求加速航空航天新品种材料不断涌现，推动材料性能持续提高、研究方法不断创新、制造技术不断进步。特种功能材料、高性能高分子材料、高性能纤维与复合材料是高端装备制造、航空航天等领域不可或缺的关键战略材料。以航空航天为应用背景的高性能高分子材料及其复合材料通常是高性能纤维增强的树脂基复合材料，其原材料主要包括增强纤维和树脂基体，树脂基体中也常常会添加一些提高复合材料综合力学性能或赋予复合材料特殊功能的添加剂材料，如增韧剂、阻燃剂、电磁波吸收剂和导热导电填料等。由波音、空客和</w:t>
            </w:r>
            <w:r>
              <w:rPr>
                <w:rFonts w:ascii="Times New Roman" w:hAnsi="Times New Roman" w:cs="Times New Roman" w:eastAsiaTheme="minorEastAsia"/>
                <w:sz w:val="24"/>
                <w:szCs w:val="24"/>
                <w:lang w:val="en-US"/>
              </w:rPr>
              <w:t>GE等航空企业引领，树脂基复材已经走过了由次承力结构向主承力结构应用的跨越，军机应用达到结构质量的30%～40%，民机用量达到50%以上，航空发动机用量达15%。相比之下，我国目前机身用量占比较小，航空发动机用量也很有限。</w:t>
            </w:r>
            <w:r>
              <w:rPr>
                <w:rFonts w:hint="eastAsia" w:ascii="Times New Roman" w:hAnsi="Times New Roman" w:cs="Times New Roman" w:eastAsiaTheme="minorEastAsia"/>
                <w:sz w:val="24"/>
                <w:szCs w:val="24"/>
                <w:lang w:val="en-US"/>
              </w:rPr>
              <w:t>我国航空航天领域正处在快速发展期，对新材料的需求将更加旺盛。</w:t>
            </w:r>
          </w:p>
          <w:p w14:paraId="64A8AC7C">
            <w:pPr>
              <w:pStyle w:val="12"/>
              <w:spacing w:before="120" w:beforeLines="50" w:after="120" w:afterLines="50" w:line="360" w:lineRule="auto"/>
              <w:ind w:firstLine="482" w:firstLineChars="200"/>
              <w:jc w:val="both"/>
              <w:rPr>
                <w:rFonts w:ascii="Times New Roman" w:hAnsi="Times New Roman" w:cs="Times New Roman" w:eastAsiaTheme="minorEastAsia"/>
                <w:sz w:val="24"/>
                <w:szCs w:val="24"/>
                <w:lang w:val="en-US"/>
              </w:rPr>
            </w:pPr>
            <w:r>
              <w:rPr>
                <w:rFonts w:ascii="Times New Roman" w:hAnsi="Times New Roman" w:cs="Times New Roman" w:eastAsiaTheme="minorEastAsia"/>
                <w:b/>
                <w:sz w:val="24"/>
                <w:szCs w:val="24"/>
                <w:lang w:val="en-US"/>
              </w:rPr>
              <w:t>3、</w:t>
            </w:r>
            <w:r>
              <w:rPr>
                <w:rFonts w:hint="eastAsia" w:ascii="Times New Roman" w:hAnsi="Times New Roman" w:cs="Times New Roman" w:eastAsiaTheme="minorEastAsia"/>
                <w:b/>
                <w:sz w:val="24"/>
                <w:szCs w:val="24"/>
                <w:lang w:val="en-US"/>
              </w:rPr>
              <w:t>请介绍公司控股子公司的经营情况</w:t>
            </w:r>
          </w:p>
          <w:p w14:paraId="6D1EEFAC">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ascii="Times New Roman" w:hAnsi="Times New Roman" w:eastAsia="宋体" w:cs="Times New Roman"/>
                <w:sz w:val="24"/>
                <w:szCs w:val="24"/>
              </w:rPr>
              <w:t>答</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rPr>
              <w:t>公司就控股子公司经营情况进行了交流，具体内容可参阅前次活动记录表之问答和已披露公告。</w:t>
            </w:r>
          </w:p>
          <w:p w14:paraId="332D74D5">
            <w:pPr>
              <w:pStyle w:val="12"/>
              <w:spacing w:before="120" w:beforeLines="50" w:after="120" w:afterLines="50" w:line="360" w:lineRule="auto"/>
              <w:ind w:firstLine="482" w:firstLineChars="200"/>
              <w:jc w:val="both"/>
              <w:rPr>
                <w:rFonts w:ascii="Times New Roman" w:hAnsi="Times New Roman" w:cs="Times New Roman" w:eastAsiaTheme="minorEastAsia"/>
                <w:sz w:val="24"/>
                <w:szCs w:val="24"/>
                <w:lang w:val="en-US"/>
              </w:rPr>
            </w:pPr>
            <w:r>
              <w:rPr>
                <w:rFonts w:ascii="Times New Roman" w:hAnsi="Times New Roman" w:cs="Times New Roman" w:eastAsiaTheme="minorEastAsia"/>
                <w:b/>
                <w:sz w:val="24"/>
                <w:szCs w:val="24"/>
                <w:lang w:val="en-US"/>
              </w:rPr>
              <w:t>4、</w:t>
            </w:r>
            <w:r>
              <w:rPr>
                <w:rFonts w:hint="eastAsia" w:ascii="Times New Roman" w:hAnsi="Times New Roman" w:cs="Times New Roman" w:eastAsiaTheme="minorEastAsia"/>
                <w:b/>
                <w:sz w:val="24"/>
                <w:szCs w:val="24"/>
                <w:lang w:val="en-US"/>
              </w:rPr>
              <w:t>公司产品毛利率后续是否有提升空间？</w:t>
            </w:r>
          </w:p>
          <w:p w14:paraId="4AB949BA">
            <w:pPr>
              <w:pStyle w:val="12"/>
              <w:spacing w:before="120" w:beforeLines="50" w:after="120" w:afterLines="50" w:line="360" w:lineRule="auto"/>
              <w:ind w:firstLine="480" w:firstLineChars="200"/>
              <w:jc w:val="both"/>
              <w:rPr>
                <w:rFonts w:hint="eastAsia" w:ascii="Times New Roman" w:hAnsi="Times New Roman" w:eastAsia="宋体" w:cs="Times New Roman"/>
                <w:sz w:val="24"/>
                <w:szCs w:val="24"/>
                <w:lang w:val="en-US"/>
              </w:rPr>
            </w:pPr>
            <w:r>
              <w:rPr>
                <w:rFonts w:ascii="Times New Roman" w:hAnsi="Times New Roman" w:eastAsia="宋体" w:cs="Times New Roman"/>
                <w:sz w:val="24"/>
                <w:szCs w:val="24"/>
              </w:rPr>
              <w:t>答</w:t>
            </w:r>
            <w:r>
              <w:rPr>
                <w:rFonts w:hint="eastAsia" w:ascii="Times New Roman" w:hAnsi="Times New Roman" w:eastAsia="宋体" w:cs="Times New Roman"/>
                <w:sz w:val="24"/>
                <w:szCs w:val="24"/>
              </w:rPr>
              <w:t>：2026年第一季度公司</w:t>
            </w:r>
            <w:r>
              <w:rPr>
                <w:rFonts w:hint="eastAsia" w:ascii="Times New Roman" w:hAnsi="Times New Roman" w:eastAsia="宋体" w:cs="Times New Roman"/>
                <w:sz w:val="24"/>
                <w:szCs w:val="24"/>
                <w:lang w:val="en-US"/>
              </w:rPr>
              <w:t>合并报表毛利率保持稳定，本部特种功能材料的毛利率有所提升，主要由于公司本部前期跟研试制产品收入增加，产能利用率以及产品良率均有所提升所致。</w:t>
            </w:r>
          </w:p>
          <w:p w14:paraId="1F2E88B2">
            <w:pPr>
              <w:pStyle w:val="12"/>
              <w:spacing w:before="120" w:beforeLines="50" w:after="120" w:afterLines="50" w:line="360" w:lineRule="auto"/>
              <w:ind w:firstLine="480" w:firstLineChars="200"/>
              <w:jc w:val="both"/>
              <w:rPr>
                <w:rFonts w:ascii="Times New Roman" w:hAnsi="Times New Roman" w:eastAsia="宋体" w:cs="Times New Roman"/>
                <w:sz w:val="24"/>
                <w:szCs w:val="24"/>
                <w:lang w:val="en-US"/>
              </w:rPr>
            </w:pPr>
            <w:r>
              <w:rPr>
                <w:rFonts w:hint="eastAsia" w:ascii="Times New Roman" w:hAnsi="Times New Roman" w:eastAsia="宋体" w:cs="Times New Roman"/>
                <w:sz w:val="24"/>
                <w:szCs w:val="24"/>
                <w:lang w:val="en-US"/>
              </w:rPr>
              <w:t>公司目前已形成本部特种功能材料产品及服务、华秦航发航天航空零部件智能加工与制造、华秦光声声学超材料及声学仪器、上海瑞华晟航空航天用陶瓷基复合材料、安徽汉正超细晶零部件生产制造五大业务主体；产品体系已涵盖了多种关键新材料，包括特种功能材料、碳纤维增强复合材料、特种陶瓷基复合材料、轻质高强金属及其复合材料、高性能树脂材料、声学超材料、超细晶高温合金</w:t>
            </w:r>
            <w:r>
              <w:rPr>
                <w:rFonts w:ascii="Times New Roman" w:hAnsi="Times New Roman" w:eastAsia="宋体" w:cs="Times New Roman"/>
                <w:sz w:val="24"/>
                <w:szCs w:val="24"/>
                <w:lang w:val="en-US"/>
              </w:rPr>
              <w:t>/钛合金材料等；同时，公司可以根据多年的技术积累为客户提供整体材料设计方案，从需求拆解、方案构思到材料供给，精准对接客户需求，为客户提供综合的解决方案。</w:t>
            </w:r>
            <w:r>
              <w:rPr>
                <w:rFonts w:hint="eastAsia" w:ascii="Times New Roman" w:hAnsi="Times New Roman" w:eastAsia="宋体" w:cs="Times New Roman"/>
                <w:sz w:val="24"/>
                <w:szCs w:val="24"/>
                <w:lang w:val="en-US"/>
              </w:rPr>
              <w:t>公司聚焦主业，立足客户需求，不断拓展产品应用场景，加速研发成果向产品转化；并持续优化生产流程，提升产线运转与资源利用效率，降本增效，提升盈利能力。</w:t>
            </w:r>
          </w:p>
          <w:p w14:paraId="7D9A701F">
            <w:pPr>
              <w:pStyle w:val="12"/>
              <w:spacing w:before="120" w:beforeLines="50" w:after="120" w:afterLines="50" w:line="360" w:lineRule="auto"/>
              <w:ind w:firstLine="482" w:firstLineChars="200"/>
              <w:jc w:val="both"/>
              <w:rPr>
                <w:rFonts w:ascii="Times New Roman" w:hAnsi="Times New Roman" w:cs="Times New Roman" w:eastAsiaTheme="minorEastAsia"/>
                <w:b/>
                <w:sz w:val="24"/>
                <w:szCs w:val="24"/>
                <w:lang w:val="en-US"/>
              </w:rPr>
            </w:pPr>
            <w:r>
              <w:rPr>
                <w:rFonts w:ascii="Times New Roman" w:hAnsi="Times New Roman" w:cs="Times New Roman" w:eastAsiaTheme="minorEastAsia"/>
                <w:b/>
                <w:sz w:val="24"/>
                <w:szCs w:val="24"/>
                <w:lang w:val="en-US"/>
              </w:rPr>
              <w:t>5、</w:t>
            </w:r>
            <w:r>
              <w:rPr>
                <w:rFonts w:hint="eastAsia" w:ascii="Times New Roman" w:hAnsi="Times New Roman" w:cs="Times New Roman" w:eastAsiaTheme="minorEastAsia"/>
                <w:b/>
                <w:sz w:val="24"/>
                <w:szCs w:val="24"/>
                <w:lang w:val="en-US"/>
              </w:rPr>
              <w:t>请介绍一下公司目前产能情况</w:t>
            </w:r>
          </w:p>
          <w:p w14:paraId="71086B39">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hint="eastAsia" w:ascii="Times New Roman" w:hAnsi="Times New Roman" w:cs="Times New Roman" w:eastAsiaTheme="minorEastAsia"/>
                <w:sz w:val="24"/>
                <w:szCs w:val="24"/>
                <w:lang w:val="en-US"/>
              </w:rPr>
              <w:t>答：公司本部募投项目特种功能材料产业化项目和特种功能材料研发中心项目已结项，随着新建产线转入运营状态，有效提升了公司生产经营面积、扩大生产线规模，对产品配套能力的支撑作用正在逐步显现，为后续生产组织的协调性与订单交付的可靠性提供了更为充分的条件保障，暂不存在需求超出产能的情形。</w:t>
            </w:r>
          </w:p>
          <w:p w14:paraId="72BF4FBA">
            <w:pPr>
              <w:pStyle w:val="12"/>
              <w:spacing w:before="120" w:beforeLines="50" w:after="120" w:afterLines="50" w:line="360" w:lineRule="auto"/>
              <w:ind w:firstLine="482" w:firstLineChars="200"/>
              <w:jc w:val="both"/>
              <w:rPr>
                <w:rFonts w:ascii="Times New Roman" w:hAnsi="Times New Roman" w:cs="Times New Roman" w:eastAsiaTheme="minorEastAsia"/>
                <w:b/>
                <w:sz w:val="24"/>
                <w:szCs w:val="24"/>
                <w:lang w:val="en-US"/>
              </w:rPr>
            </w:pPr>
            <w:r>
              <w:rPr>
                <w:rFonts w:ascii="Times New Roman" w:hAnsi="Times New Roman" w:cs="Times New Roman" w:eastAsiaTheme="minorEastAsia"/>
                <w:b/>
                <w:sz w:val="24"/>
                <w:szCs w:val="24"/>
                <w:lang w:val="en-US"/>
              </w:rPr>
              <w:t>6、</w:t>
            </w:r>
            <w:r>
              <w:rPr>
                <w:rFonts w:hint="eastAsia" w:ascii="Times New Roman" w:hAnsi="Times New Roman" w:cs="Times New Roman" w:eastAsiaTheme="minorEastAsia"/>
                <w:b/>
                <w:sz w:val="24"/>
                <w:szCs w:val="24"/>
                <w:lang w:val="en-US"/>
              </w:rPr>
              <w:t>请问公司科研试制等待批产产品目前进展情况？</w:t>
            </w:r>
          </w:p>
          <w:p w14:paraId="09293FFA">
            <w:pPr>
              <w:pStyle w:val="12"/>
              <w:spacing w:before="120" w:beforeLines="50" w:after="120" w:afterLines="50" w:line="360" w:lineRule="auto"/>
              <w:ind w:firstLine="480" w:firstLineChars="200"/>
              <w:jc w:val="both"/>
              <w:rPr>
                <w:rFonts w:ascii="Times New Roman" w:hAnsi="Times New Roman" w:cs="Times New Roman" w:eastAsiaTheme="minorEastAsia"/>
                <w:sz w:val="24"/>
                <w:szCs w:val="24"/>
                <w:lang w:val="en-US"/>
              </w:rPr>
            </w:pPr>
            <w:r>
              <w:rPr>
                <w:rFonts w:hint="eastAsia" w:ascii="Times New Roman" w:hAnsi="Times New Roman" w:cs="Times New Roman" w:eastAsiaTheme="minorEastAsia"/>
                <w:sz w:val="24"/>
                <w:szCs w:val="24"/>
                <w:lang w:val="en-US"/>
              </w:rPr>
              <w:t>答：公司本部特种功能材料等产品正处于产品更新换代的关键阶段，公司在宽温域、多频谱兼容、多功能特种功能材料以及特种功能结构复合材料领域持续开展研制工作，取得了关键技术的突破；并在高效热阻材料、重防腐材料、电磁屏蔽材料等领域积极开拓市场，目前部分新产品已实现批产，且有多个产品处在验证试制阶段，科研试制等待批产产品收入占比持续提升</w:t>
            </w:r>
            <w:r>
              <w:rPr>
                <w:rFonts w:ascii="Times New Roman" w:hAnsi="Times New Roman" w:cs="Times New Roman" w:eastAsiaTheme="minorEastAsia"/>
                <w:sz w:val="24"/>
                <w:szCs w:val="24"/>
                <w:lang w:val="en-US"/>
              </w:rPr>
              <w:t>。具体型号转产进度需视客户装备定型情况而定。</w:t>
            </w:r>
          </w:p>
          <w:p w14:paraId="4A7DA473">
            <w:pPr>
              <w:pStyle w:val="12"/>
              <w:spacing w:before="120" w:beforeLines="50" w:after="120" w:afterLines="50" w:line="360" w:lineRule="auto"/>
              <w:ind w:firstLine="482" w:firstLineChars="200"/>
              <w:jc w:val="both"/>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eastAsiaTheme="minorEastAsia"/>
                <w:b/>
                <w:bCs/>
                <w:sz w:val="24"/>
                <w:szCs w:val="24"/>
                <w:lang w:val="en-US" w:eastAsia="zh-CN"/>
              </w:rPr>
              <w:t>7、请介绍公司产品在商业航天领域的应用情况</w:t>
            </w:r>
          </w:p>
          <w:p w14:paraId="2238A069">
            <w:pPr>
              <w:pStyle w:val="12"/>
              <w:spacing w:before="120" w:beforeLines="50" w:after="120" w:afterLines="50" w:line="360" w:lineRule="auto"/>
              <w:ind w:firstLine="480" w:firstLineChars="200"/>
              <w:jc w:val="both"/>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eastAsiaTheme="minorEastAsia"/>
                <w:b w:val="0"/>
                <w:bCs w:val="0"/>
                <w:sz w:val="24"/>
                <w:szCs w:val="24"/>
                <w:lang w:val="en-US" w:eastAsia="zh-CN"/>
              </w:rPr>
              <w:t>答：公司主要从事特种功能材料的研发、生产和销售，并围绕航空航天产业链、先进新材料产业领域持续进行业务布局，开拓航空航天零部件加工、陶瓷基复合材料、声学超材料及声学仪器、超细晶零部件生产制造等业务或产品。公司相关产品如热阻材料、热障涂层、陶瓷基复合材料、激光超声检测设备等可在商业航天领域应用，从产业周期来看，当前商业航天产业仍处于初期阶段，相关产品对公司营收贡献存在较大的不确定性及不可预见性。公司会积极关注相关产业动态和发展。</w:t>
            </w:r>
          </w:p>
        </w:tc>
      </w:tr>
      <w:tr w14:paraId="3941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6CE2242B">
            <w:pPr>
              <w:pStyle w:val="12"/>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附件清单（如有）</w:t>
            </w:r>
          </w:p>
        </w:tc>
        <w:tc>
          <w:tcPr>
            <w:tcW w:w="6829" w:type="dxa"/>
            <w:vAlign w:val="center"/>
          </w:tcPr>
          <w:p w14:paraId="60582BAF">
            <w:pPr>
              <w:pStyle w:val="12"/>
              <w:spacing w:before="120" w:beforeLines="50" w:after="120" w:afterLines="5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无</w:t>
            </w:r>
          </w:p>
        </w:tc>
      </w:tr>
      <w:tr w14:paraId="57FC1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696" w:type="dxa"/>
            <w:vAlign w:val="center"/>
          </w:tcPr>
          <w:p w14:paraId="0291240C">
            <w:pPr>
              <w:pStyle w:val="12"/>
              <w:spacing w:before="120" w:beforeLines="50" w:after="120" w:afterLines="50"/>
              <w:ind w:left="107"/>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日期</w:t>
            </w:r>
          </w:p>
        </w:tc>
        <w:tc>
          <w:tcPr>
            <w:tcW w:w="6829" w:type="dxa"/>
            <w:vAlign w:val="center"/>
          </w:tcPr>
          <w:p w14:paraId="4EE0ABA7">
            <w:pPr>
              <w:pStyle w:val="12"/>
              <w:spacing w:before="120" w:beforeLines="50" w:after="120" w:afterLines="50"/>
              <w:rPr>
                <w:rFonts w:ascii="Times New Roman" w:hAnsi="Times New Roman" w:cs="Times New Roman" w:eastAsiaTheme="minorEastAsia"/>
                <w:sz w:val="24"/>
                <w:szCs w:val="24"/>
              </w:rPr>
            </w:pPr>
            <w:r>
              <w:rPr>
                <w:rFonts w:ascii="Times New Roman" w:hAnsi="Times New Roman" w:cs="Times New Roman" w:eastAsiaTheme="minorEastAsia"/>
                <w:sz w:val="24"/>
                <w:szCs w:val="24"/>
              </w:rPr>
              <w:t>2026年</w:t>
            </w:r>
            <w:r>
              <w:rPr>
                <w:rFonts w:hint="eastAsia" w:ascii="Times New Roman" w:hAnsi="Times New Roman" w:cs="Times New Roman" w:eastAsiaTheme="minorEastAsia"/>
                <w:sz w:val="24"/>
                <w:szCs w:val="24"/>
                <w:lang w:val="en-US"/>
              </w:rPr>
              <w:t>7</w:t>
            </w:r>
            <w:r>
              <w:rPr>
                <w:rFonts w:ascii="Times New Roman" w:hAnsi="Times New Roman" w:cs="Times New Roman" w:eastAsiaTheme="minorEastAsia"/>
                <w:sz w:val="24"/>
                <w:szCs w:val="24"/>
              </w:rPr>
              <w:t>月</w:t>
            </w:r>
            <w:r>
              <w:rPr>
                <w:rFonts w:hint="eastAsia" w:ascii="Times New Roman" w:hAnsi="Times New Roman" w:cs="Times New Roman" w:eastAsiaTheme="minorEastAsia"/>
                <w:sz w:val="24"/>
                <w:szCs w:val="24"/>
                <w:lang w:val="en-US"/>
              </w:rPr>
              <w:t>10</w:t>
            </w:r>
            <w:r>
              <w:rPr>
                <w:rFonts w:ascii="Times New Roman" w:hAnsi="Times New Roman" w:cs="Times New Roman" w:eastAsiaTheme="minorEastAsia"/>
                <w:sz w:val="24"/>
                <w:szCs w:val="24"/>
              </w:rPr>
              <w:t>日</w:t>
            </w:r>
          </w:p>
        </w:tc>
      </w:tr>
    </w:tbl>
    <w:p w14:paraId="66E07108">
      <w:pPr>
        <w:rPr>
          <w:rFonts w:ascii="Times New Roman" w:hAnsi="Times New Roman" w:eastAsia="宋体" w:cs="Times New Roman"/>
          <w:sz w:val="28"/>
          <w:szCs w:val="36"/>
        </w:rPr>
      </w:pPr>
    </w:p>
    <w:sectPr>
      <w:footerReference r:id="rId3" w:type="default"/>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KSOFA61C387F">
    <w:panose1 w:val="020B060403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4043263"/>
    </w:sdtPr>
    <w:sdtEndPr>
      <w:rPr>
        <w:rFonts w:ascii="Times New Roman" w:hAnsi="Times New Roman" w:cs="Times New Roman"/>
      </w:rPr>
    </w:sdtEndPr>
    <w:sdtContent>
      <w:p w14:paraId="6093AE4D">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hMGRlZDc1N2Q5MDFjYzM5NTBiYTRlNWNiYWVkMWQifQ=="/>
  </w:docVars>
  <w:rsids>
    <w:rsidRoot w:val="00301D32"/>
    <w:rsid w:val="000015C8"/>
    <w:rsid w:val="000032BE"/>
    <w:rsid w:val="00011377"/>
    <w:rsid w:val="00015B60"/>
    <w:rsid w:val="000210A0"/>
    <w:rsid w:val="00021B5A"/>
    <w:rsid w:val="00023C80"/>
    <w:rsid w:val="00026450"/>
    <w:rsid w:val="00026CC3"/>
    <w:rsid w:val="000303F7"/>
    <w:rsid w:val="000338C3"/>
    <w:rsid w:val="00036089"/>
    <w:rsid w:val="00045A12"/>
    <w:rsid w:val="00046A2C"/>
    <w:rsid w:val="000506AE"/>
    <w:rsid w:val="00053CFA"/>
    <w:rsid w:val="000545FF"/>
    <w:rsid w:val="00063015"/>
    <w:rsid w:val="000633EC"/>
    <w:rsid w:val="00063804"/>
    <w:rsid w:val="00063B21"/>
    <w:rsid w:val="000665A2"/>
    <w:rsid w:val="00066747"/>
    <w:rsid w:val="000740E0"/>
    <w:rsid w:val="00077737"/>
    <w:rsid w:val="00081788"/>
    <w:rsid w:val="00081D0A"/>
    <w:rsid w:val="000832DB"/>
    <w:rsid w:val="000858F8"/>
    <w:rsid w:val="00085969"/>
    <w:rsid w:val="00086AEE"/>
    <w:rsid w:val="000875A1"/>
    <w:rsid w:val="000877AB"/>
    <w:rsid w:val="00090880"/>
    <w:rsid w:val="000956CF"/>
    <w:rsid w:val="00095D4A"/>
    <w:rsid w:val="000B0D1E"/>
    <w:rsid w:val="000B42BC"/>
    <w:rsid w:val="000B5644"/>
    <w:rsid w:val="000B7B0E"/>
    <w:rsid w:val="000B7C08"/>
    <w:rsid w:val="000C508E"/>
    <w:rsid w:val="000C7A18"/>
    <w:rsid w:val="000D030C"/>
    <w:rsid w:val="000D12CF"/>
    <w:rsid w:val="000D2D88"/>
    <w:rsid w:val="000D698C"/>
    <w:rsid w:val="000E2987"/>
    <w:rsid w:val="000E3494"/>
    <w:rsid w:val="000E4727"/>
    <w:rsid w:val="000E4B20"/>
    <w:rsid w:val="000F1218"/>
    <w:rsid w:val="000F1BEA"/>
    <w:rsid w:val="0010350E"/>
    <w:rsid w:val="00111839"/>
    <w:rsid w:val="0011418F"/>
    <w:rsid w:val="00115140"/>
    <w:rsid w:val="00115AF8"/>
    <w:rsid w:val="0011697D"/>
    <w:rsid w:val="0012772E"/>
    <w:rsid w:val="00131F53"/>
    <w:rsid w:val="00140D13"/>
    <w:rsid w:val="001427DB"/>
    <w:rsid w:val="0014480A"/>
    <w:rsid w:val="001478A5"/>
    <w:rsid w:val="001507C9"/>
    <w:rsid w:val="00164ED9"/>
    <w:rsid w:val="00172C24"/>
    <w:rsid w:val="0018054D"/>
    <w:rsid w:val="0018266A"/>
    <w:rsid w:val="001870D3"/>
    <w:rsid w:val="00193ACF"/>
    <w:rsid w:val="001950F8"/>
    <w:rsid w:val="001A4374"/>
    <w:rsid w:val="001A6E4B"/>
    <w:rsid w:val="001B2399"/>
    <w:rsid w:val="001C4C05"/>
    <w:rsid w:val="001C7401"/>
    <w:rsid w:val="001D0226"/>
    <w:rsid w:val="001D6332"/>
    <w:rsid w:val="001D6A66"/>
    <w:rsid w:val="001D7F84"/>
    <w:rsid w:val="001E59D1"/>
    <w:rsid w:val="001E5EA4"/>
    <w:rsid w:val="001F6F6C"/>
    <w:rsid w:val="00202870"/>
    <w:rsid w:val="00202BB9"/>
    <w:rsid w:val="002042A7"/>
    <w:rsid w:val="00204A6B"/>
    <w:rsid w:val="00204FB5"/>
    <w:rsid w:val="00205911"/>
    <w:rsid w:val="00206C3F"/>
    <w:rsid w:val="002110FC"/>
    <w:rsid w:val="002115A3"/>
    <w:rsid w:val="0021297D"/>
    <w:rsid w:val="002146AD"/>
    <w:rsid w:val="002146CE"/>
    <w:rsid w:val="00215F2C"/>
    <w:rsid w:val="00222805"/>
    <w:rsid w:val="00223774"/>
    <w:rsid w:val="00226FFF"/>
    <w:rsid w:val="00245F4F"/>
    <w:rsid w:val="0024793D"/>
    <w:rsid w:val="002640C6"/>
    <w:rsid w:val="00265B9A"/>
    <w:rsid w:val="00274E26"/>
    <w:rsid w:val="00275CB6"/>
    <w:rsid w:val="002800B5"/>
    <w:rsid w:val="002800BB"/>
    <w:rsid w:val="002822C3"/>
    <w:rsid w:val="002842C2"/>
    <w:rsid w:val="0029091A"/>
    <w:rsid w:val="00295B29"/>
    <w:rsid w:val="002971B2"/>
    <w:rsid w:val="002A241A"/>
    <w:rsid w:val="002A37F0"/>
    <w:rsid w:val="002A62FA"/>
    <w:rsid w:val="002B243E"/>
    <w:rsid w:val="002B692B"/>
    <w:rsid w:val="002C1DF2"/>
    <w:rsid w:val="002D0415"/>
    <w:rsid w:val="002D4073"/>
    <w:rsid w:val="002D5475"/>
    <w:rsid w:val="002D5CF0"/>
    <w:rsid w:val="002D7C7A"/>
    <w:rsid w:val="002E07C5"/>
    <w:rsid w:val="002E1F34"/>
    <w:rsid w:val="002E3ED8"/>
    <w:rsid w:val="002E7098"/>
    <w:rsid w:val="002F06AC"/>
    <w:rsid w:val="002F4FE8"/>
    <w:rsid w:val="002F5CD0"/>
    <w:rsid w:val="002F75BA"/>
    <w:rsid w:val="00301D32"/>
    <w:rsid w:val="00302DEA"/>
    <w:rsid w:val="0031294E"/>
    <w:rsid w:val="00322A65"/>
    <w:rsid w:val="00330F0C"/>
    <w:rsid w:val="003315BC"/>
    <w:rsid w:val="00334B60"/>
    <w:rsid w:val="00337C9D"/>
    <w:rsid w:val="00340277"/>
    <w:rsid w:val="00346B62"/>
    <w:rsid w:val="00355D19"/>
    <w:rsid w:val="003602C0"/>
    <w:rsid w:val="0036051C"/>
    <w:rsid w:val="003613E9"/>
    <w:rsid w:val="00366FAD"/>
    <w:rsid w:val="00367177"/>
    <w:rsid w:val="0037105B"/>
    <w:rsid w:val="003721AE"/>
    <w:rsid w:val="00392043"/>
    <w:rsid w:val="003975BA"/>
    <w:rsid w:val="003A189B"/>
    <w:rsid w:val="003A51E5"/>
    <w:rsid w:val="003A5D83"/>
    <w:rsid w:val="003A74E6"/>
    <w:rsid w:val="003B73DD"/>
    <w:rsid w:val="003C3819"/>
    <w:rsid w:val="003C61C2"/>
    <w:rsid w:val="003C6D15"/>
    <w:rsid w:val="003D011C"/>
    <w:rsid w:val="003D2F4D"/>
    <w:rsid w:val="003D61B1"/>
    <w:rsid w:val="003E0403"/>
    <w:rsid w:val="003E303A"/>
    <w:rsid w:val="003E429A"/>
    <w:rsid w:val="003E4B3C"/>
    <w:rsid w:val="003E5E8A"/>
    <w:rsid w:val="003F7D72"/>
    <w:rsid w:val="00404070"/>
    <w:rsid w:val="004108C7"/>
    <w:rsid w:val="00412DC2"/>
    <w:rsid w:val="00413FEF"/>
    <w:rsid w:val="004142C9"/>
    <w:rsid w:val="00417963"/>
    <w:rsid w:val="004207F5"/>
    <w:rsid w:val="004277C9"/>
    <w:rsid w:val="00432369"/>
    <w:rsid w:val="00440041"/>
    <w:rsid w:val="00451268"/>
    <w:rsid w:val="004515AD"/>
    <w:rsid w:val="00451857"/>
    <w:rsid w:val="00453516"/>
    <w:rsid w:val="00455619"/>
    <w:rsid w:val="00457548"/>
    <w:rsid w:val="0045756F"/>
    <w:rsid w:val="004609A0"/>
    <w:rsid w:val="00470DB2"/>
    <w:rsid w:val="00483177"/>
    <w:rsid w:val="004925E7"/>
    <w:rsid w:val="00495B11"/>
    <w:rsid w:val="004A54A9"/>
    <w:rsid w:val="004B3F3A"/>
    <w:rsid w:val="004B43D1"/>
    <w:rsid w:val="004C1585"/>
    <w:rsid w:val="004C25D7"/>
    <w:rsid w:val="004C6913"/>
    <w:rsid w:val="004C71AA"/>
    <w:rsid w:val="004E6101"/>
    <w:rsid w:val="004F2910"/>
    <w:rsid w:val="004F37B5"/>
    <w:rsid w:val="004F6FF3"/>
    <w:rsid w:val="00505B18"/>
    <w:rsid w:val="00505C83"/>
    <w:rsid w:val="00507547"/>
    <w:rsid w:val="00511D22"/>
    <w:rsid w:val="005257FF"/>
    <w:rsid w:val="00526167"/>
    <w:rsid w:val="005278A5"/>
    <w:rsid w:val="00541098"/>
    <w:rsid w:val="005430FE"/>
    <w:rsid w:val="00544AFB"/>
    <w:rsid w:val="005557EF"/>
    <w:rsid w:val="00563E8A"/>
    <w:rsid w:val="00571B49"/>
    <w:rsid w:val="005743AE"/>
    <w:rsid w:val="00576BCE"/>
    <w:rsid w:val="00577F53"/>
    <w:rsid w:val="0058090A"/>
    <w:rsid w:val="0058701E"/>
    <w:rsid w:val="00587815"/>
    <w:rsid w:val="0059045F"/>
    <w:rsid w:val="005904BC"/>
    <w:rsid w:val="005916EE"/>
    <w:rsid w:val="00591B2C"/>
    <w:rsid w:val="005A2653"/>
    <w:rsid w:val="005B4EA3"/>
    <w:rsid w:val="005C40FA"/>
    <w:rsid w:val="005D4708"/>
    <w:rsid w:val="005D64CA"/>
    <w:rsid w:val="005E0E8D"/>
    <w:rsid w:val="005E306F"/>
    <w:rsid w:val="005E5717"/>
    <w:rsid w:val="005E6DB2"/>
    <w:rsid w:val="005F2117"/>
    <w:rsid w:val="005F3B1C"/>
    <w:rsid w:val="005F5D85"/>
    <w:rsid w:val="00604178"/>
    <w:rsid w:val="00606941"/>
    <w:rsid w:val="00610004"/>
    <w:rsid w:val="00613251"/>
    <w:rsid w:val="00613B9A"/>
    <w:rsid w:val="0061433E"/>
    <w:rsid w:val="00616401"/>
    <w:rsid w:val="00616C66"/>
    <w:rsid w:val="00622D13"/>
    <w:rsid w:val="0062751D"/>
    <w:rsid w:val="00631C2E"/>
    <w:rsid w:val="006354AA"/>
    <w:rsid w:val="00643B9B"/>
    <w:rsid w:val="00643DDF"/>
    <w:rsid w:val="006501D5"/>
    <w:rsid w:val="00651A24"/>
    <w:rsid w:val="00651BAD"/>
    <w:rsid w:val="00652858"/>
    <w:rsid w:val="006534F8"/>
    <w:rsid w:val="00661AFA"/>
    <w:rsid w:val="00662997"/>
    <w:rsid w:val="00662F4E"/>
    <w:rsid w:val="006726BF"/>
    <w:rsid w:val="00677B77"/>
    <w:rsid w:val="006801DA"/>
    <w:rsid w:val="00680AD9"/>
    <w:rsid w:val="00680B3C"/>
    <w:rsid w:val="00681BAD"/>
    <w:rsid w:val="006860CB"/>
    <w:rsid w:val="0068718A"/>
    <w:rsid w:val="006918AF"/>
    <w:rsid w:val="006978B6"/>
    <w:rsid w:val="006A2739"/>
    <w:rsid w:val="006A7024"/>
    <w:rsid w:val="006B2EBF"/>
    <w:rsid w:val="006B4C95"/>
    <w:rsid w:val="006B5C95"/>
    <w:rsid w:val="006C154A"/>
    <w:rsid w:val="006D2DDB"/>
    <w:rsid w:val="006D41D1"/>
    <w:rsid w:val="006E14B0"/>
    <w:rsid w:val="006E7AAA"/>
    <w:rsid w:val="006F0108"/>
    <w:rsid w:val="006F0FA6"/>
    <w:rsid w:val="006F31D4"/>
    <w:rsid w:val="006F3F5A"/>
    <w:rsid w:val="006F5B8E"/>
    <w:rsid w:val="006F66DB"/>
    <w:rsid w:val="006F78E7"/>
    <w:rsid w:val="00700FD6"/>
    <w:rsid w:val="00703C9C"/>
    <w:rsid w:val="00704AE6"/>
    <w:rsid w:val="007062CF"/>
    <w:rsid w:val="00706E51"/>
    <w:rsid w:val="007106DB"/>
    <w:rsid w:val="007112BB"/>
    <w:rsid w:val="007153A2"/>
    <w:rsid w:val="00715A56"/>
    <w:rsid w:val="007170DA"/>
    <w:rsid w:val="00720A1E"/>
    <w:rsid w:val="007236E3"/>
    <w:rsid w:val="00724A68"/>
    <w:rsid w:val="007271BF"/>
    <w:rsid w:val="00730DD3"/>
    <w:rsid w:val="00731624"/>
    <w:rsid w:val="00732B5D"/>
    <w:rsid w:val="00733224"/>
    <w:rsid w:val="00735A34"/>
    <w:rsid w:val="00742A49"/>
    <w:rsid w:val="0074391E"/>
    <w:rsid w:val="00745ED1"/>
    <w:rsid w:val="007511ED"/>
    <w:rsid w:val="00755F11"/>
    <w:rsid w:val="007574B6"/>
    <w:rsid w:val="007576B9"/>
    <w:rsid w:val="00764128"/>
    <w:rsid w:val="007661A1"/>
    <w:rsid w:val="00770BC5"/>
    <w:rsid w:val="007738AA"/>
    <w:rsid w:val="007808BD"/>
    <w:rsid w:val="007824B8"/>
    <w:rsid w:val="007910DD"/>
    <w:rsid w:val="0079114A"/>
    <w:rsid w:val="007A1BC3"/>
    <w:rsid w:val="007A3EC1"/>
    <w:rsid w:val="007A79C6"/>
    <w:rsid w:val="007B1ED9"/>
    <w:rsid w:val="007B3368"/>
    <w:rsid w:val="007B4A7D"/>
    <w:rsid w:val="007B65A1"/>
    <w:rsid w:val="007C5C56"/>
    <w:rsid w:val="007D0853"/>
    <w:rsid w:val="007D0A69"/>
    <w:rsid w:val="007D3CA9"/>
    <w:rsid w:val="007D40D2"/>
    <w:rsid w:val="007D6DC4"/>
    <w:rsid w:val="007E2FC0"/>
    <w:rsid w:val="007E68FE"/>
    <w:rsid w:val="007E7215"/>
    <w:rsid w:val="007F1959"/>
    <w:rsid w:val="007F2324"/>
    <w:rsid w:val="007F3E0C"/>
    <w:rsid w:val="007F56D4"/>
    <w:rsid w:val="00802F62"/>
    <w:rsid w:val="00804D9A"/>
    <w:rsid w:val="00805C1B"/>
    <w:rsid w:val="008120C9"/>
    <w:rsid w:val="00812387"/>
    <w:rsid w:val="008143D3"/>
    <w:rsid w:val="00821B04"/>
    <w:rsid w:val="0082774C"/>
    <w:rsid w:val="0083426D"/>
    <w:rsid w:val="00840420"/>
    <w:rsid w:val="00844C9A"/>
    <w:rsid w:val="00847813"/>
    <w:rsid w:val="008523BE"/>
    <w:rsid w:val="00853463"/>
    <w:rsid w:val="008679F9"/>
    <w:rsid w:val="00870483"/>
    <w:rsid w:val="00873681"/>
    <w:rsid w:val="008756F1"/>
    <w:rsid w:val="008773B2"/>
    <w:rsid w:val="00882DC3"/>
    <w:rsid w:val="008875E5"/>
    <w:rsid w:val="00887878"/>
    <w:rsid w:val="008912FF"/>
    <w:rsid w:val="0089130A"/>
    <w:rsid w:val="00893F25"/>
    <w:rsid w:val="00895035"/>
    <w:rsid w:val="008A1D30"/>
    <w:rsid w:val="008A2643"/>
    <w:rsid w:val="008A2AFC"/>
    <w:rsid w:val="008A5700"/>
    <w:rsid w:val="008B0B04"/>
    <w:rsid w:val="008B1D79"/>
    <w:rsid w:val="008B2617"/>
    <w:rsid w:val="008B2B14"/>
    <w:rsid w:val="008B7313"/>
    <w:rsid w:val="008B7D67"/>
    <w:rsid w:val="008C3175"/>
    <w:rsid w:val="008C6AED"/>
    <w:rsid w:val="008C7604"/>
    <w:rsid w:val="008D1944"/>
    <w:rsid w:val="008E1B27"/>
    <w:rsid w:val="008E232C"/>
    <w:rsid w:val="008E76D7"/>
    <w:rsid w:val="008E7E43"/>
    <w:rsid w:val="00900828"/>
    <w:rsid w:val="00903379"/>
    <w:rsid w:val="00906975"/>
    <w:rsid w:val="009069DA"/>
    <w:rsid w:val="00911BEC"/>
    <w:rsid w:val="009133A8"/>
    <w:rsid w:val="00917089"/>
    <w:rsid w:val="00917881"/>
    <w:rsid w:val="00917F0B"/>
    <w:rsid w:val="00917F8B"/>
    <w:rsid w:val="00920891"/>
    <w:rsid w:val="0092416A"/>
    <w:rsid w:val="009330C3"/>
    <w:rsid w:val="0094067C"/>
    <w:rsid w:val="00941790"/>
    <w:rsid w:val="0094414F"/>
    <w:rsid w:val="00944A0D"/>
    <w:rsid w:val="00946A69"/>
    <w:rsid w:val="0094760C"/>
    <w:rsid w:val="00960257"/>
    <w:rsid w:val="00960964"/>
    <w:rsid w:val="00960E50"/>
    <w:rsid w:val="00961241"/>
    <w:rsid w:val="00965E4D"/>
    <w:rsid w:val="00973B58"/>
    <w:rsid w:val="00981E78"/>
    <w:rsid w:val="009A11A9"/>
    <w:rsid w:val="009A3847"/>
    <w:rsid w:val="009A53E0"/>
    <w:rsid w:val="009B1D5C"/>
    <w:rsid w:val="009C2D3A"/>
    <w:rsid w:val="009C2E31"/>
    <w:rsid w:val="009C5368"/>
    <w:rsid w:val="009D3956"/>
    <w:rsid w:val="009D5EFA"/>
    <w:rsid w:val="009D6C8D"/>
    <w:rsid w:val="009E1955"/>
    <w:rsid w:val="009E20F7"/>
    <w:rsid w:val="009E32DC"/>
    <w:rsid w:val="009E4256"/>
    <w:rsid w:val="009E47B2"/>
    <w:rsid w:val="009F3A19"/>
    <w:rsid w:val="009F466A"/>
    <w:rsid w:val="00A04A30"/>
    <w:rsid w:val="00A0533D"/>
    <w:rsid w:val="00A05674"/>
    <w:rsid w:val="00A05B50"/>
    <w:rsid w:val="00A11BBC"/>
    <w:rsid w:val="00A1722E"/>
    <w:rsid w:val="00A2412C"/>
    <w:rsid w:val="00A2474D"/>
    <w:rsid w:val="00A27639"/>
    <w:rsid w:val="00A30A6F"/>
    <w:rsid w:val="00A31BA9"/>
    <w:rsid w:val="00A31F0C"/>
    <w:rsid w:val="00A36A7C"/>
    <w:rsid w:val="00A46014"/>
    <w:rsid w:val="00A47934"/>
    <w:rsid w:val="00A50379"/>
    <w:rsid w:val="00A51EC4"/>
    <w:rsid w:val="00A527AA"/>
    <w:rsid w:val="00A52A93"/>
    <w:rsid w:val="00A5684D"/>
    <w:rsid w:val="00A570CF"/>
    <w:rsid w:val="00A57C6D"/>
    <w:rsid w:val="00A60056"/>
    <w:rsid w:val="00A602F2"/>
    <w:rsid w:val="00A61028"/>
    <w:rsid w:val="00A66ED9"/>
    <w:rsid w:val="00A67B60"/>
    <w:rsid w:val="00A67D82"/>
    <w:rsid w:val="00A67FC0"/>
    <w:rsid w:val="00A707B2"/>
    <w:rsid w:val="00A70D82"/>
    <w:rsid w:val="00A712B7"/>
    <w:rsid w:val="00A715A6"/>
    <w:rsid w:val="00A75C61"/>
    <w:rsid w:val="00A834BB"/>
    <w:rsid w:val="00A83B6D"/>
    <w:rsid w:val="00A8560F"/>
    <w:rsid w:val="00A9324C"/>
    <w:rsid w:val="00A9601B"/>
    <w:rsid w:val="00A96F8F"/>
    <w:rsid w:val="00A97C1A"/>
    <w:rsid w:val="00AA0AFF"/>
    <w:rsid w:val="00AA4A2A"/>
    <w:rsid w:val="00AB5CEE"/>
    <w:rsid w:val="00AB7779"/>
    <w:rsid w:val="00AC4287"/>
    <w:rsid w:val="00AC4E07"/>
    <w:rsid w:val="00AC7569"/>
    <w:rsid w:val="00AD100E"/>
    <w:rsid w:val="00AD5B8B"/>
    <w:rsid w:val="00AD6876"/>
    <w:rsid w:val="00AD7FB5"/>
    <w:rsid w:val="00AE1E36"/>
    <w:rsid w:val="00AE3443"/>
    <w:rsid w:val="00AE3A9D"/>
    <w:rsid w:val="00AF0B88"/>
    <w:rsid w:val="00AF1DCF"/>
    <w:rsid w:val="00AF62E5"/>
    <w:rsid w:val="00AF6D12"/>
    <w:rsid w:val="00AF74AA"/>
    <w:rsid w:val="00B01424"/>
    <w:rsid w:val="00B02BBE"/>
    <w:rsid w:val="00B03C2F"/>
    <w:rsid w:val="00B0589B"/>
    <w:rsid w:val="00B06EF8"/>
    <w:rsid w:val="00B10290"/>
    <w:rsid w:val="00B15064"/>
    <w:rsid w:val="00B22463"/>
    <w:rsid w:val="00B24E41"/>
    <w:rsid w:val="00B25340"/>
    <w:rsid w:val="00B262DC"/>
    <w:rsid w:val="00B31331"/>
    <w:rsid w:val="00B340A3"/>
    <w:rsid w:val="00B410F5"/>
    <w:rsid w:val="00B421DF"/>
    <w:rsid w:val="00B43AE6"/>
    <w:rsid w:val="00B47B4F"/>
    <w:rsid w:val="00B54111"/>
    <w:rsid w:val="00B5754C"/>
    <w:rsid w:val="00B57C18"/>
    <w:rsid w:val="00B6201C"/>
    <w:rsid w:val="00B6280C"/>
    <w:rsid w:val="00B671A4"/>
    <w:rsid w:val="00B71F4D"/>
    <w:rsid w:val="00B72CD4"/>
    <w:rsid w:val="00B74E52"/>
    <w:rsid w:val="00B80577"/>
    <w:rsid w:val="00B80BAD"/>
    <w:rsid w:val="00B812A9"/>
    <w:rsid w:val="00B85B00"/>
    <w:rsid w:val="00B934AF"/>
    <w:rsid w:val="00B95E3B"/>
    <w:rsid w:val="00B96A7D"/>
    <w:rsid w:val="00BA03E4"/>
    <w:rsid w:val="00BA3C54"/>
    <w:rsid w:val="00BA6D9B"/>
    <w:rsid w:val="00BB0E14"/>
    <w:rsid w:val="00BB46AC"/>
    <w:rsid w:val="00BD376C"/>
    <w:rsid w:val="00BD537E"/>
    <w:rsid w:val="00BE156F"/>
    <w:rsid w:val="00BE15C3"/>
    <w:rsid w:val="00BE16C5"/>
    <w:rsid w:val="00BE2777"/>
    <w:rsid w:val="00BE6F46"/>
    <w:rsid w:val="00BE71A7"/>
    <w:rsid w:val="00BF0508"/>
    <w:rsid w:val="00BF0D9D"/>
    <w:rsid w:val="00BF132F"/>
    <w:rsid w:val="00C075E1"/>
    <w:rsid w:val="00C13878"/>
    <w:rsid w:val="00C13B84"/>
    <w:rsid w:val="00C20286"/>
    <w:rsid w:val="00C24E5C"/>
    <w:rsid w:val="00C32DCE"/>
    <w:rsid w:val="00C402EA"/>
    <w:rsid w:val="00C4615F"/>
    <w:rsid w:val="00C46D28"/>
    <w:rsid w:val="00C6466C"/>
    <w:rsid w:val="00C6489C"/>
    <w:rsid w:val="00C71BC6"/>
    <w:rsid w:val="00C7670C"/>
    <w:rsid w:val="00C818DE"/>
    <w:rsid w:val="00C8455F"/>
    <w:rsid w:val="00C84EAB"/>
    <w:rsid w:val="00C85001"/>
    <w:rsid w:val="00C85102"/>
    <w:rsid w:val="00C854AA"/>
    <w:rsid w:val="00C8638D"/>
    <w:rsid w:val="00C86D8F"/>
    <w:rsid w:val="00C915CB"/>
    <w:rsid w:val="00C9750E"/>
    <w:rsid w:val="00CA1705"/>
    <w:rsid w:val="00CA28CE"/>
    <w:rsid w:val="00CA5257"/>
    <w:rsid w:val="00CB0AC9"/>
    <w:rsid w:val="00CB2264"/>
    <w:rsid w:val="00CB44E7"/>
    <w:rsid w:val="00CB4F01"/>
    <w:rsid w:val="00CC2417"/>
    <w:rsid w:val="00CC2AA7"/>
    <w:rsid w:val="00CC681B"/>
    <w:rsid w:val="00CD0D1D"/>
    <w:rsid w:val="00CD35A9"/>
    <w:rsid w:val="00CE04AA"/>
    <w:rsid w:val="00CE1A54"/>
    <w:rsid w:val="00CE286D"/>
    <w:rsid w:val="00CE7659"/>
    <w:rsid w:val="00CF00AF"/>
    <w:rsid w:val="00CF032D"/>
    <w:rsid w:val="00CF5301"/>
    <w:rsid w:val="00CF59D4"/>
    <w:rsid w:val="00CF5FB6"/>
    <w:rsid w:val="00CF7235"/>
    <w:rsid w:val="00D00782"/>
    <w:rsid w:val="00D0137F"/>
    <w:rsid w:val="00D02518"/>
    <w:rsid w:val="00D03F45"/>
    <w:rsid w:val="00D049C1"/>
    <w:rsid w:val="00D04D26"/>
    <w:rsid w:val="00D07713"/>
    <w:rsid w:val="00D12C33"/>
    <w:rsid w:val="00D1314A"/>
    <w:rsid w:val="00D1342E"/>
    <w:rsid w:val="00D1473F"/>
    <w:rsid w:val="00D17454"/>
    <w:rsid w:val="00D27A31"/>
    <w:rsid w:val="00D33FBC"/>
    <w:rsid w:val="00D34D9E"/>
    <w:rsid w:val="00D35FC2"/>
    <w:rsid w:val="00D402C0"/>
    <w:rsid w:val="00D40529"/>
    <w:rsid w:val="00D43F81"/>
    <w:rsid w:val="00D44426"/>
    <w:rsid w:val="00D44B56"/>
    <w:rsid w:val="00D479F2"/>
    <w:rsid w:val="00D56589"/>
    <w:rsid w:val="00D60F66"/>
    <w:rsid w:val="00D62AD6"/>
    <w:rsid w:val="00D7299B"/>
    <w:rsid w:val="00D732AF"/>
    <w:rsid w:val="00D73864"/>
    <w:rsid w:val="00D7520A"/>
    <w:rsid w:val="00D7535C"/>
    <w:rsid w:val="00D76302"/>
    <w:rsid w:val="00D778BA"/>
    <w:rsid w:val="00D77D7F"/>
    <w:rsid w:val="00D82A34"/>
    <w:rsid w:val="00D87059"/>
    <w:rsid w:val="00D87298"/>
    <w:rsid w:val="00D95051"/>
    <w:rsid w:val="00D97277"/>
    <w:rsid w:val="00DA5A6E"/>
    <w:rsid w:val="00DA5CE2"/>
    <w:rsid w:val="00DB11D3"/>
    <w:rsid w:val="00DB6035"/>
    <w:rsid w:val="00DC0267"/>
    <w:rsid w:val="00DC57C9"/>
    <w:rsid w:val="00DC5AE1"/>
    <w:rsid w:val="00DD1D22"/>
    <w:rsid w:val="00DD3E82"/>
    <w:rsid w:val="00DD6739"/>
    <w:rsid w:val="00DE10E8"/>
    <w:rsid w:val="00DE36E9"/>
    <w:rsid w:val="00DF0238"/>
    <w:rsid w:val="00DF3A06"/>
    <w:rsid w:val="00E030FD"/>
    <w:rsid w:val="00E07A03"/>
    <w:rsid w:val="00E13662"/>
    <w:rsid w:val="00E13C17"/>
    <w:rsid w:val="00E16FDA"/>
    <w:rsid w:val="00E20E7B"/>
    <w:rsid w:val="00E25FDE"/>
    <w:rsid w:val="00E27E68"/>
    <w:rsid w:val="00E30937"/>
    <w:rsid w:val="00E334DD"/>
    <w:rsid w:val="00E354BA"/>
    <w:rsid w:val="00E3581F"/>
    <w:rsid w:val="00E35F58"/>
    <w:rsid w:val="00E375F4"/>
    <w:rsid w:val="00E41441"/>
    <w:rsid w:val="00E42619"/>
    <w:rsid w:val="00E45BD9"/>
    <w:rsid w:val="00E467E2"/>
    <w:rsid w:val="00E51D10"/>
    <w:rsid w:val="00E524D4"/>
    <w:rsid w:val="00E66FFC"/>
    <w:rsid w:val="00E73238"/>
    <w:rsid w:val="00E7430E"/>
    <w:rsid w:val="00E759D6"/>
    <w:rsid w:val="00E84A8C"/>
    <w:rsid w:val="00E85A13"/>
    <w:rsid w:val="00E85A3A"/>
    <w:rsid w:val="00E866D1"/>
    <w:rsid w:val="00E86F27"/>
    <w:rsid w:val="00E91A09"/>
    <w:rsid w:val="00E94DAA"/>
    <w:rsid w:val="00E9716A"/>
    <w:rsid w:val="00E976DE"/>
    <w:rsid w:val="00EA7537"/>
    <w:rsid w:val="00EB0B55"/>
    <w:rsid w:val="00EB1D29"/>
    <w:rsid w:val="00EB4A4A"/>
    <w:rsid w:val="00EB5DB7"/>
    <w:rsid w:val="00EC0F83"/>
    <w:rsid w:val="00EC5C62"/>
    <w:rsid w:val="00ED33D4"/>
    <w:rsid w:val="00ED3F84"/>
    <w:rsid w:val="00ED51D9"/>
    <w:rsid w:val="00ED71F8"/>
    <w:rsid w:val="00EE3187"/>
    <w:rsid w:val="00EE7E40"/>
    <w:rsid w:val="00EF499B"/>
    <w:rsid w:val="00F03746"/>
    <w:rsid w:val="00F118C3"/>
    <w:rsid w:val="00F12D66"/>
    <w:rsid w:val="00F14977"/>
    <w:rsid w:val="00F20D61"/>
    <w:rsid w:val="00F21858"/>
    <w:rsid w:val="00F22D93"/>
    <w:rsid w:val="00F31F30"/>
    <w:rsid w:val="00F405AD"/>
    <w:rsid w:val="00F44BFB"/>
    <w:rsid w:val="00F47502"/>
    <w:rsid w:val="00F551FD"/>
    <w:rsid w:val="00F637D4"/>
    <w:rsid w:val="00F64A89"/>
    <w:rsid w:val="00F7072B"/>
    <w:rsid w:val="00F72752"/>
    <w:rsid w:val="00F87A74"/>
    <w:rsid w:val="00F96282"/>
    <w:rsid w:val="00FA1BB5"/>
    <w:rsid w:val="00FB0610"/>
    <w:rsid w:val="00FB160A"/>
    <w:rsid w:val="00FB39D4"/>
    <w:rsid w:val="00FB3D38"/>
    <w:rsid w:val="00FB4A08"/>
    <w:rsid w:val="00FB4FE6"/>
    <w:rsid w:val="00FB60B5"/>
    <w:rsid w:val="00FB72DF"/>
    <w:rsid w:val="00FC0C2A"/>
    <w:rsid w:val="00FD569C"/>
    <w:rsid w:val="00FD6C71"/>
    <w:rsid w:val="00FD7F8E"/>
    <w:rsid w:val="00FE1B41"/>
    <w:rsid w:val="00FE1EB0"/>
    <w:rsid w:val="00FE3C31"/>
    <w:rsid w:val="00FF11E4"/>
    <w:rsid w:val="02A0095B"/>
    <w:rsid w:val="04935E63"/>
    <w:rsid w:val="04B072D4"/>
    <w:rsid w:val="05F575D4"/>
    <w:rsid w:val="064249C6"/>
    <w:rsid w:val="08641132"/>
    <w:rsid w:val="08AE084F"/>
    <w:rsid w:val="09186774"/>
    <w:rsid w:val="0945438F"/>
    <w:rsid w:val="09A137B2"/>
    <w:rsid w:val="0A71587A"/>
    <w:rsid w:val="0B792C38"/>
    <w:rsid w:val="0C28640C"/>
    <w:rsid w:val="0C34090D"/>
    <w:rsid w:val="0DC54EF5"/>
    <w:rsid w:val="0DC74A35"/>
    <w:rsid w:val="0E90599A"/>
    <w:rsid w:val="0ED720CD"/>
    <w:rsid w:val="0F49087E"/>
    <w:rsid w:val="119C142F"/>
    <w:rsid w:val="12070CAE"/>
    <w:rsid w:val="145F688C"/>
    <w:rsid w:val="15DD2205"/>
    <w:rsid w:val="17072842"/>
    <w:rsid w:val="17A67110"/>
    <w:rsid w:val="1864189B"/>
    <w:rsid w:val="18D73A7D"/>
    <w:rsid w:val="19557370"/>
    <w:rsid w:val="1AFA0F74"/>
    <w:rsid w:val="1B79633D"/>
    <w:rsid w:val="1BD06B6A"/>
    <w:rsid w:val="1C625023"/>
    <w:rsid w:val="1CE617B0"/>
    <w:rsid w:val="1DF779ED"/>
    <w:rsid w:val="1F171A10"/>
    <w:rsid w:val="1F435D1C"/>
    <w:rsid w:val="1F782BDE"/>
    <w:rsid w:val="1FC66C10"/>
    <w:rsid w:val="204A6A53"/>
    <w:rsid w:val="204D7D98"/>
    <w:rsid w:val="218303D4"/>
    <w:rsid w:val="21D50045"/>
    <w:rsid w:val="22794E74"/>
    <w:rsid w:val="23317869"/>
    <w:rsid w:val="23B9329E"/>
    <w:rsid w:val="24816262"/>
    <w:rsid w:val="25650CAE"/>
    <w:rsid w:val="257A162F"/>
    <w:rsid w:val="26406598"/>
    <w:rsid w:val="28080056"/>
    <w:rsid w:val="28414686"/>
    <w:rsid w:val="28734C1A"/>
    <w:rsid w:val="28885E11"/>
    <w:rsid w:val="28C72DDD"/>
    <w:rsid w:val="28CE3D8E"/>
    <w:rsid w:val="291E0523"/>
    <w:rsid w:val="29EE0E64"/>
    <w:rsid w:val="2B364ACF"/>
    <w:rsid w:val="2BC4020A"/>
    <w:rsid w:val="2C4B6AFC"/>
    <w:rsid w:val="2EF90F16"/>
    <w:rsid w:val="2F125C63"/>
    <w:rsid w:val="302C3D0A"/>
    <w:rsid w:val="3104598F"/>
    <w:rsid w:val="33DE31BB"/>
    <w:rsid w:val="37873738"/>
    <w:rsid w:val="389C49C0"/>
    <w:rsid w:val="38DC112C"/>
    <w:rsid w:val="39BC78F4"/>
    <w:rsid w:val="3B35486F"/>
    <w:rsid w:val="3B540C8C"/>
    <w:rsid w:val="3EF1250A"/>
    <w:rsid w:val="40567DB0"/>
    <w:rsid w:val="40E35E83"/>
    <w:rsid w:val="40FF5CD2"/>
    <w:rsid w:val="42DB40B0"/>
    <w:rsid w:val="43236A0A"/>
    <w:rsid w:val="43B71B0A"/>
    <w:rsid w:val="44B92BB7"/>
    <w:rsid w:val="44FA0589"/>
    <w:rsid w:val="45A656D1"/>
    <w:rsid w:val="45A663E3"/>
    <w:rsid w:val="46236D21"/>
    <w:rsid w:val="469F09AF"/>
    <w:rsid w:val="489075D7"/>
    <w:rsid w:val="49494CF1"/>
    <w:rsid w:val="49F904C5"/>
    <w:rsid w:val="4AF869CF"/>
    <w:rsid w:val="4B756271"/>
    <w:rsid w:val="4BD50ABE"/>
    <w:rsid w:val="4BF70A34"/>
    <w:rsid w:val="4C2B00B5"/>
    <w:rsid w:val="4C8E1CA8"/>
    <w:rsid w:val="4D385BFD"/>
    <w:rsid w:val="4D6D36A4"/>
    <w:rsid w:val="4DDC4386"/>
    <w:rsid w:val="4E43715F"/>
    <w:rsid w:val="4F381582"/>
    <w:rsid w:val="4F7A5C04"/>
    <w:rsid w:val="510903EF"/>
    <w:rsid w:val="511F25B1"/>
    <w:rsid w:val="53F137F4"/>
    <w:rsid w:val="54202D78"/>
    <w:rsid w:val="543A6906"/>
    <w:rsid w:val="55A0213D"/>
    <w:rsid w:val="56850CBB"/>
    <w:rsid w:val="56C95F5D"/>
    <w:rsid w:val="59D8738A"/>
    <w:rsid w:val="5A666D76"/>
    <w:rsid w:val="5B2253C2"/>
    <w:rsid w:val="5C1B076F"/>
    <w:rsid w:val="5CD34BA6"/>
    <w:rsid w:val="5CF02E0F"/>
    <w:rsid w:val="5F3A0F0C"/>
    <w:rsid w:val="60196D73"/>
    <w:rsid w:val="603269D2"/>
    <w:rsid w:val="60BB7E2A"/>
    <w:rsid w:val="612571F9"/>
    <w:rsid w:val="614C4F26"/>
    <w:rsid w:val="61A52BCA"/>
    <w:rsid w:val="61F034F0"/>
    <w:rsid w:val="62DC1F40"/>
    <w:rsid w:val="66682803"/>
    <w:rsid w:val="67095496"/>
    <w:rsid w:val="670D5158"/>
    <w:rsid w:val="67EC2FBF"/>
    <w:rsid w:val="67ED7463"/>
    <w:rsid w:val="681A546A"/>
    <w:rsid w:val="68831B76"/>
    <w:rsid w:val="68FE0743"/>
    <w:rsid w:val="69CB37D4"/>
    <w:rsid w:val="6A0D5B9B"/>
    <w:rsid w:val="6A3B23B1"/>
    <w:rsid w:val="6AEA32DC"/>
    <w:rsid w:val="6C335661"/>
    <w:rsid w:val="6CC24AB5"/>
    <w:rsid w:val="6D9271B2"/>
    <w:rsid w:val="6EAC5256"/>
    <w:rsid w:val="6ED924EF"/>
    <w:rsid w:val="6F134790"/>
    <w:rsid w:val="6FE81F5F"/>
    <w:rsid w:val="721D26F3"/>
    <w:rsid w:val="72446028"/>
    <w:rsid w:val="72671BC0"/>
    <w:rsid w:val="73076EC0"/>
    <w:rsid w:val="74210CA6"/>
    <w:rsid w:val="746F4E76"/>
    <w:rsid w:val="788C25F5"/>
    <w:rsid w:val="79484EF1"/>
    <w:rsid w:val="79F72AA9"/>
    <w:rsid w:val="7A144529"/>
    <w:rsid w:val="7B2F7F72"/>
    <w:rsid w:val="7C06244A"/>
    <w:rsid w:val="7C7B5969"/>
    <w:rsid w:val="7DB61C4E"/>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pPr>
      <w:ind w:left="220"/>
    </w:pPr>
    <w:rPr>
      <w:sz w:val="32"/>
      <w:szCs w:val="32"/>
    </w:rPr>
  </w:style>
  <w:style w:type="paragraph" w:styleId="5">
    <w:name w:val="Balloon Text"/>
    <w:basedOn w:val="1"/>
    <w:link w:val="17"/>
    <w:qFormat/>
    <w:uiPriority w:val="0"/>
    <w:rPr>
      <w:sz w:val="18"/>
      <w:szCs w:val="18"/>
    </w:rPr>
  </w:style>
  <w:style w:type="paragraph" w:styleId="6">
    <w:name w:val="footer"/>
    <w:basedOn w:val="1"/>
    <w:link w:val="14"/>
    <w:qFormat/>
    <w:uiPriority w:val="99"/>
    <w:pPr>
      <w:tabs>
        <w:tab w:val="center" w:pos="4153"/>
        <w:tab w:val="right" w:pos="8306"/>
      </w:tabs>
      <w:snapToGrid w:val="0"/>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qFormat/>
    <w:uiPriority w:val="0"/>
    <w:rPr>
      <w:b/>
      <w:bCs/>
    </w:rPr>
  </w:style>
  <w:style w:type="character" w:styleId="11">
    <w:name w:val="annotation reference"/>
    <w:basedOn w:val="10"/>
    <w:qFormat/>
    <w:uiPriority w:val="0"/>
    <w:rPr>
      <w:sz w:val="21"/>
      <w:szCs w:val="21"/>
    </w:rPr>
  </w:style>
  <w:style w:type="paragraph" w:customStyle="1" w:styleId="12">
    <w:name w:val="Table Paragraph"/>
    <w:basedOn w:val="1"/>
    <w:qFormat/>
    <w:uiPriority w:val="1"/>
  </w:style>
  <w:style w:type="character" w:customStyle="1" w:styleId="13">
    <w:name w:val="页眉 字符"/>
    <w:basedOn w:val="10"/>
    <w:link w:val="7"/>
    <w:qFormat/>
    <w:uiPriority w:val="0"/>
    <w:rPr>
      <w:rFonts w:ascii="仿宋" w:hAnsi="仿宋" w:eastAsia="仿宋" w:cs="仿宋"/>
      <w:sz w:val="18"/>
      <w:szCs w:val="18"/>
      <w:lang w:val="zh-CN" w:bidi="zh-CN"/>
    </w:rPr>
  </w:style>
  <w:style w:type="character" w:customStyle="1" w:styleId="14">
    <w:name w:val="页脚 字符"/>
    <w:basedOn w:val="10"/>
    <w:link w:val="6"/>
    <w:qFormat/>
    <w:uiPriority w:val="99"/>
    <w:rPr>
      <w:rFonts w:ascii="仿宋" w:hAnsi="仿宋" w:eastAsia="仿宋" w:cs="仿宋"/>
      <w:sz w:val="18"/>
      <w:szCs w:val="18"/>
      <w:lang w:val="zh-CN" w:bidi="zh-CN"/>
    </w:rPr>
  </w:style>
  <w:style w:type="character" w:customStyle="1" w:styleId="15">
    <w:name w:val="批注文字 字符"/>
    <w:basedOn w:val="10"/>
    <w:link w:val="3"/>
    <w:qFormat/>
    <w:uiPriority w:val="0"/>
    <w:rPr>
      <w:rFonts w:ascii="仿宋" w:hAnsi="仿宋" w:eastAsia="仿宋" w:cs="仿宋"/>
      <w:sz w:val="22"/>
      <w:szCs w:val="22"/>
      <w:lang w:val="zh-CN" w:bidi="zh-CN"/>
    </w:rPr>
  </w:style>
  <w:style w:type="character" w:customStyle="1" w:styleId="16">
    <w:name w:val="批注主题 字符"/>
    <w:basedOn w:val="15"/>
    <w:link w:val="8"/>
    <w:qFormat/>
    <w:uiPriority w:val="0"/>
    <w:rPr>
      <w:rFonts w:ascii="仿宋" w:hAnsi="仿宋" w:eastAsia="仿宋" w:cs="仿宋"/>
      <w:b/>
      <w:bCs/>
      <w:sz w:val="22"/>
      <w:szCs w:val="22"/>
      <w:lang w:val="zh-CN" w:bidi="zh-CN"/>
    </w:rPr>
  </w:style>
  <w:style w:type="character" w:customStyle="1" w:styleId="17">
    <w:name w:val="批注框文本 字符"/>
    <w:basedOn w:val="10"/>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df0b65ae-e098-441c-8a08-ca9f13eeb53b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1D487FBD</paraID>
      <start>9</start>
      <end>10</end>
      <status>unmodified</status>
      <modifiedWord/>
      <trackRevisions>false</trackRevisions>
    </reviewItem>
    <reviewItem>
      <errorID>da14a497-f35b-46a8-b100-2f0d11986b29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1B434CD7</paraID>
      <start>0</start>
      <end>2</end>
      <status>unmodified</status>
      <modifiedWord/>
      <trackRevisions>false</trackRevisions>
    </reviewItem>
    <reviewItem>
      <errorID>ca17fd7f-9e24-4b36-80ac-fc8a6c873868</errorID>
      <errorWord>等待批产</errorWord>
      <group>L1_Word</group>
      <groupName>字词问题</groupName>
      <ability>L2_Typo</ability>
      <abilityName>字词错误</abilityName>
      <candidateList>
        <item>等待破产</item>
      </candidateList>
      <explain/>
      <paraID>4F047A93</paraID>
      <start>262</start>
      <end>266</end>
      <status>unmodified</status>
      <modifiedWord/>
      <trackRevisions>false</trackRevisions>
    </reviewItem>
    <reviewItem>
      <errorID>7999d635-e24d-4307-bac8-ddfe89e96dce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28C18DFF</paraID>
      <start>0</start>
      <end>2</end>
      <status>unmodified</status>
      <modifiedWord/>
      <trackRevisions>false</trackRevisions>
    </reviewItem>
    <reviewItem>
      <errorID>a816b356-f336-43c1-8918-dc24809df0da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64A8AC7C</paraID>
      <start>0</start>
      <end>2</end>
      <status>unmodified</status>
      <modifiedWord/>
      <trackRevisions>false</trackRevisions>
    </reviewItem>
    <reviewItem>
      <errorID>0eba17d6-5968-45cf-8570-01e9f6009810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332D74D5</paraID>
      <start>0</start>
      <end>2</end>
      <status>unmodified</status>
      <modifiedWord/>
      <trackRevisions>false</trackRevisions>
    </reviewItem>
    <reviewItem>
      <errorID>eb38ef55-d018-4352-bc3a-773c326b0a6f</errorID>
      <errorWord>提升所致</errorWord>
      <group>L1_Grammar</group>
      <groupName>语法问题</groupName>
      <ability>L2_Confusion</ability>
      <abilityName>结构混乱</abilityName>
      <candidateList>
        <item>提升</item>
      </candidateList>
      <explain>句子中可能存在两种以上的句法结构，导致结构混乱。</explain>
      <paraID>4AB949BA</paraID>
      <start>77</start>
      <end>81</end>
      <status>ignored</status>
      <modifiedWord/>
      <trackRevisions>false</trackRevisions>
    </reviewItem>
    <reviewItem>
      <errorID>f5a56694-fafb-4465-8ee4-a75852865b5d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7D9A701F</paraID>
      <start>0</start>
      <end>2</end>
      <status>unmodified</status>
      <modifiedWord/>
      <trackRevisions>false</trackRevisions>
    </reviewItem>
    <reviewItem>
      <errorID>55ec828a-b164-4154-a109-424740dd1a6f</errorID>
      <errorWord>建</errorWord>
      <group>L1_Word</group>
      <groupName>字词问题</groupName>
      <ability>L2_Typo</ability>
      <abilityName>字词错误</abilityName>
      <candidateList>
        <item>建生</item>
      </candidateList>
      <explain/>
      <paraID>71086B39</paraID>
      <start>41</start>
      <end>42</end>
      <status>unmodified</status>
      <modifiedWord/>
      <trackRevisions>false</trackRevisions>
    </reviewItem>
    <reviewItem>
      <errorID>945cf67b-b3f2-46dc-8848-ba49d112711d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72BF4FBA</paraID>
      <start>0</start>
      <end>2</end>
      <status>unmodified</status>
      <modifiedWord/>
      <trackRevisions>false</trackRevisions>
    </reviewItem>
    <reviewItem>
      <errorID>abcbbfc2-2aa7-49fc-a031-b05ec5731506</errorID>
      <errorWord>等待批产</errorWord>
      <group>L1_Word</group>
      <groupName>字词问题</groupName>
      <ability>L2_Typo</ability>
      <abilityName>字词错误</abilityName>
      <candidateList>
        <item>等待破产</item>
      </candidateList>
      <explain/>
      <paraID>72BF4FBA</paraID>
      <start>10</start>
      <end>14</end>
      <status>unmodified</status>
      <modifiedWord/>
      <trackRevisions>false</trackRevisions>
    </reviewItem>
    <reviewItem>
      <errorID>6c19c3d8-88b5-47ca-9262-b5a00365eac8</errorID>
      <errorWord>料</errorWord>
      <group>L1_Word</group>
      <groupName>字词问题</groupName>
      <ability>L2_Typo</ability>
      <abilityName>字词错误</abilityName>
      <candidateList>
        <item>料等</item>
      </candidateList>
      <explain/>
      <paraID> 9293FFA</paraID>
      <start>63</start>
      <end>64</end>
      <status>unmodified</status>
      <modifiedWord/>
      <trackRevisions>false</trackRevisions>
    </reviewItem>
    <reviewItem>
      <errorID>851df930-e244-457a-aa2b-9e7daf0730be</errorID>
      <errorWord>等待批产</errorWord>
      <group>L1_Word</group>
      <groupName>字词问题</groupName>
      <ability>L2_Typo</ability>
      <abilityName>字词错误</abilityName>
      <candidateList>
        <item>等待破产</item>
      </candidateList>
      <explain/>
      <paraID> 9293FFA</paraID>
      <start>149</start>
      <end>153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3e0e-37d1-425e-92dd-1bfd7eb38a40}">
  <ds:schemaRefs/>
</ds:datastoreItem>
</file>

<file path=customXml/itemProps2.xml><?xml version="1.0" encoding="utf-8"?>
<ds:datastoreItem xmlns:ds="http://schemas.openxmlformats.org/officeDocument/2006/customXml" ds:itemID="{478B2E69-AF0D-4BE8-B32A-74C1AE6C4764}">
  <ds:schemaRefs/>
</ds:datastoreItem>
</file>

<file path=docProps/app.xml><?xml version="1.0" encoding="utf-8"?>
<Properties xmlns="http://schemas.openxmlformats.org/officeDocument/2006/extended-properties" xmlns:vt="http://schemas.openxmlformats.org/officeDocument/2006/docPropsVTypes">
  <Template>Normal</Template>
  <Pages>4</Pages>
  <Words>2057</Words>
  <Characters>2110</Characters>
  <Lines>15</Lines>
  <Paragraphs>4</Paragraphs>
  <TotalTime>393</TotalTime>
  <ScaleCrop>false</ScaleCrop>
  <LinksUpToDate>false</LinksUpToDate>
  <CharactersWithSpaces>2163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2023-05-04T08:25:00Z</dcterms:created>
  <dc:creator>jie.huang</dc:creator>
  <cp:lastModifiedBy>hza</cp:lastModifiedBy>
  <dcterms:modified xsi:type="dcterms:W3CDTF">2026-07-10T08:15:49Z</dcterms:modified>
  <cp:revision>2998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036DED5CCD3D4CE0B42EED8ABEBD242F_13</vt:lpwstr>
  </property>
  <property fmtid="{D5CDD505-2E9C-101B-9397-08002B2CF9AE}" pid="4" name="KSOTemplateDocerSaveRecord">
    <vt:lpwstr>eyJoZGlkIjoiOWVhMGRlZDc1N2Q5MDFjYzM5NTBiYTRlNWNiYWVkMWQiLCJ1c2VySWQiOiIxNTk2OTQyMDc1In0=</vt:lpwstr>
  </property>
</Properties>
</file>