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D7CF2">
      <w:pPr>
        <w:spacing w:line="351" w:lineRule="auto"/>
        <w:ind w:firstLine="420" w:firstLineChars="200"/>
        <w:rPr>
          <w:rFonts w:hint="eastAsia" w:ascii="宋体" w:hAnsi="宋体" w:eastAsia="宋体" w:cs="宋体"/>
        </w:rPr>
      </w:pPr>
      <w:r>
        <w:rPr>
          <w:rFonts w:hint="eastAsia" w:ascii="宋体" w:hAnsi="宋体" w:eastAsia="宋体" w:cs="宋体"/>
        </w:rPr>
        <w:t xml:space="preserve">证券代码：688143     </w:t>
      </w:r>
      <w:r>
        <w:t xml:space="preserve">                                                                    </w:t>
      </w:r>
      <w:r>
        <w:rPr>
          <w:rFonts w:hint="eastAsia" w:ascii="宋体" w:hAnsi="宋体" w:eastAsia="宋体" w:cs="宋体"/>
        </w:rPr>
        <w:t>证券简称：长盈通</w:t>
      </w:r>
    </w:p>
    <w:p w14:paraId="60285EC1">
      <w:pPr>
        <w:spacing w:line="351" w:lineRule="auto"/>
        <w:ind w:firstLine="420" w:firstLineChars="200"/>
      </w:pPr>
      <w:r>
        <w:t xml:space="preserve"> </w:t>
      </w:r>
    </w:p>
    <w:p w14:paraId="2F97ADCB">
      <w:pPr>
        <w:spacing w:before="130" w:line="218" w:lineRule="auto"/>
        <w:jc w:val="center"/>
        <w:rPr>
          <w:rFonts w:ascii="黑体" w:hAnsi="黑体" w:eastAsia="黑体" w:cs="黑体"/>
          <w:sz w:val="40"/>
          <w:szCs w:val="40"/>
        </w:rPr>
      </w:pPr>
      <w:r>
        <w:rPr>
          <w:rFonts w:ascii="黑体" w:hAnsi="黑体" w:eastAsia="黑体" w:cs="黑体"/>
          <w:spacing w:val="1"/>
          <w:sz w:val="40"/>
          <w:szCs w:val="40"/>
          <w14:textOutline w14:w="7277" w14:cap="flat" w14:cmpd="sng" w14:algn="ctr">
            <w14:solidFill>
              <w14:srgbClr w14:val="000000"/>
            </w14:solidFill>
            <w14:prstDash w14:val="solid"/>
            <w14:miter w14:val="0"/>
          </w14:textOutline>
        </w:rPr>
        <w:t>武</w:t>
      </w:r>
      <w:r>
        <w:rPr>
          <w:rFonts w:ascii="黑体" w:hAnsi="黑体" w:eastAsia="黑体" w:cs="黑体"/>
          <w:sz w:val="40"/>
          <w:szCs w:val="40"/>
          <w14:textOutline w14:w="7277" w14:cap="flat" w14:cmpd="sng" w14:algn="ctr">
            <w14:solidFill>
              <w14:srgbClr w14:val="000000"/>
            </w14:solidFill>
            <w14:prstDash w14:val="solid"/>
            <w14:miter w14:val="0"/>
          </w14:textOutline>
        </w:rPr>
        <w:t>汉长盈通光电技术股份有限公司</w:t>
      </w:r>
    </w:p>
    <w:p w14:paraId="1F2E83B0">
      <w:pPr>
        <w:spacing w:before="151" w:line="219" w:lineRule="auto"/>
        <w:jc w:val="center"/>
        <w:rPr>
          <w:rFonts w:ascii="黑体" w:hAnsi="黑体" w:eastAsia="黑体" w:cs="黑体"/>
          <w:sz w:val="40"/>
          <w:szCs w:val="40"/>
          <w14:textOutline w14:w="7277" w14:cap="flat" w14:cmpd="sng" w14:algn="ctr">
            <w14:solidFill>
              <w14:srgbClr w14:val="000000"/>
            </w14:solidFill>
            <w14:prstDash w14:val="solid"/>
            <w14:miter w14:val="0"/>
          </w14:textOutline>
        </w:rPr>
      </w:pPr>
      <w:r>
        <w:rPr>
          <w:rFonts w:ascii="黑体" w:hAnsi="黑体" w:eastAsia="黑体" w:cs="黑体"/>
          <w:spacing w:val="1"/>
          <w:sz w:val="40"/>
          <w:szCs w:val="40"/>
          <w14:textOutline w14:w="7277" w14:cap="flat" w14:cmpd="sng" w14:algn="ctr">
            <w14:solidFill>
              <w14:srgbClr w14:val="000000"/>
            </w14:solidFill>
            <w14:prstDash w14:val="solid"/>
            <w14:miter w14:val="0"/>
          </w14:textOutline>
        </w:rPr>
        <w:t>投</w:t>
      </w:r>
      <w:r>
        <w:rPr>
          <w:rFonts w:ascii="黑体" w:hAnsi="黑体" w:eastAsia="黑体" w:cs="黑体"/>
          <w:sz w:val="40"/>
          <w:szCs w:val="40"/>
          <w14:textOutline w14:w="7277" w14:cap="flat" w14:cmpd="sng" w14:algn="ctr">
            <w14:solidFill>
              <w14:srgbClr w14:val="000000"/>
            </w14:solidFill>
            <w14:prstDash w14:val="solid"/>
            <w14:miter w14:val="0"/>
          </w14:textOutline>
        </w:rPr>
        <w:t>资者关系活动记录表</w:t>
      </w:r>
    </w:p>
    <w:p w14:paraId="75BC3E32">
      <w:pPr>
        <w:wordWrap w:val="0"/>
        <w:spacing w:before="71" w:line="360" w:lineRule="auto"/>
        <w:ind w:right="384" w:firstLine="476" w:firstLineChars="200"/>
        <w:jc w:val="right"/>
        <w:rPr>
          <w:rFonts w:hint="default" w:ascii="黑体" w:hAnsi="黑体" w:eastAsia="黑体" w:cs="黑体"/>
          <w:spacing w:val="-1"/>
          <w:sz w:val="24"/>
          <w:szCs w:val="24"/>
          <w:lang w:val="en-US" w:eastAsia="zh-CN"/>
        </w:rPr>
      </w:pPr>
      <w:r>
        <w:rPr>
          <w:rFonts w:ascii="黑体" w:hAnsi="黑体" w:eastAsia="黑体" w:cs="黑体"/>
          <w:spacing w:val="-1"/>
          <w:sz w:val="24"/>
          <w:szCs w:val="24"/>
        </w:rPr>
        <w:t>编号</w:t>
      </w:r>
      <w:r>
        <w:rPr>
          <w:rFonts w:hint="eastAsia" w:ascii="黑体" w:hAnsi="黑体" w:eastAsia="黑体" w:cs="黑体"/>
          <w:spacing w:val="-1"/>
          <w:sz w:val="24"/>
          <w:szCs w:val="24"/>
          <w:lang w:eastAsia="zh-CN"/>
        </w:rPr>
        <w:t>：</w:t>
      </w:r>
      <w:r>
        <w:rPr>
          <w:rFonts w:ascii="黑体" w:hAnsi="黑体" w:eastAsia="黑体" w:cs="黑体"/>
          <w:spacing w:val="-1"/>
          <w:sz w:val="24"/>
          <w:szCs w:val="24"/>
        </w:rPr>
        <w:t>202</w:t>
      </w:r>
      <w:r>
        <w:rPr>
          <w:rFonts w:hint="eastAsia" w:ascii="黑体" w:hAnsi="黑体" w:eastAsia="黑体" w:cs="黑体"/>
          <w:spacing w:val="-1"/>
          <w:sz w:val="24"/>
          <w:szCs w:val="24"/>
          <w:lang w:val="en-US" w:eastAsia="zh-CN"/>
        </w:rPr>
        <w:t>6</w:t>
      </w:r>
      <w:r>
        <w:rPr>
          <w:rFonts w:hint="eastAsia" w:ascii="黑体" w:hAnsi="黑体" w:eastAsia="黑体" w:cs="黑体"/>
          <w:spacing w:val="-1"/>
          <w:sz w:val="24"/>
          <w:szCs w:val="24"/>
          <w:lang w:eastAsia="zh-CN"/>
        </w:rPr>
        <w:t>-00</w:t>
      </w:r>
      <w:r>
        <w:rPr>
          <w:rFonts w:hint="eastAsia" w:ascii="黑体" w:hAnsi="黑体" w:eastAsia="黑体" w:cs="黑体"/>
          <w:spacing w:val="-1"/>
          <w:sz w:val="24"/>
          <w:szCs w:val="24"/>
          <w:lang w:val="en-US" w:eastAsia="zh-CN"/>
        </w:rPr>
        <w:t>3</w:t>
      </w:r>
    </w:p>
    <w:tbl>
      <w:tblPr>
        <w:tblStyle w:val="7"/>
        <w:tblpPr w:leftFromText="180" w:rightFromText="180" w:vertAnchor="text" w:tblpX="2" w:tblpY="1"/>
        <w:tblOverlap w:val="never"/>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83"/>
        <w:gridCol w:w="2534"/>
        <w:gridCol w:w="3256"/>
      </w:tblGrid>
      <w:tr w14:paraId="7375F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0" w:hRule="atLeast"/>
        </w:trPr>
        <w:tc>
          <w:tcPr>
            <w:tcW w:w="3283" w:type="dxa"/>
            <w:vAlign w:val="center"/>
          </w:tcPr>
          <w:p w14:paraId="124DDFBB">
            <w:pPr>
              <w:spacing w:before="78" w:line="360" w:lineRule="auto"/>
              <w:ind w:left="434"/>
              <w:jc w:val="left"/>
              <w:rPr>
                <w:rFonts w:ascii="黑体" w:hAnsi="黑体" w:eastAsia="黑体" w:cs="黑体"/>
                <w:sz w:val="24"/>
                <w:szCs w:val="24"/>
              </w:rPr>
            </w:pPr>
            <w:r>
              <w:rPr>
                <w:rFonts w:ascii="黑体" w:hAnsi="黑体" w:eastAsia="黑体" w:cs="黑体"/>
                <w:spacing w:val="1"/>
                <w:sz w:val="24"/>
                <w:szCs w:val="24"/>
                <w14:textOutline w14:w="4356" w14:cap="flat" w14:cmpd="sng" w14:algn="ctr">
                  <w14:solidFill>
                    <w14:srgbClr w14:val="000000"/>
                  </w14:solidFill>
                  <w14:prstDash w14:val="solid"/>
                  <w14:miter w14:val="0"/>
                </w14:textOutline>
              </w:rPr>
              <w:t>投</w:t>
            </w:r>
            <w:r>
              <w:rPr>
                <w:rFonts w:ascii="黑体" w:hAnsi="黑体" w:eastAsia="黑体" w:cs="黑体"/>
                <w:sz w:val="24"/>
                <w:szCs w:val="24"/>
                <w14:textOutline w14:w="4356" w14:cap="flat" w14:cmpd="sng" w14:algn="ctr">
                  <w14:solidFill>
                    <w14:srgbClr w14:val="000000"/>
                  </w14:solidFill>
                  <w14:prstDash w14:val="solid"/>
                  <w14:miter w14:val="0"/>
                </w14:textOutline>
              </w:rPr>
              <w:t>资者关系活动类别</w:t>
            </w:r>
          </w:p>
        </w:tc>
        <w:tc>
          <w:tcPr>
            <w:tcW w:w="2534" w:type="dxa"/>
            <w:tcBorders>
              <w:right w:val="nil"/>
            </w:tcBorders>
          </w:tcPr>
          <w:p w14:paraId="557DECA4">
            <w:pPr>
              <w:spacing w:before="195" w:line="240" w:lineRule="auto"/>
              <w:ind w:left="23"/>
              <w:rPr>
                <w:rFonts w:ascii="宋体" w:hAnsi="宋体" w:eastAsia="宋体" w:cs="宋体"/>
              </w:rPr>
            </w:pPr>
            <w:r>
              <w:rPr>
                <w:rFonts w:ascii="Times New Roman" w:hAnsi="Times New Roman" w:eastAsia="Times New Roman" w:cs="Times New Roman"/>
                <w:spacing w:val="-4"/>
              </w:rPr>
              <w:t>□</w:t>
            </w:r>
            <w:r>
              <w:rPr>
                <w:rFonts w:ascii="宋体" w:hAnsi="宋体" w:eastAsia="宋体" w:cs="宋体"/>
                <w:spacing w:val="-3"/>
              </w:rPr>
              <w:t>实</w:t>
            </w:r>
            <w:r>
              <w:rPr>
                <w:rFonts w:ascii="宋体" w:hAnsi="宋体" w:eastAsia="宋体" w:cs="宋体"/>
                <w:spacing w:val="-2"/>
              </w:rPr>
              <w:t>地调研</w:t>
            </w:r>
          </w:p>
          <w:p w14:paraId="45D5A93B">
            <w:pPr>
              <w:spacing w:line="240" w:lineRule="auto"/>
            </w:pPr>
          </w:p>
          <w:p w14:paraId="2ECCA2DC">
            <w:pPr>
              <w:spacing w:before="68" w:line="240" w:lineRule="auto"/>
              <w:ind w:left="23"/>
              <w:rPr>
                <w:rFonts w:ascii="宋体" w:hAnsi="宋体" w:eastAsia="宋体" w:cs="宋体"/>
              </w:rPr>
            </w:pPr>
            <w:r>
              <w:rPr>
                <w:rFonts w:ascii="Times New Roman" w:hAnsi="Times New Roman" w:eastAsia="Times New Roman" w:cs="Times New Roman"/>
                <w:spacing w:val="-4"/>
              </w:rPr>
              <w:t>□</w:t>
            </w:r>
            <w:r>
              <w:rPr>
                <w:rFonts w:ascii="宋体" w:hAnsi="宋体" w:eastAsia="宋体" w:cs="宋体"/>
                <w:spacing w:val="-3"/>
              </w:rPr>
              <w:t>媒</w:t>
            </w:r>
            <w:r>
              <w:rPr>
                <w:rFonts w:ascii="宋体" w:hAnsi="宋体" w:eastAsia="宋体" w:cs="宋体"/>
                <w:spacing w:val="-2"/>
              </w:rPr>
              <w:t>体采访</w:t>
            </w:r>
          </w:p>
          <w:p w14:paraId="4C5A6237">
            <w:pPr>
              <w:spacing w:line="240" w:lineRule="auto"/>
            </w:pPr>
          </w:p>
          <w:p w14:paraId="1BC410E5">
            <w:pPr>
              <w:spacing w:before="68" w:line="240" w:lineRule="auto"/>
              <w:ind w:left="23"/>
              <w:rPr>
                <w:rFonts w:ascii="宋体" w:hAnsi="宋体" w:eastAsia="宋体" w:cs="宋体"/>
              </w:rPr>
            </w:pPr>
            <w:r>
              <w:rPr>
                <w:rFonts w:ascii="Times New Roman" w:hAnsi="Times New Roman" w:eastAsia="Times New Roman" w:cs="Times New Roman"/>
                <w:spacing w:val="-3"/>
              </w:rPr>
              <w:t>□</w:t>
            </w:r>
            <w:r>
              <w:rPr>
                <w:rFonts w:ascii="宋体" w:hAnsi="宋体" w:eastAsia="宋体" w:cs="宋体"/>
                <w:spacing w:val="-2"/>
              </w:rPr>
              <w:t>新闻发布会</w:t>
            </w:r>
          </w:p>
          <w:p w14:paraId="6E724FE7">
            <w:pPr>
              <w:spacing w:line="240" w:lineRule="auto"/>
            </w:pPr>
          </w:p>
          <w:p w14:paraId="17BD432F">
            <w:pPr>
              <w:spacing w:before="68" w:line="240" w:lineRule="auto"/>
              <w:ind w:left="23"/>
              <w:rPr>
                <w:rFonts w:ascii="宋体" w:hAnsi="宋体" w:eastAsia="宋体" w:cs="宋体"/>
              </w:rPr>
            </w:pPr>
            <w:r>
              <w:rPr>
                <w:rFonts w:ascii="Times New Roman" w:hAnsi="Times New Roman" w:eastAsia="Times New Roman" w:cs="Times New Roman"/>
                <w:spacing w:val="-4"/>
              </w:rPr>
              <w:t>□</w:t>
            </w:r>
            <w:r>
              <w:rPr>
                <w:rFonts w:ascii="宋体" w:hAnsi="宋体" w:eastAsia="宋体" w:cs="宋体"/>
                <w:spacing w:val="-2"/>
              </w:rPr>
              <w:t>投资者交流</w:t>
            </w:r>
          </w:p>
          <w:p w14:paraId="19FCF95E">
            <w:pPr>
              <w:spacing w:line="240" w:lineRule="auto"/>
            </w:pPr>
          </w:p>
          <w:p w14:paraId="679ED1D7">
            <w:pPr>
              <w:spacing w:before="68" w:line="360" w:lineRule="auto"/>
              <w:ind w:left="23"/>
              <w:rPr>
                <w:rFonts w:hint="default" w:ascii="宋体" w:hAnsi="宋体" w:eastAsia="宋体" w:cs="宋体"/>
                <w:lang w:val="en-US" w:eastAsia="zh-CN"/>
              </w:rPr>
            </w:pPr>
            <w:r>
              <w:rPr>
                <w:rFonts w:ascii="Times New Roman" w:hAnsi="Times New Roman" w:eastAsia="Times New Roman" w:cs="Times New Roman"/>
                <w:spacing w:val="-3"/>
              </w:rPr>
              <w:t>□</w:t>
            </w:r>
            <w:r>
              <w:rPr>
                <w:rFonts w:ascii="宋体" w:hAnsi="宋体" w:eastAsia="宋体" w:cs="宋体"/>
                <w:spacing w:val="-1"/>
              </w:rPr>
              <w:t>其他</w:t>
            </w:r>
          </w:p>
        </w:tc>
        <w:tc>
          <w:tcPr>
            <w:tcW w:w="3256" w:type="dxa"/>
            <w:tcBorders>
              <w:left w:val="nil"/>
            </w:tcBorders>
          </w:tcPr>
          <w:p w14:paraId="490EC49F">
            <w:pPr>
              <w:spacing w:before="194" w:line="240" w:lineRule="auto"/>
              <w:ind w:left="462"/>
              <w:rPr>
                <w:rFonts w:ascii="宋体" w:hAnsi="宋体" w:eastAsia="宋体" w:cs="宋体"/>
              </w:rPr>
            </w:pPr>
            <w:r>
              <w:rPr>
                <w:rFonts w:ascii="Times New Roman" w:hAnsi="Times New Roman" w:eastAsia="Times New Roman" w:cs="Times New Roman"/>
                <w:spacing w:val="-3"/>
              </w:rPr>
              <w:t>□</w:t>
            </w:r>
            <w:r>
              <w:rPr>
                <w:rFonts w:ascii="宋体" w:hAnsi="宋体" w:eastAsia="宋体" w:cs="宋体"/>
                <w:spacing w:val="-2"/>
              </w:rPr>
              <w:t>分析师会议</w:t>
            </w:r>
          </w:p>
          <w:p w14:paraId="274492AB">
            <w:pPr>
              <w:spacing w:line="240" w:lineRule="auto"/>
            </w:pPr>
          </w:p>
          <w:p w14:paraId="0CDEC0CA">
            <w:pPr>
              <w:spacing w:before="68" w:line="240" w:lineRule="auto"/>
              <w:ind w:left="462"/>
              <w:rPr>
                <w:rFonts w:ascii="宋体" w:hAnsi="宋体" w:eastAsia="宋体" w:cs="宋体"/>
              </w:rPr>
            </w:pPr>
            <w:r>
              <w:rPr>
                <w:rFonts w:ascii="Times New Roman" w:hAnsi="Times New Roman" w:eastAsia="Times New Roman" w:cs="Times New Roman"/>
                <w:spacing w:val="-1"/>
              </w:rPr>
              <w:t>■</w:t>
            </w:r>
            <w:r>
              <w:rPr>
                <w:rFonts w:ascii="宋体" w:hAnsi="宋体" w:eastAsia="宋体" w:cs="宋体"/>
                <w:spacing w:val="-2"/>
              </w:rPr>
              <w:t>业绩说明会</w:t>
            </w:r>
          </w:p>
          <w:p w14:paraId="31E7C174">
            <w:pPr>
              <w:spacing w:line="240" w:lineRule="auto"/>
            </w:pPr>
          </w:p>
          <w:p w14:paraId="43E393D9">
            <w:pPr>
              <w:spacing w:before="68" w:line="240" w:lineRule="auto"/>
              <w:ind w:left="462"/>
              <w:rPr>
                <w:rFonts w:ascii="宋体" w:hAnsi="宋体" w:eastAsia="宋体" w:cs="宋体"/>
              </w:rPr>
            </w:pPr>
            <w:r>
              <w:rPr>
                <w:rFonts w:ascii="Times New Roman" w:hAnsi="Times New Roman" w:eastAsia="Times New Roman" w:cs="Times New Roman"/>
                <w:spacing w:val="-4"/>
              </w:rPr>
              <w:t>□</w:t>
            </w:r>
            <w:r>
              <w:rPr>
                <w:rFonts w:ascii="宋体" w:hAnsi="宋体" w:eastAsia="宋体" w:cs="宋体"/>
                <w:spacing w:val="-3"/>
              </w:rPr>
              <w:t>路</w:t>
            </w:r>
            <w:r>
              <w:rPr>
                <w:rFonts w:ascii="宋体" w:hAnsi="宋体" w:eastAsia="宋体" w:cs="宋体"/>
                <w:spacing w:val="-2"/>
              </w:rPr>
              <w:t>演活动</w:t>
            </w:r>
          </w:p>
          <w:p w14:paraId="08756C13">
            <w:pPr>
              <w:spacing w:line="240" w:lineRule="auto"/>
            </w:pPr>
          </w:p>
          <w:p w14:paraId="109D1919">
            <w:pPr>
              <w:spacing w:before="68" w:line="240" w:lineRule="auto"/>
              <w:ind w:left="462"/>
              <w:rPr>
                <w:rFonts w:ascii="宋体" w:hAnsi="宋体" w:eastAsia="宋体" w:cs="宋体"/>
              </w:rPr>
            </w:pPr>
            <w:r>
              <w:rPr>
                <w:rFonts w:ascii="Times New Roman" w:hAnsi="Times New Roman" w:eastAsia="Times New Roman" w:cs="Times New Roman"/>
                <w:spacing w:val="-3"/>
              </w:rPr>
              <w:t>□</w:t>
            </w:r>
            <w:r>
              <w:rPr>
                <w:rFonts w:ascii="宋体" w:hAnsi="宋体" w:eastAsia="宋体" w:cs="宋体"/>
                <w:spacing w:val="-3"/>
              </w:rPr>
              <w:t>电</w:t>
            </w:r>
            <w:r>
              <w:rPr>
                <w:rFonts w:ascii="宋体" w:hAnsi="宋体" w:eastAsia="宋体" w:cs="宋体"/>
                <w:spacing w:val="-2"/>
              </w:rPr>
              <w:t>话沟通</w:t>
            </w:r>
          </w:p>
        </w:tc>
      </w:tr>
      <w:tr w14:paraId="2BB33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9" w:hRule="atLeast"/>
        </w:trPr>
        <w:tc>
          <w:tcPr>
            <w:tcW w:w="3283" w:type="dxa"/>
            <w:vAlign w:val="center"/>
          </w:tcPr>
          <w:p w14:paraId="63898B28">
            <w:pPr>
              <w:spacing w:before="183" w:line="240" w:lineRule="auto"/>
              <w:jc w:val="center"/>
              <w:rPr>
                <w:rFonts w:ascii="黑体" w:hAnsi="黑体" w:eastAsia="黑体" w:cs="黑体"/>
                <w:sz w:val="24"/>
                <w:szCs w:val="24"/>
              </w:rPr>
            </w:pPr>
            <w:r>
              <w:rPr>
                <w:rFonts w:ascii="黑体" w:hAnsi="黑体" w:eastAsia="黑体" w:cs="黑体"/>
                <w:spacing w:val="-4"/>
                <w:sz w:val="24"/>
                <w:szCs w:val="24"/>
                <w14:textOutline w14:w="4356" w14:cap="flat" w14:cmpd="sng" w14:algn="ctr">
                  <w14:solidFill>
                    <w14:srgbClr w14:val="000000"/>
                  </w14:solidFill>
                  <w14:prstDash w14:val="solid"/>
                  <w14:miter w14:val="0"/>
                </w14:textOutline>
              </w:rPr>
              <w:t>时间</w:t>
            </w:r>
          </w:p>
        </w:tc>
        <w:tc>
          <w:tcPr>
            <w:tcW w:w="5790" w:type="dxa"/>
            <w:gridSpan w:val="2"/>
            <w:vAlign w:val="center"/>
          </w:tcPr>
          <w:p w14:paraId="654C4B93">
            <w:pPr>
              <w:spacing w:before="197" w:line="240" w:lineRule="auto"/>
              <w:jc w:val="center"/>
              <w:rPr>
                <w:rFonts w:hint="default" w:ascii="宋体" w:hAnsi="宋体" w:eastAsia="宋体" w:cs="宋体"/>
                <w:spacing w:val="-1"/>
                <w:lang w:val="en-US" w:eastAsia="zh-CN"/>
              </w:rPr>
            </w:pPr>
            <w:r>
              <w:rPr>
                <w:rFonts w:hint="eastAsia" w:ascii="宋体" w:hAnsi="宋体" w:eastAsia="宋体" w:cs="宋体"/>
                <w:spacing w:val="-1"/>
              </w:rPr>
              <w:t>2026年7月9日 (周四)下午 14:30</w:t>
            </w:r>
            <w:r>
              <w:rPr>
                <w:rFonts w:hint="eastAsia" w:ascii="宋体" w:hAnsi="宋体" w:eastAsia="宋体" w:cs="宋体"/>
                <w:spacing w:val="-1"/>
                <w:lang w:eastAsia="zh-CN"/>
              </w:rPr>
              <w:t>—</w:t>
            </w:r>
            <w:r>
              <w:rPr>
                <w:rFonts w:hint="eastAsia" w:ascii="宋体" w:hAnsi="宋体" w:eastAsia="宋体" w:cs="宋体"/>
                <w:spacing w:val="-1"/>
              </w:rPr>
              <w:t>17:00</w:t>
            </w:r>
          </w:p>
        </w:tc>
      </w:tr>
      <w:tr w14:paraId="34B40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3283" w:type="dxa"/>
          </w:tcPr>
          <w:p w14:paraId="4F513990">
            <w:pPr>
              <w:spacing w:before="180" w:line="360" w:lineRule="auto"/>
              <w:jc w:val="center"/>
              <w:rPr>
                <w:rFonts w:ascii="黑体" w:hAnsi="黑体" w:eastAsia="黑体" w:cs="黑体"/>
                <w:sz w:val="24"/>
                <w:szCs w:val="24"/>
              </w:rPr>
            </w:pPr>
            <w:r>
              <w:rPr>
                <w:rFonts w:ascii="黑体" w:hAnsi="黑体" w:eastAsia="黑体" w:cs="黑体"/>
                <w:spacing w:val="-2"/>
                <w:sz w:val="24"/>
                <w:szCs w:val="24"/>
                <w14:textOutline w14:w="4356" w14:cap="flat" w14:cmpd="sng" w14:algn="ctr">
                  <w14:solidFill>
                    <w14:srgbClr w14:val="000000"/>
                  </w14:solidFill>
                  <w14:prstDash w14:val="solid"/>
                  <w14:miter w14:val="0"/>
                </w14:textOutline>
              </w:rPr>
              <w:t>地点</w:t>
            </w:r>
          </w:p>
        </w:tc>
        <w:tc>
          <w:tcPr>
            <w:tcW w:w="5790" w:type="dxa"/>
            <w:gridSpan w:val="2"/>
          </w:tcPr>
          <w:p w14:paraId="36107E82">
            <w:pPr>
              <w:spacing w:before="197" w:line="360" w:lineRule="auto"/>
              <w:jc w:val="center"/>
              <w:rPr>
                <w:rFonts w:ascii="宋体" w:hAnsi="宋体" w:eastAsia="宋体" w:cs="宋体"/>
                <w:spacing w:val="-1"/>
              </w:rPr>
            </w:pPr>
            <w:r>
              <w:rPr>
                <w:rFonts w:hint="eastAsia" w:ascii="宋体" w:hAnsi="宋体" w:eastAsia="宋体" w:cs="宋体"/>
                <w:spacing w:val="-1"/>
              </w:rPr>
              <w:t>公司通过全景网“投资者关系互动平台”（https://ir.p5w.net）采用网络远程的方式召开业绩说明会</w:t>
            </w:r>
          </w:p>
        </w:tc>
      </w:tr>
      <w:tr w14:paraId="283F9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3283" w:type="dxa"/>
          </w:tcPr>
          <w:p w14:paraId="27296E4E">
            <w:pPr>
              <w:spacing w:before="192" w:line="360" w:lineRule="auto"/>
              <w:jc w:val="center"/>
              <w:rPr>
                <w:rFonts w:ascii="黑体" w:hAnsi="黑体" w:eastAsia="黑体" w:cs="黑体"/>
                <w:sz w:val="24"/>
                <w:szCs w:val="24"/>
              </w:rPr>
            </w:pPr>
            <w:r>
              <w:rPr>
                <w:rFonts w:ascii="黑体" w:hAnsi="黑体" w:eastAsia="黑体" w:cs="黑体"/>
                <w:spacing w:val="-1"/>
                <w:sz w:val="24"/>
                <w:szCs w:val="24"/>
                <w14:textOutline w14:w="4356" w14:cap="flat" w14:cmpd="sng" w14:algn="ctr">
                  <w14:solidFill>
                    <w14:srgbClr w14:val="000000"/>
                  </w14:solidFill>
                  <w14:prstDash w14:val="solid"/>
                  <w14:miter w14:val="0"/>
                </w14:textOutline>
              </w:rPr>
              <w:t>上市公司接</w:t>
            </w:r>
            <w:r>
              <w:rPr>
                <w:rFonts w:ascii="黑体" w:hAnsi="黑体" w:eastAsia="黑体" w:cs="黑体"/>
                <w:sz w:val="24"/>
                <w:szCs w:val="24"/>
                <w14:textOutline w14:w="4356" w14:cap="flat" w14:cmpd="sng" w14:algn="ctr">
                  <w14:solidFill>
                    <w14:srgbClr w14:val="000000"/>
                  </w14:solidFill>
                  <w14:prstDash w14:val="solid"/>
                  <w14:miter w14:val="0"/>
                </w14:textOutline>
              </w:rPr>
              <w:t>待人员姓名</w:t>
            </w:r>
          </w:p>
        </w:tc>
        <w:tc>
          <w:tcPr>
            <w:tcW w:w="5790" w:type="dxa"/>
            <w:gridSpan w:val="2"/>
          </w:tcPr>
          <w:p w14:paraId="199F970B">
            <w:pPr>
              <w:spacing w:before="197" w:line="240" w:lineRule="auto"/>
              <w:jc w:val="center"/>
              <w:rPr>
                <w:rFonts w:hint="default" w:ascii="宋体" w:hAnsi="宋体" w:eastAsia="宋体" w:cs="宋体"/>
                <w:spacing w:val="-1"/>
                <w:lang w:val="en-US" w:eastAsia="zh-CN"/>
              </w:rPr>
            </w:pPr>
            <w:r>
              <w:rPr>
                <w:rFonts w:hint="default" w:ascii="宋体" w:hAnsi="宋体" w:eastAsia="宋体" w:cs="宋体"/>
                <w:spacing w:val="-1"/>
                <w:lang w:val="en-US" w:eastAsia="zh-CN"/>
              </w:rPr>
              <w:t>董事长、总裁皮亚斌</w:t>
            </w:r>
          </w:p>
          <w:p w14:paraId="533E350E">
            <w:pPr>
              <w:spacing w:before="197" w:line="240" w:lineRule="auto"/>
              <w:jc w:val="center"/>
              <w:rPr>
                <w:rFonts w:hint="default" w:ascii="宋体" w:hAnsi="宋体" w:eastAsia="宋体" w:cs="宋体"/>
                <w:spacing w:val="-1"/>
                <w:lang w:val="en-US" w:eastAsia="zh-CN"/>
              </w:rPr>
            </w:pPr>
            <w:r>
              <w:rPr>
                <w:rFonts w:hint="default" w:ascii="宋体" w:hAnsi="宋体" w:eastAsia="宋体" w:cs="宋体"/>
                <w:spacing w:val="-1"/>
                <w:lang w:val="en-US" w:eastAsia="zh-CN"/>
              </w:rPr>
              <w:t>董事会秘书、财务总监曹文明</w:t>
            </w:r>
          </w:p>
        </w:tc>
      </w:tr>
      <w:tr w14:paraId="42191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3283" w:type="dxa"/>
            <w:vAlign w:val="center"/>
          </w:tcPr>
          <w:p w14:paraId="359F5EE2">
            <w:pPr>
              <w:spacing w:before="78" w:line="480" w:lineRule="auto"/>
              <w:ind w:right="64"/>
              <w:jc w:val="center"/>
              <w:rPr>
                <w:rFonts w:ascii="黑体" w:hAnsi="黑体" w:eastAsia="黑体" w:cs="黑体"/>
                <w:spacing w:val="-1"/>
                <w:sz w:val="24"/>
                <w:szCs w:val="24"/>
                <w14:textOutline w14:w="4356" w14:cap="flat" w14:cmpd="sng" w14:algn="ctr">
                  <w14:solidFill>
                    <w14:srgbClr w14:val="000000"/>
                  </w14:solidFill>
                  <w14:prstDash w14:val="solid"/>
                  <w14:miter w14:val="0"/>
                </w14:textOutline>
              </w:rPr>
            </w:pPr>
            <w:r>
              <w:rPr>
                <w:rFonts w:ascii="黑体" w:hAnsi="黑体" w:eastAsia="黑体" w:cs="黑体"/>
                <w:spacing w:val="-1"/>
                <w:sz w:val="24"/>
                <w:szCs w:val="24"/>
                <w14:textOutline w14:w="4356" w14:cap="flat" w14:cmpd="sng" w14:algn="ctr">
                  <w14:solidFill>
                    <w14:srgbClr w14:val="000000"/>
                  </w14:solidFill>
                  <w14:prstDash w14:val="solid"/>
                  <w14:miter w14:val="0"/>
                </w14:textOutline>
              </w:rPr>
              <w:t>投资者关系活动</w:t>
            </w:r>
          </w:p>
          <w:p w14:paraId="59757864">
            <w:pPr>
              <w:spacing w:before="78" w:line="480" w:lineRule="auto"/>
              <w:ind w:right="64"/>
              <w:jc w:val="center"/>
              <w:rPr>
                <w:rFonts w:ascii="黑体" w:hAnsi="黑体" w:eastAsia="黑体" w:cs="黑体"/>
                <w:sz w:val="24"/>
                <w:szCs w:val="24"/>
              </w:rPr>
            </w:pPr>
            <w:r>
              <w:rPr>
                <w:rFonts w:ascii="黑体" w:hAnsi="黑体" w:eastAsia="黑体" w:cs="黑体"/>
                <w:spacing w:val="-1"/>
                <w:sz w:val="24"/>
                <w:szCs w:val="24"/>
                <w14:textOutline w14:w="4356" w14:cap="flat" w14:cmpd="sng" w14:algn="ctr">
                  <w14:solidFill>
                    <w14:srgbClr w14:val="000000"/>
                  </w14:solidFill>
                  <w14:prstDash w14:val="solid"/>
                  <w14:miter w14:val="0"/>
                </w14:textOutline>
              </w:rPr>
              <w:t>主要内容介绍</w:t>
            </w:r>
          </w:p>
        </w:tc>
        <w:tc>
          <w:tcPr>
            <w:tcW w:w="5790" w:type="dxa"/>
            <w:gridSpan w:val="2"/>
            <w:vAlign w:val="top"/>
          </w:tcPr>
          <w:p w14:paraId="631BDBE2">
            <w:pPr>
              <w:keepNext w:val="0"/>
              <w:keepLines w:val="0"/>
              <w:pageBreakBefore w:val="0"/>
              <w:widowControl/>
              <w:kinsoku/>
              <w:wordWrap/>
              <w:overflowPunct/>
              <w:topLinePunct w:val="0"/>
              <w:autoSpaceDE w:val="0"/>
              <w:autoSpaceDN w:val="0"/>
              <w:bidi w:val="0"/>
              <w:adjustRightInd w:val="0"/>
              <w:snapToGrid w:val="0"/>
              <w:spacing w:line="360" w:lineRule="auto"/>
              <w:ind w:firstLine="418" w:firstLineChars="200"/>
              <w:textAlignment w:val="baseline"/>
              <w:rPr>
                <w:rFonts w:hint="default" w:ascii="宋体" w:hAnsi="宋体" w:eastAsia="宋体" w:cs="宋体"/>
                <w:b/>
                <w:bCs/>
                <w:spacing w:val="-1"/>
                <w:lang w:val="en-US" w:eastAsia="zh-CN"/>
              </w:rPr>
            </w:pPr>
            <w:r>
              <w:rPr>
                <w:rFonts w:hint="default" w:ascii="宋体" w:hAnsi="宋体" w:eastAsia="宋体" w:cs="宋体"/>
                <w:b/>
                <w:bCs/>
                <w:spacing w:val="-1"/>
                <w:lang w:val="en-US" w:eastAsia="zh-CN"/>
              </w:rPr>
              <w:t>投资者提出的问题及公司回复情况</w:t>
            </w:r>
          </w:p>
          <w:p w14:paraId="39861550">
            <w:pPr>
              <w:keepNext w:val="0"/>
              <w:keepLines w:val="0"/>
              <w:pageBreakBefore w:val="0"/>
              <w:widowControl/>
              <w:kinsoku/>
              <w:wordWrap/>
              <w:overflowPunct/>
              <w:topLinePunct w:val="0"/>
              <w:autoSpaceDE w:val="0"/>
              <w:autoSpaceDN w:val="0"/>
              <w:bidi w:val="0"/>
              <w:adjustRightInd w:val="0"/>
              <w:snapToGrid w:val="0"/>
              <w:spacing w:line="360" w:lineRule="auto"/>
              <w:ind w:firstLine="416" w:firstLineChars="200"/>
              <w:textAlignment w:val="baseline"/>
              <w:rPr>
                <w:rFonts w:hint="default" w:ascii="宋体" w:hAnsi="宋体" w:eastAsia="宋体" w:cs="宋体"/>
                <w:spacing w:val="-1"/>
                <w:lang w:val="en-US" w:eastAsia="zh-CN"/>
              </w:rPr>
            </w:pPr>
            <w:r>
              <w:rPr>
                <w:rFonts w:hint="default" w:ascii="宋体" w:hAnsi="宋体" w:eastAsia="宋体" w:cs="宋体"/>
                <w:spacing w:val="-1"/>
                <w:lang w:val="en-US" w:eastAsia="zh-CN"/>
              </w:rPr>
              <w:t>公司就投资者在本次说明会中提出的问题进行了回复</w:t>
            </w:r>
            <w:r>
              <w:rPr>
                <w:rFonts w:hint="eastAsia" w:ascii="宋体" w:hAnsi="宋体" w:eastAsia="宋体" w:cs="宋体"/>
                <w:spacing w:val="-1"/>
                <w:lang w:val="en-US" w:eastAsia="zh-CN"/>
              </w:rPr>
              <w:t>，具体如下：</w:t>
            </w:r>
          </w:p>
          <w:p w14:paraId="17C4BFB3">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18" w:firstLineChars="200"/>
              <w:jc w:val="left"/>
              <w:textAlignment w:val="baseline"/>
              <w:rPr>
                <w:rFonts w:hint="default" w:ascii="宋体" w:hAnsi="宋体" w:eastAsia="宋体" w:cs="宋体"/>
                <w:b/>
                <w:bCs/>
                <w:spacing w:val="-1"/>
                <w:lang w:val="en-US" w:eastAsia="zh-CN"/>
              </w:rPr>
            </w:pPr>
            <w:r>
              <w:rPr>
                <w:rFonts w:hint="eastAsia" w:ascii="宋体" w:hAnsi="宋体" w:eastAsia="宋体" w:cs="宋体"/>
                <w:b/>
                <w:bCs/>
                <w:spacing w:val="-1"/>
                <w:lang w:val="en-US" w:eastAsia="zh-CN"/>
              </w:rPr>
              <w:t>1、当前股价已从255元跌至140元，融资余额高达8.85亿，上交所连续监控，公司如何看待估值压力？是否有稳定股价的措施？</w:t>
            </w:r>
          </w:p>
          <w:p w14:paraId="3928422C">
            <w:pPr>
              <w:keepNext w:val="0"/>
              <w:keepLines w:val="0"/>
              <w:pageBreakBefore w:val="0"/>
              <w:widowControl/>
              <w:kinsoku/>
              <w:wordWrap/>
              <w:overflowPunct/>
              <w:topLinePunct w:val="0"/>
              <w:autoSpaceDE w:val="0"/>
              <w:autoSpaceDN w:val="0"/>
              <w:bidi w:val="0"/>
              <w:adjustRightInd w:val="0"/>
              <w:snapToGrid w:val="0"/>
              <w:spacing w:line="360" w:lineRule="auto"/>
              <w:ind w:firstLine="416" w:firstLineChars="200"/>
              <w:textAlignment w:val="baseline"/>
              <w:rPr>
                <w:rFonts w:hint="default" w:ascii="宋体" w:hAnsi="宋体" w:eastAsia="宋体" w:cs="宋体"/>
                <w:b w:val="0"/>
                <w:bCs w:val="0"/>
                <w:spacing w:val="-1"/>
                <w:lang w:val="en-US" w:eastAsia="zh-CN"/>
              </w:rPr>
            </w:pPr>
            <w:r>
              <w:rPr>
                <w:rFonts w:hint="eastAsia" w:ascii="宋体" w:hAnsi="宋体" w:eastAsia="宋体" w:cs="宋体"/>
                <w:b w:val="0"/>
                <w:bCs w:val="0"/>
                <w:spacing w:val="-1"/>
                <w:lang w:val="en-US" w:eastAsia="zh-CN"/>
              </w:rPr>
              <w:t>答：尊敬的投资者，您好！公司始终坚守主业、稳健经营，高度重视信息披露与投资者关系管理工作，不断提升信息披露合规性与透明度，向市场传递公司价值。股价走势受资本市场多重因素综合影响，敬请各位投资者理性看待市场波动，注意投资风险。感谢您对公司的关注。</w:t>
            </w:r>
          </w:p>
          <w:p w14:paraId="5FBCD5DA">
            <w:pPr>
              <w:keepNext w:val="0"/>
              <w:keepLines w:val="0"/>
              <w:pageBreakBefore w:val="0"/>
              <w:widowControl/>
              <w:kinsoku/>
              <w:wordWrap/>
              <w:overflowPunct/>
              <w:topLinePunct w:val="0"/>
              <w:autoSpaceDE w:val="0"/>
              <w:autoSpaceDN w:val="0"/>
              <w:bidi w:val="0"/>
              <w:adjustRightInd w:val="0"/>
              <w:snapToGrid w:val="0"/>
              <w:spacing w:line="360" w:lineRule="auto"/>
              <w:ind w:firstLine="418" w:firstLineChars="200"/>
              <w:textAlignment w:val="baseline"/>
              <w:rPr>
                <w:rFonts w:hint="default" w:ascii="宋体" w:hAnsi="宋体" w:eastAsia="宋体" w:cs="宋体"/>
                <w:b/>
                <w:bCs/>
                <w:spacing w:val="-1"/>
                <w:lang w:val="en-US" w:eastAsia="zh-CN"/>
              </w:rPr>
            </w:pPr>
            <w:r>
              <w:rPr>
                <w:rFonts w:hint="eastAsia" w:ascii="宋体" w:hAnsi="宋体" w:eastAsia="宋体" w:cs="宋体"/>
                <w:b/>
                <w:bCs/>
                <w:snapToGrid w:val="0"/>
                <w:color w:val="000000"/>
                <w:spacing w:val="-1"/>
                <w:sz w:val="21"/>
                <w:szCs w:val="21"/>
                <w:lang w:val="en-US" w:eastAsia="zh-CN" w:bidi="ar-SA"/>
              </w:rPr>
              <w:t>2、</w:t>
            </w:r>
            <w:r>
              <w:rPr>
                <w:rFonts w:hint="eastAsia" w:ascii="宋体" w:hAnsi="宋体" w:eastAsia="宋体" w:cs="宋体"/>
                <w:b/>
                <w:bCs/>
                <w:spacing w:val="-1"/>
                <w:lang w:val="en-US" w:eastAsia="zh-CN"/>
              </w:rPr>
              <w:t>您好，请问下公司投资者互动最新更新在五月份了，是不是可以提高频率？</w:t>
            </w:r>
            <w:bookmarkStart w:id="0" w:name="_GoBack"/>
            <w:bookmarkEnd w:id="0"/>
          </w:p>
          <w:p w14:paraId="148CE374">
            <w:pPr>
              <w:keepNext w:val="0"/>
              <w:keepLines w:val="0"/>
              <w:pageBreakBefore w:val="0"/>
              <w:widowControl/>
              <w:kinsoku/>
              <w:wordWrap/>
              <w:overflowPunct/>
              <w:topLinePunct w:val="0"/>
              <w:autoSpaceDE w:val="0"/>
              <w:autoSpaceDN w:val="0"/>
              <w:bidi w:val="0"/>
              <w:adjustRightInd w:val="0"/>
              <w:snapToGrid w:val="0"/>
              <w:spacing w:line="360" w:lineRule="auto"/>
              <w:ind w:firstLine="416" w:firstLineChars="200"/>
              <w:textAlignment w:val="baseline"/>
              <w:rPr>
                <w:rFonts w:hint="default" w:ascii="宋体" w:hAnsi="宋体" w:eastAsia="宋体" w:cs="宋体"/>
                <w:b w:val="0"/>
                <w:bCs w:val="0"/>
                <w:spacing w:val="-1"/>
                <w:lang w:val="en-US" w:eastAsia="zh-CN"/>
              </w:rPr>
            </w:pPr>
            <w:r>
              <w:rPr>
                <w:rFonts w:hint="eastAsia" w:ascii="宋体" w:hAnsi="宋体" w:eastAsia="宋体" w:cs="宋体"/>
                <w:b w:val="0"/>
                <w:bCs w:val="0"/>
                <w:spacing w:val="-1"/>
                <w:lang w:val="en-US" w:eastAsia="zh-CN"/>
              </w:rPr>
              <w:t>答：尊敬的投资者，您好！感谢您的建议，公司通过业绩说明会、投资者调研、上证E互动、IR热线等多元化渠道保障与加强与投资者的沟通。感谢您对公司的关注！</w:t>
            </w:r>
          </w:p>
          <w:p w14:paraId="7A90C049">
            <w:pPr>
              <w:keepNext w:val="0"/>
              <w:keepLines w:val="0"/>
              <w:pageBreakBefore w:val="0"/>
              <w:widowControl/>
              <w:kinsoku/>
              <w:wordWrap/>
              <w:overflowPunct/>
              <w:topLinePunct w:val="0"/>
              <w:autoSpaceDE w:val="0"/>
              <w:autoSpaceDN w:val="0"/>
              <w:bidi w:val="0"/>
              <w:adjustRightInd w:val="0"/>
              <w:snapToGrid w:val="0"/>
              <w:spacing w:line="360" w:lineRule="auto"/>
              <w:ind w:firstLine="418" w:firstLineChars="200"/>
              <w:textAlignment w:val="baseline"/>
              <w:rPr>
                <w:rFonts w:hint="default" w:ascii="宋体" w:hAnsi="宋体" w:eastAsia="宋体" w:cs="宋体"/>
                <w:b/>
                <w:bCs/>
                <w:spacing w:val="-1"/>
                <w:lang w:val="en-US" w:eastAsia="zh-CN"/>
              </w:rPr>
            </w:pPr>
            <w:r>
              <w:rPr>
                <w:rFonts w:hint="eastAsia" w:ascii="宋体" w:hAnsi="宋体" w:eastAsia="宋体" w:cs="宋体"/>
                <w:b/>
                <w:bCs/>
                <w:spacing w:val="-1"/>
                <w:lang w:val="en-US" w:eastAsia="zh-CN"/>
              </w:rPr>
              <w:t>3、市场上流传公司有海外头部光纤厂商（如康宁）来华审厂、公司已进入二轮筛选等说法，但公司在 6 月 22 日和 6 月 29 日的异动公告中明确否认通过某战略客户审厂的信息。请问公司能否进一步明确：截至目前，是否有海外头部光纤厂商对公司进行过任何形式的供应商审核、实地考察或商务接洽？如有，目前进展到什么阶段？</w:t>
            </w:r>
          </w:p>
          <w:p w14:paraId="048F6E41">
            <w:pPr>
              <w:keepNext w:val="0"/>
              <w:keepLines w:val="0"/>
              <w:pageBreakBefore w:val="0"/>
              <w:widowControl/>
              <w:kinsoku/>
              <w:wordWrap/>
              <w:overflowPunct/>
              <w:topLinePunct w:val="0"/>
              <w:autoSpaceDE w:val="0"/>
              <w:autoSpaceDN w:val="0"/>
              <w:bidi w:val="0"/>
              <w:adjustRightInd w:val="0"/>
              <w:snapToGrid w:val="0"/>
              <w:spacing w:line="360" w:lineRule="auto"/>
              <w:ind w:firstLine="416" w:firstLineChars="200"/>
              <w:textAlignment w:val="baseline"/>
              <w:rPr>
                <w:rFonts w:hint="default" w:ascii="宋体" w:hAnsi="宋体" w:eastAsia="宋体" w:cs="宋体"/>
                <w:b w:val="0"/>
                <w:bCs w:val="0"/>
                <w:spacing w:val="-1"/>
                <w:lang w:val="en-US" w:eastAsia="zh-CN"/>
              </w:rPr>
            </w:pPr>
            <w:r>
              <w:rPr>
                <w:rFonts w:hint="eastAsia" w:ascii="宋体" w:hAnsi="宋体" w:eastAsia="宋体" w:cs="宋体"/>
                <w:b w:val="0"/>
                <w:bCs w:val="0"/>
                <w:spacing w:val="-1"/>
                <w:lang w:val="en-US" w:eastAsia="zh-CN"/>
              </w:rPr>
              <w:t>答：尊敬的投资者，您好！根据公司于2026年6月30日发布的《股票交易异常波动公告》，公司已明确表示：“近期部分媒体在市场上传播的有关我司通过某战略客户审厂的相关信息，该信息并不属实”。此外，公司在6月23日复牌时发布的核查公告中也做出了同样的澄清。公司信息以在上海证券交易所网站及指定媒体刊登的公告为准。感谢您对公司的关注。</w:t>
            </w:r>
          </w:p>
          <w:p w14:paraId="0C3BEA48">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18" w:firstLineChars="200"/>
              <w:textAlignment w:val="baseline"/>
              <w:rPr>
                <w:rFonts w:hint="eastAsia" w:ascii="宋体" w:hAnsi="宋体" w:eastAsia="宋体" w:cs="宋体"/>
                <w:b w:val="0"/>
                <w:bCs w:val="0"/>
                <w:spacing w:val="-1"/>
                <w:lang w:val="en-US" w:eastAsia="zh-CN"/>
              </w:rPr>
            </w:pPr>
            <w:r>
              <w:rPr>
                <w:rFonts w:hint="eastAsia" w:ascii="宋体" w:hAnsi="宋体" w:eastAsia="宋体" w:cs="宋体"/>
                <w:b/>
                <w:bCs/>
                <w:spacing w:val="-1"/>
                <w:lang w:val="en-US" w:eastAsia="zh-CN"/>
              </w:rPr>
              <w:t>4、公司2026年Q1营收同比增长29.54%，但归母净利润同比下降28.72%，扣非净利润下降43.97%。请问：（1）利润下滑除了生一升并表带来的产品结构变化外，是否还有其他因素？（2）公司预计哪几个季度能看到利润增速与营收增速重新匹配？</w:t>
            </w:r>
          </w:p>
          <w:p w14:paraId="369FDBA8">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16" w:firstLineChars="200"/>
              <w:textAlignment w:val="baseline"/>
              <w:rPr>
                <w:rFonts w:hint="eastAsia" w:ascii="宋体" w:hAnsi="宋体" w:eastAsia="宋体" w:cs="宋体"/>
                <w:b w:val="0"/>
                <w:bCs w:val="0"/>
                <w:spacing w:val="-1"/>
                <w:lang w:val="en-US" w:eastAsia="zh-CN"/>
              </w:rPr>
            </w:pPr>
            <w:r>
              <w:rPr>
                <w:rFonts w:hint="eastAsia" w:ascii="宋体" w:hAnsi="宋体" w:eastAsia="宋体" w:cs="宋体"/>
                <w:b w:val="0"/>
                <w:bCs w:val="0"/>
                <w:spacing w:val="-1"/>
                <w:lang w:val="en-US" w:eastAsia="zh-CN"/>
              </w:rPr>
              <w:t>答：尊敬的投资者，您好！根据公司2026年第一季度报告，公司归母净利润同比下降28.72%，扣非后净利润同比下降43.97%。除生一升并表引发产品结构变化、利润下滑还有两个影响因素：一是研发投入大幅增加，2026年一季度研发费用同比增长71.69%，增长主要来自研发人员扩充和研发项目增加；二是利息支出增加，以上两项费用增长增加，共同导致公司利润承受较大压力。面对传统业务增长瓶颈，公司通过前瞻性研判制定三大增长曲线战略，随着新业务逐步放量、规模效应逐步显现，研发投入也逐步进入收获期，公司整体盈利能力有望得到逐步改善，建议您持续关注公司后续定期报告中的经营数据变化。感谢您对公司的关注。</w:t>
            </w:r>
          </w:p>
          <w:p w14:paraId="17C35EDF">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18" w:firstLineChars="200"/>
              <w:textAlignment w:val="baseline"/>
              <w:rPr>
                <w:rFonts w:hint="eastAsia" w:ascii="宋体" w:hAnsi="宋体" w:eastAsia="宋体" w:cs="宋体"/>
                <w:b w:val="0"/>
                <w:bCs w:val="0"/>
                <w:spacing w:val="-1"/>
                <w:lang w:val="en-US" w:eastAsia="zh-CN"/>
              </w:rPr>
            </w:pPr>
            <w:r>
              <w:rPr>
                <w:rFonts w:hint="eastAsia" w:ascii="宋体" w:hAnsi="宋体" w:eastAsia="宋体" w:cs="宋体"/>
                <w:b/>
                <w:bCs/>
                <w:spacing w:val="-1"/>
                <w:lang w:val="en-US" w:eastAsia="zh-CN"/>
              </w:rPr>
              <w:t>5、关于通信器件用保偏光纤的真实体量，公司在6月29日澄清公告中说明通信器件用保偏光纤营收占比不足1%、在手订单较少、未规模化应用于CPO场景。请问：（1）这部分业务当前的营收绝对值大概在什么量级？（2）何时有可能进入规模化收入阶段？是否有明确的时间表？</w:t>
            </w:r>
          </w:p>
          <w:p w14:paraId="5B9D5B0C">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16" w:firstLineChars="200"/>
              <w:textAlignment w:val="baseline"/>
              <w:rPr>
                <w:rFonts w:hint="eastAsia" w:ascii="宋体" w:hAnsi="宋体" w:eastAsia="宋体" w:cs="宋体"/>
                <w:b w:val="0"/>
                <w:bCs w:val="0"/>
                <w:spacing w:val="-1"/>
                <w:lang w:val="en-US" w:eastAsia="zh-CN"/>
              </w:rPr>
            </w:pPr>
            <w:r>
              <w:rPr>
                <w:rFonts w:hint="eastAsia" w:ascii="宋体" w:hAnsi="宋体" w:eastAsia="宋体" w:cs="宋体"/>
                <w:b w:val="0"/>
                <w:bCs w:val="0"/>
                <w:spacing w:val="-1"/>
                <w:lang w:val="en-US" w:eastAsia="zh-CN"/>
              </w:rPr>
              <w:t>答：尊敬的投资者，您好！公司已在2025年年度报告中披露营业收入为39,797.60万元。截至目前，公司器件保偏光纤相关业务营收占比不足1%，器件保偏光纤在手订单较少。该业务的规模化收入何时到来，取决于后续技术突破、市场验证及客户导入的实际进展，感谢您对公司的关注。</w:t>
            </w:r>
          </w:p>
          <w:p w14:paraId="52290BF3">
            <w:pPr>
              <w:keepNext w:val="0"/>
              <w:keepLines w:val="0"/>
              <w:pageBreakBefore w:val="0"/>
              <w:widowControl/>
              <w:kinsoku/>
              <w:wordWrap/>
              <w:overflowPunct/>
              <w:topLinePunct w:val="0"/>
              <w:autoSpaceDE w:val="0"/>
              <w:autoSpaceDN w:val="0"/>
              <w:bidi w:val="0"/>
              <w:adjustRightInd w:val="0"/>
              <w:snapToGrid w:val="0"/>
              <w:spacing w:line="360" w:lineRule="auto"/>
              <w:ind w:firstLine="418" w:firstLineChars="200"/>
              <w:textAlignment w:val="baseline"/>
              <w:rPr>
                <w:rFonts w:hint="default" w:ascii="宋体" w:hAnsi="宋体" w:eastAsia="宋体" w:cs="宋体"/>
                <w:b/>
                <w:bCs/>
                <w:spacing w:val="-1"/>
                <w:lang w:val="en-US" w:eastAsia="zh-CN"/>
              </w:rPr>
            </w:pPr>
            <w:r>
              <w:rPr>
                <w:rFonts w:hint="eastAsia" w:ascii="宋体" w:hAnsi="宋体" w:eastAsia="宋体" w:cs="宋体"/>
                <w:b/>
                <w:bCs/>
                <w:snapToGrid w:val="0"/>
                <w:color w:val="000000"/>
                <w:spacing w:val="-1"/>
                <w:sz w:val="21"/>
                <w:szCs w:val="21"/>
                <w:lang w:val="en-US" w:eastAsia="zh-CN" w:bidi="ar-SA"/>
              </w:rPr>
              <w:t>6、</w:t>
            </w:r>
            <w:r>
              <w:rPr>
                <w:rFonts w:hint="eastAsia" w:ascii="宋体" w:hAnsi="宋体" w:eastAsia="宋体" w:cs="宋体"/>
                <w:b/>
                <w:bCs/>
                <w:spacing w:val="-1"/>
                <w:lang w:val="en-US" w:eastAsia="zh-CN"/>
              </w:rPr>
              <w:t>公司6月29日针对通过战略客户审厂的市场传闻发布了澄清公告。请问公司未来是否会加强对二级市场题材炒作的主动风险提示，帮助投资者更准确理解业务边界？</w:t>
            </w:r>
          </w:p>
          <w:p w14:paraId="18E71A2B">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16" w:firstLineChars="200"/>
              <w:textAlignment w:val="baseline"/>
              <w:rPr>
                <w:rFonts w:hint="eastAsia" w:ascii="宋体" w:hAnsi="宋体" w:eastAsia="宋体" w:cs="宋体"/>
                <w:b w:val="0"/>
                <w:bCs w:val="0"/>
                <w:spacing w:val="-1"/>
                <w:lang w:val="en-US" w:eastAsia="zh-CN"/>
              </w:rPr>
            </w:pPr>
            <w:r>
              <w:rPr>
                <w:rFonts w:hint="eastAsia" w:ascii="宋体" w:hAnsi="宋体" w:eastAsia="宋体" w:cs="宋体"/>
                <w:b w:val="0"/>
                <w:bCs w:val="0"/>
                <w:spacing w:val="-1"/>
                <w:lang w:val="en-US" w:eastAsia="zh-CN"/>
              </w:rPr>
              <w:t>答：尊敬的投资者，您好！公司始终高度重视投资者权益保护与市场信息透明度。在2026年6月30日发布的股票交易异常波动公告中，公司已就器件保偏光纤业务营收占比不足1%、未规模化应用于CPO等通信场景、通信领域光纤在手订单较少且暂未新增重大客户等业务边界及时进行澄清。未来，公司将继续严格遵循真实、准确、完整、及时、公平的信息披露原则，对二级市场出现的异常波动和题材炒作保持高度关注，一旦发现可能影响投资者判断的传闻或不实信息，将及时通过公告形式主动进行风险提示和澄清，帮助投资者准确理解公司业务边界与经营实质，切实维护广大投资者的合法权益。感谢您对公司的关注。</w:t>
            </w:r>
          </w:p>
          <w:p w14:paraId="0775A14F">
            <w:pPr>
              <w:keepNext w:val="0"/>
              <w:keepLines w:val="0"/>
              <w:pageBreakBefore w:val="0"/>
              <w:widowControl/>
              <w:kinsoku/>
              <w:wordWrap/>
              <w:overflowPunct/>
              <w:topLinePunct w:val="0"/>
              <w:autoSpaceDE w:val="0"/>
              <w:autoSpaceDN w:val="0"/>
              <w:bidi w:val="0"/>
              <w:adjustRightInd w:val="0"/>
              <w:snapToGrid w:val="0"/>
              <w:spacing w:line="360" w:lineRule="auto"/>
              <w:ind w:firstLine="418" w:firstLineChars="200"/>
              <w:textAlignment w:val="baseline"/>
              <w:rPr>
                <w:rFonts w:hint="default" w:ascii="宋体" w:hAnsi="宋体" w:eastAsia="宋体" w:cs="宋体"/>
                <w:b/>
                <w:bCs/>
                <w:spacing w:val="-1"/>
                <w:lang w:val="en-US" w:eastAsia="zh-CN"/>
              </w:rPr>
            </w:pPr>
            <w:r>
              <w:rPr>
                <w:rFonts w:hint="eastAsia" w:ascii="宋体" w:hAnsi="宋体" w:eastAsia="宋体" w:cs="宋体"/>
                <w:b/>
                <w:bCs/>
                <w:snapToGrid w:val="0"/>
                <w:color w:val="000000"/>
                <w:spacing w:val="-1"/>
                <w:sz w:val="21"/>
                <w:szCs w:val="21"/>
                <w:lang w:val="en-US" w:eastAsia="zh-CN" w:bidi="ar-SA"/>
              </w:rPr>
              <w:t>7、2025年前五大客户销售占比54.59%。请问：（1）公司如何应对单一大客户订单波动的风险？（2）在商业航天、AI光通信等新领域的客户拓展进展如何？</w:t>
            </w:r>
          </w:p>
          <w:p w14:paraId="7BCACF64">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16" w:firstLineChars="200"/>
              <w:textAlignment w:val="baseline"/>
              <w:rPr>
                <w:rFonts w:hint="default" w:ascii="宋体" w:hAnsi="宋体" w:eastAsia="宋体" w:cs="宋体"/>
                <w:b w:val="0"/>
                <w:bCs w:val="0"/>
                <w:spacing w:val="-1"/>
                <w:lang w:val="en-US" w:eastAsia="zh-CN"/>
              </w:rPr>
            </w:pPr>
            <w:r>
              <w:rPr>
                <w:rFonts w:hint="eastAsia" w:ascii="宋体" w:hAnsi="宋体" w:eastAsia="宋体" w:cs="宋体"/>
                <w:b w:val="0"/>
                <w:bCs w:val="0"/>
                <w:spacing w:val="-1"/>
                <w:lang w:val="en-US" w:eastAsia="zh-CN"/>
              </w:rPr>
              <w:t>答：尊敬的投资者，您好！（1）公司已在2025年年度报告中披露了客户集中度较高的风险，公司产品主要应用于国防惯性导航领域，对国防客户的销售占比较高，主要客户为光纤陀螺行业技术实力领先的知名国防企业或科研院所。为应对单一大客户订单波动带来的风险，公司制定了三大增长曲线战略：第一曲线将巩固光纤陀螺综合解决方案等核心业务，第二曲线将开拓光纤激光器上游配套等新兴领域，第三曲线将布局AI大算力配套与热管理解决方案。同时，公司积极拓展海外销售渠道，通过参加国际展会、加强品牌推广等方式开发海外客户资源，并着力提升民用市场渗透率，扩大市场占有率，以此降低对单一领域客户的依赖。（2）2025年公司以发行股份及支付现金的方式并购生一升，进入AI光通信领域。收购完成后，公司已组建熟悉上市公司主营产品的销售团队，充分借助生一升在数据通信领域的市场开拓经验与客户服务资源，进一步扩大光通信市场的销售规模，拓展新客户。感谢您对公司的关注。</w:t>
            </w:r>
          </w:p>
        </w:tc>
      </w:tr>
      <w:tr w14:paraId="580EC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6" w:hRule="atLeast"/>
        </w:trPr>
        <w:tc>
          <w:tcPr>
            <w:tcW w:w="3283" w:type="dxa"/>
            <w:vAlign w:val="center"/>
          </w:tcPr>
          <w:p w14:paraId="745B3D15">
            <w:pPr>
              <w:spacing w:line="346" w:lineRule="auto"/>
              <w:jc w:val="center"/>
              <w:rPr>
                <w:rFonts w:hint="eastAsia" w:ascii="黑体" w:hAnsi="黑体" w:eastAsia="黑体" w:cs="黑体"/>
                <w:spacing w:val="11"/>
                <w:sz w:val="24"/>
                <w:szCs w:val="24"/>
                <w:lang w:eastAsia="zh-CN"/>
                <w14:textOutline w14:w="4356" w14:cap="flat" w14:cmpd="sng" w14:algn="ctr">
                  <w14:solidFill>
                    <w14:srgbClr w14:val="000000"/>
                  </w14:solidFill>
                  <w14:prstDash w14:val="solid"/>
                  <w14:miter w14:val="0"/>
                </w14:textOutline>
              </w:rPr>
            </w:pPr>
            <w:r>
              <w:rPr>
                <w:rFonts w:hint="eastAsia" w:ascii="黑体" w:hAnsi="黑体" w:eastAsia="黑体" w:cs="黑体"/>
                <w:spacing w:val="11"/>
                <w:sz w:val="24"/>
                <w:szCs w:val="24"/>
                <w:lang w:eastAsia="zh-CN"/>
                <w14:textOutline w14:w="4356" w14:cap="flat" w14:cmpd="sng" w14:algn="ctr">
                  <w14:solidFill>
                    <w14:srgbClr w14:val="000000"/>
                  </w14:solidFill>
                  <w14:prstDash w14:val="solid"/>
                  <w14:miter w14:val="0"/>
                </w14:textOutline>
              </w:rPr>
              <w:t>风险提示</w:t>
            </w:r>
          </w:p>
        </w:tc>
        <w:tc>
          <w:tcPr>
            <w:tcW w:w="5790" w:type="dxa"/>
            <w:gridSpan w:val="2"/>
            <w:vAlign w:val="center"/>
          </w:tcPr>
          <w:p w14:paraId="79A595E9">
            <w:pPr>
              <w:spacing w:before="131" w:line="360" w:lineRule="auto"/>
              <w:jc w:val="left"/>
              <w:rPr>
                <w:rFonts w:ascii="宋体" w:hAnsi="宋体" w:eastAsia="宋体" w:cs="仿宋"/>
              </w:rPr>
            </w:pPr>
            <w:r>
              <w:rPr>
                <w:rFonts w:hint="eastAsia"/>
              </w:rPr>
              <w:t>以上如涉及对行业的预测、公司发展战略规划等相关内容，不能视作公司或公司管理层对行业、公司发展或业绩的承诺和保证，敬请广大投资者注意投资风险。</w:t>
            </w:r>
          </w:p>
        </w:tc>
      </w:tr>
      <w:tr w14:paraId="6412D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6" w:hRule="atLeast"/>
        </w:trPr>
        <w:tc>
          <w:tcPr>
            <w:tcW w:w="3283" w:type="dxa"/>
            <w:vAlign w:val="center"/>
          </w:tcPr>
          <w:p w14:paraId="029A7557">
            <w:pPr>
              <w:spacing w:line="346" w:lineRule="auto"/>
              <w:jc w:val="center"/>
              <w:rPr>
                <w:rFonts w:hint="eastAsia" w:ascii="黑体" w:hAnsi="黑体" w:eastAsia="黑体" w:cs="黑体"/>
                <w:spacing w:val="11"/>
                <w:sz w:val="24"/>
                <w:szCs w:val="24"/>
                <w:lang w:eastAsia="zh-CN"/>
                <w14:textOutline w14:w="4356" w14:cap="flat" w14:cmpd="sng" w14:algn="ctr">
                  <w14:solidFill>
                    <w14:srgbClr w14:val="000000"/>
                  </w14:solidFill>
                  <w14:prstDash w14:val="solid"/>
                  <w14:miter w14:val="0"/>
                </w14:textOutline>
              </w:rPr>
            </w:pPr>
            <w:r>
              <w:rPr>
                <w:rFonts w:ascii="黑体" w:hAnsi="黑体" w:eastAsia="黑体" w:cs="黑体"/>
                <w:spacing w:val="11"/>
                <w:sz w:val="24"/>
                <w:szCs w:val="24"/>
                <w14:textOutline w14:w="4356" w14:cap="flat" w14:cmpd="sng" w14:algn="ctr">
                  <w14:solidFill>
                    <w14:srgbClr w14:val="000000"/>
                  </w14:solidFill>
                  <w14:prstDash w14:val="solid"/>
                  <w14:miter w14:val="0"/>
                </w14:textOutline>
              </w:rPr>
              <w:t>关于本次活动是否涉及应当披露重大信息的说明</w:t>
            </w:r>
          </w:p>
        </w:tc>
        <w:tc>
          <w:tcPr>
            <w:tcW w:w="5790" w:type="dxa"/>
            <w:gridSpan w:val="2"/>
            <w:vAlign w:val="center"/>
          </w:tcPr>
          <w:p w14:paraId="14A8464B">
            <w:pPr>
              <w:spacing w:before="131" w:line="360" w:lineRule="auto"/>
              <w:jc w:val="center"/>
              <w:rPr>
                <w:rFonts w:hint="eastAsia" w:eastAsia="宋体"/>
                <w:lang w:val="en-US" w:eastAsia="zh-CN"/>
              </w:rPr>
            </w:pPr>
            <w:r>
              <w:rPr>
                <w:rFonts w:hint="eastAsia" w:eastAsia="宋体"/>
                <w:lang w:val="en-US" w:eastAsia="zh-CN"/>
              </w:rPr>
              <w:t>不涉及</w:t>
            </w:r>
          </w:p>
        </w:tc>
      </w:tr>
      <w:tr w14:paraId="080B9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3283" w:type="dxa"/>
            <w:vAlign w:val="center"/>
          </w:tcPr>
          <w:p w14:paraId="41523E92">
            <w:pPr>
              <w:spacing w:line="346" w:lineRule="auto"/>
              <w:jc w:val="center"/>
            </w:pPr>
            <w:r>
              <w:rPr>
                <w:rFonts w:ascii="黑体" w:hAnsi="黑体" w:eastAsia="黑体" w:cs="黑体"/>
                <w:spacing w:val="11"/>
                <w:sz w:val="24"/>
                <w:szCs w:val="24"/>
                <w14:textOutline w14:w="4356" w14:cap="flat" w14:cmpd="sng" w14:algn="ctr">
                  <w14:solidFill>
                    <w14:srgbClr w14:val="000000"/>
                  </w14:solidFill>
                  <w14:prstDash w14:val="solid"/>
                  <w14:miter w14:val="0"/>
                </w14:textOutline>
              </w:rPr>
              <w:t>附件清单</w:t>
            </w:r>
            <w:r>
              <w:rPr>
                <w:rFonts w:hint="eastAsia" w:ascii="黑体" w:hAnsi="黑体" w:eastAsia="黑体" w:cs="黑体"/>
                <w:spacing w:val="11"/>
                <w:sz w:val="24"/>
                <w:szCs w:val="24"/>
                <w:lang w:eastAsia="zh-CN"/>
                <w14:textOutline w14:w="4356" w14:cap="flat" w14:cmpd="sng" w14:algn="ctr">
                  <w14:solidFill>
                    <w14:srgbClr w14:val="000000"/>
                  </w14:solidFill>
                  <w14:prstDash w14:val="solid"/>
                  <w14:miter w14:val="0"/>
                </w14:textOutline>
              </w:rPr>
              <w:t>（</w:t>
            </w:r>
            <w:r>
              <w:rPr>
                <w:rFonts w:ascii="黑体" w:hAnsi="黑体" w:eastAsia="黑体" w:cs="黑体"/>
                <w:spacing w:val="11"/>
                <w:sz w:val="24"/>
                <w:szCs w:val="24"/>
                <w14:textOutline w14:w="4356" w14:cap="flat" w14:cmpd="sng" w14:algn="ctr">
                  <w14:solidFill>
                    <w14:srgbClr w14:val="000000"/>
                  </w14:solidFill>
                  <w14:prstDash w14:val="solid"/>
                  <w14:miter w14:val="0"/>
                </w14:textOutline>
              </w:rPr>
              <w:t>如有</w:t>
            </w:r>
            <w:r>
              <w:rPr>
                <w:rFonts w:hint="eastAsia" w:ascii="黑体" w:hAnsi="黑体" w:eastAsia="黑体" w:cs="黑体"/>
                <w:spacing w:val="11"/>
                <w:sz w:val="24"/>
                <w:szCs w:val="24"/>
                <w:lang w:eastAsia="zh-CN"/>
                <w14:textOutline w14:w="4356" w14:cap="flat" w14:cmpd="sng" w14:algn="ctr">
                  <w14:solidFill>
                    <w14:srgbClr w14:val="000000"/>
                  </w14:solidFill>
                  <w14:prstDash w14:val="solid"/>
                  <w14:miter w14:val="0"/>
                </w14:textOutline>
              </w:rPr>
              <w:t>）</w:t>
            </w:r>
          </w:p>
        </w:tc>
        <w:tc>
          <w:tcPr>
            <w:tcW w:w="5790" w:type="dxa"/>
            <w:gridSpan w:val="2"/>
            <w:vAlign w:val="center"/>
          </w:tcPr>
          <w:p w14:paraId="504202EE">
            <w:pPr>
              <w:spacing w:before="131"/>
              <w:jc w:val="center"/>
              <w:rPr>
                <w:rFonts w:ascii="宋体" w:hAnsi="宋体" w:eastAsia="宋体" w:cs="宋体"/>
                <w:spacing w:val="-11"/>
                <w14:textOutline w14:w="3835" w14:cap="flat" w14:cmpd="sng" w14:algn="ctr">
                  <w14:solidFill>
                    <w14:srgbClr w14:val="000000"/>
                  </w14:solidFill>
                  <w14:prstDash w14:val="solid"/>
                  <w14:miter w14:val="0"/>
                </w14:textOutline>
              </w:rPr>
            </w:pPr>
            <w:r>
              <w:rPr>
                <w:rFonts w:ascii="宋体" w:hAnsi="宋体" w:eastAsia="宋体" w:cs="仿宋"/>
              </w:rPr>
              <w:t>无</w:t>
            </w:r>
          </w:p>
        </w:tc>
      </w:tr>
    </w:tbl>
    <w:p w14:paraId="4C23E658">
      <w:pPr>
        <w:rPr>
          <w:rFonts w:hint="default" w:ascii="Arial" w:hAnsi="Arial" w:eastAsia="宋体" w:cs="Arial"/>
          <w:i w:val="0"/>
          <w:iCs w:val="0"/>
          <w:caps w:val="0"/>
          <w:color w:val="222222"/>
          <w:spacing w:val="0"/>
          <w:sz w:val="21"/>
          <w:szCs w:val="21"/>
          <w:shd w:val="clear" w:fill="FFFFFF"/>
          <w:lang w:val="en-US" w:eastAsia="zh-CN"/>
        </w:rPr>
      </w:pPr>
    </w:p>
    <w:sectPr>
      <w:pgSz w:w="11907" w:h="16839"/>
      <w:pgMar w:top="1440" w:right="1800" w:bottom="1440" w:left="180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000000"/>
    <w:rsid w:val="00A37C1C"/>
    <w:rsid w:val="01545A05"/>
    <w:rsid w:val="01AE3588"/>
    <w:rsid w:val="01D32DCE"/>
    <w:rsid w:val="01D628BE"/>
    <w:rsid w:val="021D0874"/>
    <w:rsid w:val="021F6013"/>
    <w:rsid w:val="022A2F1B"/>
    <w:rsid w:val="02301FCF"/>
    <w:rsid w:val="02331ABF"/>
    <w:rsid w:val="029C58B6"/>
    <w:rsid w:val="02A91D81"/>
    <w:rsid w:val="03773C2D"/>
    <w:rsid w:val="03962305"/>
    <w:rsid w:val="03CF6F0E"/>
    <w:rsid w:val="03E31959"/>
    <w:rsid w:val="04210E57"/>
    <w:rsid w:val="04313670"/>
    <w:rsid w:val="04447FB3"/>
    <w:rsid w:val="05015EA4"/>
    <w:rsid w:val="05465FAD"/>
    <w:rsid w:val="06851B15"/>
    <w:rsid w:val="06930D7E"/>
    <w:rsid w:val="06C8301E"/>
    <w:rsid w:val="06F82B7E"/>
    <w:rsid w:val="075E75DE"/>
    <w:rsid w:val="075F5A26"/>
    <w:rsid w:val="07970828"/>
    <w:rsid w:val="07AB2F49"/>
    <w:rsid w:val="07BA47F6"/>
    <w:rsid w:val="07CB4548"/>
    <w:rsid w:val="07DB29DD"/>
    <w:rsid w:val="07F65A68"/>
    <w:rsid w:val="083E2F6B"/>
    <w:rsid w:val="0863333E"/>
    <w:rsid w:val="087F1701"/>
    <w:rsid w:val="0939608D"/>
    <w:rsid w:val="09CC2259"/>
    <w:rsid w:val="09D70151"/>
    <w:rsid w:val="09DD70BF"/>
    <w:rsid w:val="09FD62EE"/>
    <w:rsid w:val="0A1B3564"/>
    <w:rsid w:val="0A3463D4"/>
    <w:rsid w:val="0A905466"/>
    <w:rsid w:val="0AE40529"/>
    <w:rsid w:val="0AF17E80"/>
    <w:rsid w:val="0AFD710E"/>
    <w:rsid w:val="0B1E2DB5"/>
    <w:rsid w:val="0B3C7C36"/>
    <w:rsid w:val="0BF64289"/>
    <w:rsid w:val="0C4024A9"/>
    <w:rsid w:val="0C692CAD"/>
    <w:rsid w:val="0C8F023A"/>
    <w:rsid w:val="0CB3463E"/>
    <w:rsid w:val="0CBB102F"/>
    <w:rsid w:val="0D674D12"/>
    <w:rsid w:val="0DC15AA0"/>
    <w:rsid w:val="0DCA2888"/>
    <w:rsid w:val="0E156250"/>
    <w:rsid w:val="0E2A1FC8"/>
    <w:rsid w:val="0F0373B1"/>
    <w:rsid w:val="0FEE5277"/>
    <w:rsid w:val="109B71AD"/>
    <w:rsid w:val="10A058FA"/>
    <w:rsid w:val="10A73DA4"/>
    <w:rsid w:val="10CD5130"/>
    <w:rsid w:val="115A5307"/>
    <w:rsid w:val="118B7221"/>
    <w:rsid w:val="11D72467"/>
    <w:rsid w:val="11DC7A7D"/>
    <w:rsid w:val="1205799E"/>
    <w:rsid w:val="127E6D86"/>
    <w:rsid w:val="12C754BC"/>
    <w:rsid w:val="138F10FE"/>
    <w:rsid w:val="13F76DF0"/>
    <w:rsid w:val="13FF287E"/>
    <w:rsid w:val="14D914EE"/>
    <w:rsid w:val="14FB74F2"/>
    <w:rsid w:val="153C6A85"/>
    <w:rsid w:val="156D5C3E"/>
    <w:rsid w:val="16196B4E"/>
    <w:rsid w:val="16404CC3"/>
    <w:rsid w:val="164A731D"/>
    <w:rsid w:val="164F4491"/>
    <w:rsid w:val="17842B8C"/>
    <w:rsid w:val="179E3A27"/>
    <w:rsid w:val="18003113"/>
    <w:rsid w:val="18562547"/>
    <w:rsid w:val="18AE6507"/>
    <w:rsid w:val="18B22F8F"/>
    <w:rsid w:val="18E24DE3"/>
    <w:rsid w:val="19C37774"/>
    <w:rsid w:val="1A475CB0"/>
    <w:rsid w:val="1A8D54AB"/>
    <w:rsid w:val="1A907FA2"/>
    <w:rsid w:val="1AA72145"/>
    <w:rsid w:val="1B1A668B"/>
    <w:rsid w:val="1BD47A17"/>
    <w:rsid w:val="1BDC68CC"/>
    <w:rsid w:val="1BF754B3"/>
    <w:rsid w:val="1C311C4C"/>
    <w:rsid w:val="1C37598E"/>
    <w:rsid w:val="1CE25505"/>
    <w:rsid w:val="1D2302DB"/>
    <w:rsid w:val="1D7019C1"/>
    <w:rsid w:val="1F5A2B07"/>
    <w:rsid w:val="1F6E1F30"/>
    <w:rsid w:val="1F852B38"/>
    <w:rsid w:val="1F953961"/>
    <w:rsid w:val="1FC87893"/>
    <w:rsid w:val="201E4236"/>
    <w:rsid w:val="21060CAB"/>
    <w:rsid w:val="21815F4B"/>
    <w:rsid w:val="21AD0AEE"/>
    <w:rsid w:val="221C7DFD"/>
    <w:rsid w:val="228C7DBD"/>
    <w:rsid w:val="229E0D7F"/>
    <w:rsid w:val="22A53EBB"/>
    <w:rsid w:val="2303032F"/>
    <w:rsid w:val="239F090A"/>
    <w:rsid w:val="23E70F73"/>
    <w:rsid w:val="248875F1"/>
    <w:rsid w:val="25080A70"/>
    <w:rsid w:val="25253091"/>
    <w:rsid w:val="25B44BE3"/>
    <w:rsid w:val="26753BA5"/>
    <w:rsid w:val="26811471"/>
    <w:rsid w:val="274D290A"/>
    <w:rsid w:val="275B723E"/>
    <w:rsid w:val="27AB4EA2"/>
    <w:rsid w:val="28025A1A"/>
    <w:rsid w:val="280A3C36"/>
    <w:rsid w:val="28221B0A"/>
    <w:rsid w:val="28292E99"/>
    <w:rsid w:val="28577A06"/>
    <w:rsid w:val="28626BCE"/>
    <w:rsid w:val="28940C5A"/>
    <w:rsid w:val="28A349F9"/>
    <w:rsid w:val="291C1880"/>
    <w:rsid w:val="29470146"/>
    <w:rsid w:val="294966D6"/>
    <w:rsid w:val="29EC23D0"/>
    <w:rsid w:val="2A06146B"/>
    <w:rsid w:val="2A1D6A2D"/>
    <w:rsid w:val="2A574B8D"/>
    <w:rsid w:val="2AB23619"/>
    <w:rsid w:val="2AE01F34"/>
    <w:rsid w:val="2AE76B06"/>
    <w:rsid w:val="2BC76C50"/>
    <w:rsid w:val="2C0028BD"/>
    <w:rsid w:val="2C471B3F"/>
    <w:rsid w:val="2C7D0806"/>
    <w:rsid w:val="2C866B0B"/>
    <w:rsid w:val="2CE23E3F"/>
    <w:rsid w:val="2CF33E7C"/>
    <w:rsid w:val="2D256324"/>
    <w:rsid w:val="2D6F55FD"/>
    <w:rsid w:val="2D762DA4"/>
    <w:rsid w:val="2D964B2C"/>
    <w:rsid w:val="2EB931C8"/>
    <w:rsid w:val="2EC830D0"/>
    <w:rsid w:val="2F9652B7"/>
    <w:rsid w:val="2FE74253"/>
    <w:rsid w:val="30327943"/>
    <w:rsid w:val="307C3A1B"/>
    <w:rsid w:val="308570DA"/>
    <w:rsid w:val="309A0DD7"/>
    <w:rsid w:val="30E107B4"/>
    <w:rsid w:val="314978EC"/>
    <w:rsid w:val="31C60848"/>
    <w:rsid w:val="31DD48DC"/>
    <w:rsid w:val="32300DF4"/>
    <w:rsid w:val="327B210D"/>
    <w:rsid w:val="32BA750F"/>
    <w:rsid w:val="32F444B2"/>
    <w:rsid w:val="33704071"/>
    <w:rsid w:val="339C09C3"/>
    <w:rsid w:val="33E04D53"/>
    <w:rsid w:val="340F5638"/>
    <w:rsid w:val="343C3F54"/>
    <w:rsid w:val="34727D99"/>
    <w:rsid w:val="34C24459"/>
    <w:rsid w:val="34E675D0"/>
    <w:rsid w:val="34FC3E0F"/>
    <w:rsid w:val="35233D58"/>
    <w:rsid w:val="3529097C"/>
    <w:rsid w:val="35DC59EE"/>
    <w:rsid w:val="35E05D71"/>
    <w:rsid w:val="36CC5A63"/>
    <w:rsid w:val="373F4487"/>
    <w:rsid w:val="375D1E78"/>
    <w:rsid w:val="37860CFA"/>
    <w:rsid w:val="37991DE9"/>
    <w:rsid w:val="383047CA"/>
    <w:rsid w:val="388A0452"/>
    <w:rsid w:val="392D37C9"/>
    <w:rsid w:val="394E6C03"/>
    <w:rsid w:val="39E25A5D"/>
    <w:rsid w:val="3A06303A"/>
    <w:rsid w:val="3A244B12"/>
    <w:rsid w:val="3A557B1D"/>
    <w:rsid w:val="3A6357CC"/>
    <w:rsid w:val="3BED7890"/>
    <w:rsid w:val="3D9B1520"/>
    <w:rsid w:val="3D9E46E1"/>
    <w:rsid w:val="3DC41A53"/>
    <w:rsid w:val="3DD5344F"/>
    <w:rsid w:val="3EED5823"/>
    <w:rsid w:val="3F513170"/>
    <w:rsid w:val="3F667892"/>
    <w:rsid w:val="3F6A7BC7"/>
    <w:rsid w:val="3F870779"/>
    <w:rsid w:val="3F8C2250"/>
    <w:rsid w:val="3FA15A86"/>
    <w:rsid w:val="401202C3"/>
    <w:rsid w:val="401C3B3D"/>
    <w:rsid w:val="40793ED7"/>
    <w:rsid w:val="40A21074"/>
    <w:rsid w:val="413E57AF"/>
    <w:rsid w:val="41406E31"/>
    <w:rsid w:val="41AC096A"/>
    <w:rsid w:val="41D91034"/>
    <w:rsid w:val="41E33C60"/>
    <w:rsid w:val="42097B6B"/>
    <w:rsid w:val="42E42CCB"/>
    <w:rsid w:val="43193DDE"/>
    <w:rsid w:val="44CB55AC"/>
    <w:rsid w:val="44E126D9"/>
    <w:rsid w:val="45AC5A5D"/>
    <w:rsid w:val="466510E8"/>
    <w:rsid w:val="46761854"/>
    <w:rsid w:val="467B090B"/>
    <w:rsid w:val="46891BC8"/>
    <w:rsid w:val="46DE3850"/>
    <w:rsid w:val="47BE31A6"/>
    <w:rsid w:val="4800731A"/>
    <w:rsid w:val="48BA396D"/>
    <w:rsid w:val="49080B7C"/>
    <w:rsid w:val="49302F0F"/>
    <w:rsid w:val="493C25D4"/>
    <w:rsid w:val="49605AEE"/>
    <w:rsid w:val="49647D7D"/>
    <w:rsid w:val="49AD3239"/>
    <w:rsid w:val="49B740C9"/>
    <w:rsid w:val="49D071C0"/>
    <w:rsid w:val="4A1C0D50"/>
    <w:rsid w:val="4A2A4B22"/>
    <w:rsid w:val="4A3B0ADD"/>
    <w:rsid w:val="4A442B1E"/>
    <w:rsid w:val="4AD66A58"/>
    <w:rsid w:val="4B040685"/>
    <w:rsid w:val="4B1530DD"/>
    <w:rsid w:val="4B1B26BD"/>
    <w:rsid w:val="4B481704"/>
    <w:rsid w:val="4B6C4CC7"/>
    <w:rsid w:val="4C675BBA"/>
    <w:rsid w:val="4CA706AC"/>
    <w:rsid w:val="4D2F41FE"/>
    <w:rsid w:val="4D4F0235"/>
    <w:rsid w:val="4DB57566"/>
    <w:rsid w:val="4DFA480C"/>
    <w:rsid w:val="4E395334"/>
    <w:rsid w:val="4E9E788D"/>
    <w:rsid w:val="4EB946C7"/>
    <w:rsid w:val="4ED137BE"/>
    <w:rsid w:val="4F0442B5"/>
    <w:rsid w:val="4F053468"/>
    <w:rsid w:val="4F8A33FE"/>
    <w:rsid w:val="5115270F"/>
    <w:rsid w:val="527728CF"/>
    <w:rsid w:val="53310CD0"/>
    <w:rsid w:val="54B80F19"/>
    <w:rsid w:val="556F788D"/>
    <w:rsid w:val="557430F6"/>
    <w:rsid w:val="55D3606E"/>
    <w:rsid w:val="57E666CC"/>
    <w:rsid w:val="588875E4"/>
    <w:rsid w:val="58BC103B"/>
    <w:rsid w:val="58CD5C4E"/>
    <w:rsid w:val="58E40592"/>
    <w:rsid w:val="58F9403E"/>
    <w:rsid w:val="59D2488F"/>
    <w:rsid w:val="5A0E3BCE"/>
    <w:rsid w:val="5A5F6122"/>
    <w:rsid w:val="5A91351A"/>
    <w:rsid w:val="5AF53A87"/>
    <w:rsid w:val="5B3D683F"/>
    <w:rsid w:val="5B607CF8"/>
    <w:rsid w:val="5B8A3673"/>
    <w:rsid w:val="5BEC1C38"/>
    <w:rsid w:val="5BF8682E"/>
    <w:rsid w:val="5C7A6129"/>
    <w:rsid w:val="5CD765E0"/>
    <w:rsid w:val="5D317F73"/>
    <w:rsid w:val="5D610403"/>
    <w:rsid w:val="5E624433"/>
    <w:rsid w:val="5E6A3173"/>
    <w:rsid w:val="5E912F6A"/>
    <w:rsid w:val="5EAC1B52"/>
    <w:rsid w:val="5F0B6879"/>
    <w:rsid w:val="5F3C4E3E"/>
    <w:rsid w:val="5FEE6985"/>
    <w:rsid w:val="601570D8"/>
    <w:rsid w:val="60206354"/>
    <w:rsid w:val="60490CEC"/>
    <w:rsid w:val="60C05441"/>
    <w:rsid w:val="621912AD"/>
    <w:rsid w:val="629F51E1"/>
    <w:rsid w:val="634343CD"/>
    <w:rsid w:val="63546E84"/>
    <w:rsid w:val="63847AD9"/>
    <w:rsid w:val="63860BC4"/>
    <w:rsid w:val="63E678B4"/>
    <w:rsid w:val="63F4600E"/>
    <w:rsid w:val="63FC3E19"/>
    <w:rsid w:val="6412144A"/>
    <w:rsid w:val="642301C1"/>
    <w:rsid w:val="657038D9"/>
    <w:rsid w:val="65A51A6C"/>
    <w:rsid w:val="65E63B9C"/>
    <w:rsid w:val="65F406D1"/>
    <w:rsid w:val="666920D7"/>
    <w:rsid w:val="66952ECC"/>
    <w:rsid w:val="672F2593"/>
    <w:rsid w:val="677F7E04"/>
    <w:rsid w:val="678C42CF"/>
    <w:rsid w:val="67D143D7"/>
    <w:rsid w:val="68224C33"/>
    <w:rsid w:val="68617509"/>
    <w:rsid w:val="68E352A2"/>
    <w:rsid w:val="68EA39A3"/>
    <w:rsid w:val="68F33297"/>
    <w:rsid w:val="69020CEC"/>
    <w:rsid w:val="690C1F68"/>
    <w:rsid w:val="693E01B9"/>
    <w:rsid w:val="69A01157"/>
    <w:rsid w:val="69E76134"/>
    <w:rsid w:val="6A8B4D12"/>
    <w:rsid w:val="6AB57FE0"/>
    <w:rsid w:val="6ABA195F"/>
    <w:rsid w:val="6B670AC3"/>
    <w:rsid w:val="6B7D0AFE"/>
    <w:rsid w:val="6B8E4AB9"/>
    <w:rsid w:val="6BAF4AC6"/>
    <w:rsid w:val="6C0C1250"/>
    <w:rsid w:val="6C69135C"/>
    <w:rsid w:val="6C6E0447"/>
    <w:rsid w:val="6D111B2A"/>
    <w:rsid w:val="6D41296A"/>
    <w:rsid w:val="6D711AC2"/>
    <w:rsid w:val="6DC46050"/>
    <w:rsid w:val="6DDD7632"/>
    <w:rsid w:val="6E4111F0"/>
    <w:rsid w:val="6EFE3E93"/>
    <w:rsid w:val="6F60051B"/>
    <w:rsid w:val="6F881820"/>
    <w:rsid w:val="6FC54822"/>
    <w:rsid w:val="6FCB7F43"/>
    <w:rsid w:val="6FFE7D34"/>
    <w:rsid w:val="70127ACB"/>
    <w:rsid w:val="70390D6C"/>
    <w:rsid w:val="709B5583"/>
    <w:rsid w:val="70ED2282"/>
    <w:rsid w:val="70F52E27"/>
    <w:rsid w:val="714D4ACF"/>
    <w:rsid w:val="719A7C6D"/>
    <w:rsid w:val="71AF3FCA"/>
    <w:rsid w:val="71CF1988"/>
    <w:rsid w:val="72263DBE"/>
    <w:rsid w:val="7266237A"/>
    <w:rsid w:val="72C214EC"/>
    <w:rsid w:val="73006781"/>
    <w:rsid w:val="737E3665"/>
    <w:rsid w:val="73F76F74"/>
    <w:rsid w:val="741144D9"/>
    <w:rsid w:val="74836A59"/>
    <w:rsid w:val="75220020"/>
    <w:rsid w:val="756339FF"/>
    <w:rsid w:val="75985E0F"/>
    <w:rsid w:val="75D37C3B"/>
    <w:rsid w:val="75FC2F67"/>
    <w:rsid w:val="76007DF5"/>
    <w:rsid w:val="76472434"/>
    <w:rsid w:val="7682521B"/>
    <w:rsid w:val="76CA086F"/>
    <w:rsid w:val="76D10464"/>
    <w:rsid w:val="7738222A"/>
    <w:rsid w:val="777F0BBD"/>
    <w:rsid w:val="77CD6969"/>
    <w:rsid w:val="77D777E8"/>
    <w:rsid w:val="77FA5285"/>
    <w:rsid w:val="78392611"/>
    <w:rsid w:val="78436C2C"/>
    <w:rsid w:val="7879264D"/>
    <w:rsid w:val="78F4247E"/>
    <w:rsid w:val="79772A57"/>
    <w:rsid w:val="797E185A"/>
    <w:rsid w:val="7A741675"/>
    <w:rsid w:val="7B8025F1"/>
    <w:rsid w:val="7BA10DE3"/>
    <w:rsid w:val="7BB919DF"/>
    <w:rsid w:val="7BF85B9E"/>
    <w:rsid w:val="7C8141C6"/>
    <w:rsid w:val="7D2B161E"/>
    <w:rsid w:val="7D690EE2"/>
    <w:rsid w:val="7D747887"/>
    <w:rsid w:val="7E8104AE"/>
    <w:rsid w:val="7FEE39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pPr>
    <w:rPr>
      <w:sz w:val="18"/>
      <w:szCs w:val="18"/>
    </w:rPr>
  </w:style>
  <w:style w:type="paragraph" w:styleId="3">
    <w:name w:val="header"/>
    <w:basedOn w:val="1"/>
    <w:link w:val="11"/>
    <w:qFormat/>
    <w:uiPriority w:val="0"/>
    <w:pPr>
      <w:tabs>
        <w:tab w:val="center" w:pos="4153"/>
        <w:tab w:val="right" w:pos="8306"/>
      </w:tabs>
      <w:jc w:val="center"/>
    </w:pPr>
    <w:rPr>
      <w:sz w:val="18"/>
      <w:szCs w:val="18"/>
    </w:rPr>
  </w:style>
  <w:style w:type="character" w:styleId="6">
    <w:name w:val="Strong"/>
    <w:basedOn w:val="5"/>
    <w:qFormat/>
    <w:uiPriority w:val="0"/>
    <w:rPr>
      <w:b/>
    </w:rPr>
  </w:style>
  <w:style w:type="table" w:customStyle="1" w:styleId="7">
    <w:name w:val="Table Normal1"/>
    <w:unhideWhenUsed/>
    <w:qFormat/>
    <w:uiPriority w:val="0"/>
    <w:tblPr>
      <w:tblCellMar>
        <w:top w:w="0" w:type="dxa"/>
        <w:left w:w="0" w:type="dxa"/>
        <w:bottom w:w="0" w:type="dxa"/>
        <w:right w:w="0" w:type="dxa"/>
      </w:tblCellMar>
    </w:tblPr>
  </w:style>
  <w:style w:type="paragraph" w:customStyle="1" w:styleId="8">
    <w:name w:val="Normal1"/>
    <w:qFormat/>
    <w:uiPriority w:val="0"/>
    <w:pPr>
      <w:widowControl w:val="0"/>
      <w:jc w:val="both"/>
    </w:pPr>
    <w:rPr>
      <w:rFonts w:ascii="Calibri" w:hAnsi="Calibri" w:eastAsia="宋体" w:cs="Times New Roman"/>
      <w:kern w:val="2"/>
      <w:sz w:val="21"/>
      <w:szCs w:val="21"/>
      <w:lang w:val="en-US" w:eastAsia="zh-CN" w:bidi="ar-SA"/>
    </w:rPr>
  </w:style>
  <w:style w:type="paragraph" w:customStyle="1" w:styleId="9">
    <w:name w:val="列出段落1"/>
    <w:basedOn w:val="1"/>
    <w:qFormat/>
    <w:uiPriority w:val="0"/>
    <w:pPr>
      <w:widowControl w:val="0"/>
      <w:kinsoku/>
      <w:autoSpaceDE/>
      <w:autoSpaceDN/>
      <w:adjustRightInd/>
      <w:snapToGrid/>
      <w:ind w:firstLine="420" w:firstLineChars="200"/>
      <w:jc w:val="both"/>
      <w:textAlignment w:val="auto"/>
    </w:pPr>
    <w:rPr>
      <w:rFonts w:ascii="Calibri" w:hAnsi="Calibri" w:eastAsia="宋体" w:cs="Times New Roman"/>
      <w:color w:val="auto"/>
      <w:kern w:val="2"/>
    </w:rPr>
  </w:style>
  <w:style w:type="paragraph" w:customStyle="1" w:styleId="10">
    <w:name w:val="List Paragraph"/>
    <w:basedOn w:val="1"/>
    <w:qFormat/>
    <w:uiPriority w:val="99"/>
    <w:pPr>
      <w:ind w:firstLine="420" w:firstLineChars="200"/>
    </w:pPr>
  </w:style>
  <w:style w:type="character" w:customStyle="1" w:styleId="11">
    <w:name w:val="页眉 字符"/>
    <w:basedOn w:val="5"/>
    <w:link w:val="3"/>
    <w:qFormat/>
    <w:uiPriority w:val="0"/>
    <w:rPr>
      <w:rFonts w:ascii="Arial" w:hAnsi="Arial" w:eastAsia="Arial" w:cs="Arial"/>
      <w:snapToGrid w:val="0"/>
      <w:color w:val="000000"/>
      <w:sz w:val="18"/>
      <w:szCs w:val="18"/>
    </w:rPr>
  </w:style>
  <w:style w:type="character" w:customStyle="1" w:styleId="12">
    <w:name w:val="页脚 字符"/>
    <w:basedOn w:val="5"/>
    <w:link w:val="2"/>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2372</Words>
  <Characters>2508</Characters>
  <Lines>7</Lines>
  <Paragraphs>2</Paragraphs>
  <TotalTime>0</TotalTime>
  <ScaleCrop>false</ScaleCrop>
  <LinksUpToDate>false</LinksUpToDate>
  <CharactersWithSpaces>2592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2024-01-20T01:08:00Z</dcterms:created>
  <dc:creator>Data</dc:creator>
  <cp:lastModifiedBy>千年老牛</cp:lastModifiedBy>
  <cp:lastPrinted>2024-05-18T02:53:00Z</cp:lastPrinted>
  <dcterms:modified xsi:type="dcterms:W3CDTF">2026-07-10T08:58:21Z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2023-08-25T10:23:00Z</vt:filetime>
  </property>
  <property fmtid="{D5CDD505-2E9C-101B-9397-08002B2CF9AE}" pid="4" name="UsrData">
    <vt:lpwstr>64e8108ff7cc97001fbc8a0c</vt:lpwstr>
  </property>
  <property fmtid="{D5CDD505-2E9C-101B-9397-08002B2CF9AE}" pid="5" name="KSOProductBuildVer">
    <vt:lpwstr>2052-12.1.0.26895</vt:lpwstr>
  </property>
  <property fmtid="{D5CDD505-2E9C-101B-9397-08002B2CF9AE}" pid="6" name="ICV">
    <vt:lpwstr>4A48D3FCBE704A2194D9F86F52407B3E_13</vt:lpwstr>
  </property>
  <property fmtid="{D5CDD505-2E9C-101B-9397-08002B2CF9AE}" pid="7" name="KSOTemplateDocerSaveRecord">
    <vt:lpwstr>eyJoZGlkIjoiMWZlZTVkMDQ3MTE5MDM4MmUyMjY3MjRiMzY2OTQwODgiLCJ1c2VySWQiOiIyMTcxMTExNjEifQ==</vt:lpwstr>
  </property>
</Properties>
</file>