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5FD2C">
      <w:pPr>
        <w:jc w:val="center"/>
        <w:rPr>
          <w:rFonts w:ascii="sans-serif" w:hAnsi="sans-serif" w:eastAsia="sans-serif" w:cs="sans-serif"/>
          <w:sz w:val="28"/>
          <w:szCs w:val="28"/>
          <w:shd w:val="clear" w:color="auto" w:fill="FFFFFF"/>
        </w:rPr>
      </w:pPr>
      <w:r>
        <w:rPr>
          <w:rFonts w:ascii="sans-serif" w:hAnsi="sans-serif" w:eastAsia="sans-serif" w:cs="sans-serif"/>
          <w:b/>
          <w:bCs/>
          <w:sz w:val="32"/>
          <w:szCs w:val="32"/>
          <w:shd w:val="clear" w:color="auto" w:fill="FFFFFF"/>
        </w:rPr>
        <w:t>投资者关系活动记录表</w:t>
      </w:r>
    </w:p>
    <w:p w14:paraId="0208E064">
      <w:pPr>
        <w:jc w:val="left"/>
        <w:rPr>
          <w:rFonts w:hint="default" w:ascii="Times New Roman" w:hAnsi="Times New Roman" w:eastAsia="宋体" w:cs="Times New Roman"/>
          <w:sz w:val="24"/>
          <w:shd w:val="clear" w:color="auto" w:fill="FFFFFF"/>
          <w:lang w:val="en-US" w:eastAsia="zh-CN"/>
        </w:rPr>
      </w:pPr>
      <w:r>
        <w:rPr>
          <w:rFonts w:hint="eastAsia" w:ascii="sans-serif" w:hAnsi="sans-serif" w:eastAsia="sans-serif" w:cs="sans-serif"/>
          <w:sz w:val="24"/>
          <w:shd w:val="clear" w:color="auto" w:fill="FFFFFF"/>
        </w:rPr>
        <w:t>股票名称：</w:t>
      </w:r>
      <w:r>
        <w:rPr>
          <w:rFonts w:hint="eastAsia" w:ascii="sans-serif" w:hAnsi="sans-serif" w:eastAsia="宋体" w:cs="sans-serif"/>
          <w:sz w:val="24"/>
          <w:shd w:val="clear" w:color="auto" w:fill="FFFFFF"/>
        </w:rPr>
        <w:t>鼎通科技</w:t>
      </w:r>
      <w:r>
        <w:rPr>
          <w:rFonts w:hint="eastAsia" w:ascii="sans-serif" w:hAnsi="sans-serif" w:eastAsia="宋体" w:cs="sans-serif"/>
          <w:sz w:val="24"/>
          <w:shd w:val="clear" w:color="auto" w:fill="FFFFFF"/>
          <w:lang w:val="en-US" w:eastAsia="zh-CN"/>
        </w:rPr>
        <w:t xml:space="preserve">           </w:t>
      </w:r>
      <w:r>
        <w:rPr>
          <w:rFonts w:hint="eastAsia" w:ascii="sans-serif" w:hAnsi="sans-serif" w:eastAsia="sans-serif" w:cs="sans-serif"/>
          <w:sz w:val="24"/>
          <w:shd w:val="clear" w:color="auto" w:fill="FFFFFF"/>
        </w:rPr>
        <w:t>股票代码：</w:t>
      </w:r>
      <w:r>
        <w:rPr>
          <w:rFonts w:ascii="Times New Roman" w:hAnsi="Times New Roman" w:eastAsia="宋体" w:cs="Times New Roman"/>
          <w:sz w:val="24"/>
          <w:shd w:val="clear" w:color="auto" w:fill="FFFFFF"/>
        </w:rPr>
        <w:t>688668</w:t>
      </w:r>
      <w:r>
        <w:rPr>
          <w:rFonts w:hint="eastAsia" w:ascii="Times New Roman" w:hAnsi="Times New Roman" w:eastAsia="宋体" w:cs="Times New Roman"/>
          <w:sz w:val="24"/>
          <w:shd w:val="clear" w:color="auto" w:fill="FFFFFF"/>
          <w:lang w:val="en-US" w:eastAsia="zh-CN"/>
        </w:rPr>
        <w:t xml:space="preserve">           </w:t>
      </w:r>
      <w:r>
        <w:rPr>
          <w:rFonts w:hint="eastAsia" w:ascii="sans-serif" w:hAnsi="sans-serif" w:eastAsia="sans-serif" w:cs="sans-serif"/>
          <w:sz w:val="24"/>
          <w:shd w:val="clear" w:color="auto" w:fill="FFFFFF"/>
        </w:rPr>
        <w:t>编号：</w:t>
      </w:r>
      <w:r>
        <w:rPr>
          <w:rFonts w:hint="default" w:ascii="Times New Roman" w:hAnsi="Times New Roman" w:eastAsia="宋体" w:cs="Times New Roman"/>
          <w:sz w:val="24"/>
          <w:shd w:val="clear" w:color="auto" w:fill="FFFFFF"/>
          <w:lang w:val="en-US" w:eastAsia="zh-CN"/>
        </w:rPr>
        <w:t>202</w:t>
      </w:r>
      <w:r>
        <w:rPr>
          <w:rFonts w:hint="eastAsia" w:ascii="Times New Roman" w:hAnsi="Times New Roman" w:eastAsia="宋体" w:cs="Times New Roman"/>
          <w:sz w:val="24"/>
          <w:shd w:val="clear" w:color="auto" w:fill="FFFFFF"/>
          <w:lang w:val="en-US" w:eastAsia="zh-CN"/>
        </w:rPr>
        <w:t>6</w:t>
      </w:r>
      <w:r>
        <w:rPr>
          <w:rFonts w:hint="default" w:ascii="Times New Roman" w:hAnsi="Times New Roman" w:eastAsia="宋体" w:cs="Times New Roman"/>
          <w:sz w:val="24"/>
          <w:shd w:val="clear" w:color="auto" w:fill="FFFFFF"/>
          <w:lang w:val="en-US" w:eastAsia="zh-CN"/>
        </w:rPr>
        <w:t>-0</w:t>
      </w:r>
      <w:r>
        <w:rPr>
          <w:rFonts w:hint="eastAsia" w:ascii="Times New Roman" w:hAnsi="Times New Roman" w:eastAsia="宋体" w:cs="Times New Roman"/>
          <w:sz w:val="24"/>
          <w:shd w:val="clear" w:color="auto" w:fill="FFFFFF"/>
          <w:lang w:val="en-US" w:eastAsia="zh-CN"/>
        </w:rPr>
        <w:t>06</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52CD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2304" w:type="dxa"/>
            <w:vAlign w:val="center"/>
          </w:tcPr>
          <w:p w14:paraId="2185193B">
            <w:pPr>
              <w:jc w:val="center"/>
              <w:rPr>
                <w:rFonts w:ascii="sans-serif" w:hAnsi="sans-serif" w:eastAsia="sans-serif" w:cs="sans-serif"/>
                <w:szCs w:val="21"/>
                <w:shd w:val="clear" w:color="auto" w:fill="FFFFFF"/>
              </w:rPr>
            </w:pPr>
            <w:r>
              <w:rPr>
                <w:rFonts w:hint="eastAsia" w:ascii="Times New Roman" w:hAnsi="Times New Roman" w:eastAsia="宋体" w:cs="宋体"/>
                <w:b w:val="0"/>
                <w:bCs w:val="0"/>
                <w:sz w:val="24"/>
                <w:szCs w:val="24"/>
                <w:shd w:val="clear" w:color="auto" w:fill="FFFFFF"/>
                <w:lang w:val="en-US" w:eastAsia="zh-CN"/>
              </w:rPr>
              <w:t>投资者关系活动类别</w:t>
            </w:r>
          </w:p>
        </w:tc>
        <w:tc>
          <w:tcPr>
            <w:tcW w:w="6218" w:type="dxa"/>
            <w:vAlign w:val="center"/>
          </w:tcPr>
          <w:p w14:paraId="69B82E47">
            <w:pPr>
              <w:jc w:val="left"/>
              <w:rPr>
                <w:rFonts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sym w:font="Wingdings 2" w:char="0052"/>
            </w:r>
            <w:r>
              <w:rPr>
                <w:rFonts w:hint="eastAsia" w:asciiTheme="minorEastAsia" w:hAnsiTheme="minorEastAsia" w:cstheme="minorEastAsia"/>
                <w:szCs w:val="21"/>
                <w:shd w:val="clear" w:color="auto" w:fill="FFFFFF"/>
              </w:rPr>
              <w:t>特定对象调研</w:t>
            </w:r>
            <w:r>
              <w:rPr>
                <w:rFonts w:hint="eastAsia" w:asciiTheme="minorEastAsia" w:hAnsiTheme="minorEastAsia" w:cstheme="minorEastAsia"/>
                <w:szCs w:val="21"/>
                <w:shd w:val="clear" w:color="auto" w:fill="FFFFFF"/>
                <w:lang w:val="en-US" w:eastAsia="zh-CN"/>
              </w:rPr>
              <w:t xml:space="preserve">    </w:t>
            </w:r>
            <w:r>
              <w:rPr>
                <w:rFonts w:hint="eastAsia" w:asciiTheme="minorEastAsia" w:hAnsiTheme="minorEastAsia" w:cstheme="minorEastAsia"/>
                <w:szCs w:val="21"/>
                <w:shd w:val="clear" w:color="auto" w:fill="FFFFFF"/>
              </w:rPr>
              <w:sym w:font="Wingdings 2" w:char="00A3"/>
            </w:r>
            <w:r>
              <w:rPr>
                <w:rFonts w:hint="eastAsia" w:asciiTheme="minorEastAsia" w:hAnsiTheme="minorEastAsia" w:cstheme="minorEastAsia"/>
                <w:szCs w:val="21"/>
                <w:shd w:val="clear" w:color="auto" w:fill="FFFFFF"/>
              </w:rPr>
              <w:t>分析师会议</w:t>
            </w:r>
            <w:r>
              <w:rPr>
                <w:rFonts w:hint="eastAsia" w:asciiTheme="minorEastAsia" w:hAnsiTheme="minorEastAsia" w:cstheme="minorEastAsia"/>
                <w:szCs w:val="21"/>
                <w:shd w:val="clear" w:color="auto" w:fill="FFFFFF"/>
                <w:lang w:val="en-US" w:eastAsia="zh-CN"/>
              </w:rPr>
              <w:t xml:space="preserve">     </w:t>
            </w:r>
            <w:r>
              <w:rPr>
                <w:rFonts w:hint="eastAsia" w:asciiTheme="minorEastAsia" w:hAnsiTheme="minorEastAsia" w:cstheme="minorEastAsia"/>
                <w:szCs w:val="21"/>
                <w:shd w:val="clear" w:color="auto" w:fill="FFFFFF"/>
              </w:rPr>
              <w:sym w:font="Wingdings 2" w:char="00A3"/>
            </w:r>
            <w:r>
              <w:rPr>
                <w:rFonts w:hint="eastAsia" w:asciiTheme="minorEastAsia" w:hAnsiTheme="minorEastAsia" w:cstheme="minorEastAsia"/>
                <w:szCs w:val="21"/>
                <w:shd w:val="clear" w:color="auto" w:fill="FFFFFF"/>
                <w:lang w:eastAsia="zh-CN"/>
              </w:rPr>
              <w:t>电话会议</w:t>
            </w:r>
          </w:p>
          <w:p w14:paraId="3F854FFF">
            <w:pPr>
              <w:jc w:val="left"/>
              <w:rPr>
                <w:rFonts w:hint="eastAsia" w:asciiTheme="minorEastAsia" w:hAnsiTheme="minorEastAsia" w:eastAsiaTheme="minorEastAsia" w:cstheme="minorEastAsia"/>
                <w:szCs w:val="21"/>
                <w:shd w:val="clear" w:color="auto" w:fill="FFFFFF"/>
                <w:lang w:eastAsia="zh-CN"/>
              </w:rPr>
            </w:pPr>
            <w:r>
              <w:rPr>
                <w:rFonts w:hint="eastAsia" w:asciiTheme="minorEastAsia" w:hAnsiTheme="minorEastAsia" w:cstheme="minorEastAsia"/>
                <w:szCs w:val="21"/>
                <w:shd w:val="clear" w:color="auto" w:fill="FFFFFF"/>
              </w:rPr>
              <w:sym w:font="Wingdings 2" w:char="00A3"/>
            </w:r>
            <w:r>
              <w:rPr>
                <w:rFonts w:hint="eastAsia" w:asciiTheme="minorEastAsia" w:hAnsiTheme="minorEastAsia" w:cstheme="minorEastAsia"/>
                <w:szCs w:val="21"/>
                <w:shd w:val="clear" w:color="auto" w:fill="FFFFFF"/>
              </w:rPr>
              <w:t>媒体采访</w:t>
            </w:r>
            <w:r>
              <w:rPr>
                <w:rFonts w:hint="eastAsia" w:asciiTheme="minorEastAsia" w:hAnsiTheme="minorEastAsia" w:cstheme="minorEastAsia"/>
                <w:szCs w:val="21"/>
                <w:shd w:val="clear" w:color="auto" w:fill="FFFFFF"/>
                <w:lang w:val="en-US" w:eastAsia="zh-CN"/>
              </w:rPr>
              <w:t xml:space="preserve">        </w:t>
            </w:r>
            <w:r>
              <w:rPr>
                <w:rFonts w:hint="eastAsia" w:asciiTheme="minorEastAsia" w:hAnsiTheme="minorEastAsia" w:cstheme="minorEastAsia"/>
                <w:szCs w:val="21"/>
                <w:shd w:val="clear" w:color="auto" w:fill="FFFFFF"/>
              </w:rPr>
              <w:sym w:font="Wingdings 2" w:char="0052"/>
            </w:r>
            <w:r>
              <w:rPr>
                <w:rFonts w:hint="eastAsia" w:asciiTheme="minorEastAsia" w:hAnsiTheme="minorEastAsia" w:cstheme="minorEastAsia"/>
                <w:szCs w:val="21"/>
                <w:shd w:val="clear" w:color="auto" w:fill="FFFFFF"/>
              </w:rPr>
              <w:t>业绩说明会</w:t>
            </w:r>
            <w:r>
              <w:rPr>
                <w:rFonts w:hint="eastAsia" w:asciiTheme="minorEastAsia" w:hAnsiTheme="minorEastAsia" w:cstheme="minorEastAsia"/>
                <w:szCs w:val="21"/>
                <w:shd w:val="clear" w:color="auto" w:fill="FFFFFF"/>
                <w:lang w:val="en-US" w:eastAsia="zh-CN"/>
              </w:rPr>
              <w:t xml:space="preserve">     </w:t>
            </w:r>
            <w:r>
              <w:rPr>
                <w:rFonts w:hint="eastAsia" w:asciiTheme="minorEastAsia" w:hAnsiTheme="minorEastAsia" w:cstheme="minorEastAsia"/>
                <w:szCs w:val="21"/>
                <w:shd w:val="clear" w:color="auto" w:fill="FFFFFF"/>
              </w:rPr>
              <w:sym w:font="Wingdings 2" w:char="00A3"/>
            </w:r>
            <w:r>
              <w:rPr>
                <w:rFonts w:hint="eastAsia" w:asciiTheme="minorEastAsia" w:hAnsiTheme="minorEastAsia" w:cstheme="minorEastAsia"/>
                <w:szCs w:val="21"/>
                <w:shd w:val="clear" w:color="auto" w:fill="FFFFFF"/>
              </w:rPr>
              <w:t>新闻发布会</w:t>
            </w:r>
          </w:p>
          <w:p w14:paraId="521B818E">
            <w:pPr>
              <w:rPr>
                <w:rFonts w:hint="eastAsia" w:ascii="sans-serif" w:hAnsi="sans-serif" w:cs="sans-serif" w:eastAsiaTheme="minorEastAsia"/>
                <w:sz w:val="24"/>
                <w:u w:val="single"/>
                <w:shd w:val="clear" w:color="auto" w:fill="FFFFFF"/>
                <w:lang w:eastAsia="zh-CN"/>
              </w:rPr>
            </w:pPr>
            <w:r>
              <w:rPr>
                <w:rFonts w:hint="eastAsia" w:asciiTheme="minorEastAsia" w:hAnsiTheme="minorEastAsia" w:cstheme="minorEastAsia"/>
                <w:szCs w:val="21"/>
                <w:shd w:val="clear" w:color="auto" w:fill="FFFFFF"/>
              </w:rPr>
              <w:sym w:font="Wingdings 2" w:char="0052"/>
            </w:r>
            <w:r>
              <w:rPr>
                <w:rFonts w:hint="eastAsia" w:asciiTheme="minorEastAsia" w:hAnsiTheme="minorEastAsia" w:cstheme="minorEastAsia"/>
                <w:szCs w:val="21"/>
                <w:shd w:val="clear" w:color="auto" w:fill="FFFFFF"/>
              </w:rPr>
              <w:t>路演活动</w:t>
            </w:r>
            <w:r>
              <w:rPr>
                <w:rFonts w:hint="eastAsia" w:asciiTheme="minorEastAsia" w:hAnsiTheme="minorEastAsia" w:cstheme="minorEastAsia"/>
                <w:szCs w:val="21"/>
                <w:shd w:val="clear" w:color="auto" w:fill="FFFFFF"/>
                <w:lang w:val="en-US" w:eastAsia="zh-CN"/>
              </w:rPr>
              <w:t xml:space="preserve">        </w:t>
            </w:r>
            <w:r>
              <w:rPr>
                <w:rFonts w:hint="eastAsia" w:asciiTheme="minorEastAsia" w:hAnsiTheme="minorEastAsia" w:cstheme="minorEastAsia"/>
                <w:szCs w:val="21"/>
                <w:shd w:val="clear" w:color="auto" w:fill="FFFFFF"/>
              </w:rPr>
              <w:sym w:font="Wingdings 2" w:char="0052"/>
            </w:r>
            <w:r>
              <w:rPr>
                <w:rFonts w:hint="eastAsia" w:asciiTheme="minorEastAsia" w:hAnsiTheme="minorEastAsia" w:cstheme="minorEastAsia"/>
                <w:szCs w:val="21"/>
                <w:shd w:val="clear" w:color="auto" w:fill="FFFFFF"/>
              </w:rPr>
              <w:t>现场参观</w:t>
            </w:r>
            <w:r>
              <w:rPr>
                <w:rFonts w:hint="eastAsia" w:asciiTheme="minorEastAsia" w:hAnsiTheme="minorEastAsia" w:cstheme="minorEastAsia"/>
                <w:szCs w:val="21"/>
                <w:shd w:val="clear" w:color="auto" w:fill="FFFFFF"/>
                <w:lang w:val="en-US" w:eastAsia="zh-CN"/>
              </w:rPr>
              <w:t xml:space="preserve">       </w:t>
            </w:r>
            <w:r>
              <w:rPr>
                <w:rFonts w:hint="eastAsia" w:asciiTheme="minorEastAsia" w:hAnsiTheme="minorEastAsia" w:cstheme="minorEastAsia"/>
                <w:szCs w:val="21"/>
                <w:shd w:val="clear" w:color="auto" w:fill="FFFFFF"/>
              </w:rPr>
              <w:sym w:font="Wingdings 2" w:char="00A3"/>
            </w:r>
            <w:r>
              <w:rPr>
                <w:rFonts w:hint="eastAsia" w:asciiTheme="minorEastAsia" w:hAnsiTheme="minorEastAsia" w:cstheme="minorEastAsia"/>
                <w:szCs w:val="21"/>
                <w:shd w:val="clear" w:color="auto" w:fill="FFFFFF"/>
              </w:rPr>
              <w:t>其他</w:t>
            </w:r>
          </w:p>
        </w:tc>
      </w:tr>
      <w:tr w14:paraId="396E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2304" w:type="dxa"/>
            <w:vAlign w:val="center"/>
          </w:tcPr>
          <w:p w14:paraId="4A244834">
            <w:pPr>
              <w:jc w:val="center"/>
              <w:rPr>
                <w:rFonts w:ascii="sans-serif" w:hAnsi="sans-serif" w:eastAsia="sans-serif" w:cs="sans-serif"/>
                <w:szCs w:val="21"/>
                <w:shd w:val="clear" w:color="auto" w:fill="FFFFFF"/>
              </w:rPr>
            </w:pPr>
            <w:r>
              <w:rPr>
                <w:rFonts w:hint="eastAsia" w:ascii="Times New Roman" w:hAnsi="Times New Roman" w:eastAsia="宋体" w:cs="宋体"/>
                <w:b w:val="0"/>
                <w:bCs w:val="0"/>
                <w:sz w:val="24"/>
                <w:szCs w:val="24"/>
                <w:shd w:val="clear" w:color="auto" w:fill="FFFFFF"/>
                <w:lang w:val="en-US" w:eastAsia="zh-CN"/>
              </w:rPr>
              <w:t>参与单位名称及人员姓名</w:t>
            </w:r>
          </w:p>
        </w:tc>
        <w:tc>
          <w:tcPr>
            <w:tcW w:w="6218" w:type="dxa"/>
            <w:vAlign w:val="center"/>
          </w:tcPr>
          <w:p w14:paraId="232B547B">
            <w:pPr>
              <w:rPr>
                <w:rFonts w:hint="eastAsia" w:ascii="宋体" w:hAnsi="宋体" w:eastAsia="宋体" w:cs="宋体"/>
                <w:b/>
                <w:bCs w:val="0"/>
                <w:iCs/>
                <w:color w:val="000000"/>
                <w:sz w:val="24"/>
                <w:highlight w:val="none"/>
                <w:lang w:val="en-US" w:eastAsia="zh-CN"/>
              </w:rPr>
            </w:pPr>
            <w:r>
              <w:rPr>
                <w:rFonts w:hint="eastAsia" w:ascii="宋体" w:hAnsi="宋体" w:eastAsia="宋体" w:cs="宋体"/>
                <w:b/>
                <w:bCs w:val="0"/>
                <w:iCs/>
                <w:color w:val="000000"/>
                <w:sz w:val="24"/>
                <w:highlight w:val="none"/>
              </w:rPr>
              <w:t>2026</w:t>
            </w:r>
            <w:r>
              <w:rPr>
                <w:rFonts w:hint="eastAsia" w:ascii="宋体" w:hAnsi="宋体" w:eastAsia="宋体" w:cs="宋体"/>
                <w:b/>
                <w:bCs w:val="0"/>
                <w:iCs/>
                <w:color w:val="000000"/>
                <w:sz w:val="24"/>
                <w:highlight w:val="none"/>
                <w:lang w:val="en-US" w:eastAsia="zh-CN"/>
              </w:rPr>
              <w:t>年</w:t>
            </w:r>
            <w:r>
              <w:rPr>
                <w:rFonts w:hint="eastAsia" w:ascii="宋体" w:hAnsi="宋体" w:eastAsia="宋体" w:cs="宋体"/>
                <w:b/>
                <w:bCs w:val="0"/>
                <w:iCs/>
                <w:color w:val="000000"/>
                <w:sz w:val="24"/>
                <w:highlight w:val="none"/>
              </w:rPr>
              <w:t>6</w:t>
            </w:r>
            <w:r>
              <w:rPr>
                <w:rFonts w:hint="eastAsia" w:ascii="宋体" w:hAnsi="宋体" w:eastAsia="宋体" w:cs="宋体"/>
                <w:b/>
                <w:bCs w:val="0"/>
                <w:iCs/>
                <w:color w:val="000000"/>
                <w:sz w:val="24"/>
                <w:highlight w:val="none"/>
                <w:lang w:val="en-US" w:eastAsia="zh-CN"/>
              </w:rPr>
              <w:t>月</w:t>
            </w:r>
            <w:r>
              <w:rPr>
                <w:rFonts w:hint="eastAsia" w:ascii="宋体" w:hAnsi="宋体" w:eastAsia="宋体" w:cs="宋体"/>
                <w:b/>
                <w:bCs w:val="0"/>
                <w:iCs/>
                <w:color w:val="000000"/>
                <w:sz w:val="24"/>
                <w:highlight w:val="none"/>
              </w:rPr>
              <w:t>2</w:t>
            </w:r>
            <w:r>
              <w:rPr>
                <w:rFonts w:hint="eastAsia" w:ascii="宋体" w:hAnsi="宋体" w:eastAsia="宋体" w:cs="宋体"/>
                <w:b/>
                <w:bCs w:val="0"/>
                <w:iCs/>
                <w:color w:val="000000"/>
                <w:sz w:val="24"/>
                <w:highlight w:val="none"/>
                <w:lang w:val="en-US" w:eastAsia="zh-CN"/>
              </w:rPr>
              <w:t>日</w:t>
            </w:r>
            <w:r>
              <w:rPr>
                <w:rFonts w:hint="eastAsia" w:ascii="宋体" w:hAnsi="宋体" w:eastAsia="宋体" w:cs="宋体"/>
                <w:b/>
                <w:bCs w:val="0"/>
                <w:iCs/>
                <w:color w:val="000000"/>
                <w:sz w:val="24"/>
                <w:highlight w:val="none"/>
              </w:rPr>
              <w:t>16:00-17:00</w:t>
            </w:r>
            <w:r>
              <w:rPr>
                <w:rFonts w:hint="eastAsia" w:ascii="宋体" w:hAnsi="宋体" w:eastAsia="宋体" w:cs="宋体"/>
                <w:b/>
                <w:bCs w:val="0"/>
                <w:iCs/>
                <w:color w:val="000000"/>
                <w:sz w:val="24"/>
                <w:highlight w:val="none"/>
                <w:lang w:val="en-US" w:eastAsia="zh-CN"/>
              </w:rPr>
              <w:t xml:space="preserve">  </w:t>
            </w:r>
          </w:p>
          <w:p w14:paraId="23066211">
            <w:pPr>
              <w:rPr>
                <w:rFonts w:hint="eastAsia" w:ascii="宋体" w:hAnsi="宋体" w:eastAsia="宋体" w:cs="宋体"/>
                <w:b/>
                <w:bCs w:val="0"/>
                <w:iCs/>
                <w:color w:val="000000"/>
                <w:sz w:val="24"/>
                <w:highlight w:val="none"/>
              </w:rPr>
            </w:pPr>
            <w:r>
              <w:rPr>
                <w:rFonts w:hint="eastAsia" w:ascii="宋体" w:hAnsi="宋体" w:eastAsia="宋体" w:cs="宋体"/>
                <w:b/>
                <w:bCs w:val="0"/>
                <w:iCs/>
                <w:color w:val="000000"/>
                <w:sz w:val="24"/>
                <w:highlight w:val="none"/>
                <w:lang w:val="en-GB"/>
              </w:rPr>
              <w:t>2025年年度暨2026年第一季度业绩说明会</w:t>
            </w:r>
          </w:p>
          <w:p w14:paraId="2E1ED9C7">
            <w:pPr>
              <w:rPr>
                <w:rFonts w:hint="eastAsia" w:ascii="宋体" w:hAnsi="宋体" w:eastAsia="宋体" w:cs="宋体"/>
                <w:bCs/>
                <w:iCs/>
                <w:color w:val="000000"/>
                <w:sz w:val="24"/>
                <w:highlight w:val="none"/>
                <w:lang w:val="en-US" w:eastAsia="zh-CN"/>
              </w:rPr>
            </w:pPr>
          </w:p>
          <w:p w14:paraId="0D75CEF1">
            <w:pPr>
              <w:rPr>
                <w:rFonts w:hint="default"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2026年6月3日14:00--15:00线上交流</w:t>
            </w:r>
          </w:p>
          <w:p w14:paraId="715EB3A3">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中银基金</w:t>
            </w:r>
          </w:p>
          <w:p w14:paraId="29730D2B">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2026年6月4日9:30--10:00线上交流</w:t>
            </w:r>
          </w:p>
          <w:p w14:paraId="71DD5628">
            <w:pPr>
              <w:rPr>
                <w:rFonts w:hint="default"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易方达基金</w:t>
            </w:r>
          </w:p>
          <w:p w14:paraId="7043AC6F">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2026年6月4日10:00--11:00现场交流</w:t>
            </w:r>
          </w:p>
          <w:p w14:paraId="70D19CA1">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中欧基金</w:t>
            </w:r>
          </w:p>
          <w:p w14:paraId="079F8533">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2026年6月11日10:00--11:00现场交流</w:t>
            </w:r>
          </w:p>
          <w:p w14:paraId="6182C66C">
            <w:pPr>
              <w:rPr>
                <w:rFonts w:hint="default" w:ascii="Times New Roman" w:hAnsi="Times New Roman" w:eastAsia="宋体" w:cs="宋体"/>
                <w:b w:val="0"/>
                <w:bCs w:val="0"/>
                <w:sz w:val="24"/>
                <w:szCs w:val="24"/>
                <w:shd w:val="clear" w:color="auto" w:fill="FFFFFF"/>
                <w:lang w:val="en-US" w:eastAsia="zh-CN"/>
              </w:rPr>
            </w:pPr>
            <w:r>
              <w:rPr>
                <w:rFonts w:hint="default" w:ascii="Times New Roman" w:hAnsi="Times New Roman" w:eastAsia="宋体" w:cs="宋体"/>
                <w:b w:val="0"/>
                <w:bCs w:val="0"/>
                <w:sz w:val="24"/>
                <w:szCs w:val="24"/>
                <w:shd w:val="clear" w:color="auto" w:fill="FFFFFF"/>
                <w:lang w:val="en-US" w:eastAsia="zh-CN"/>
              </w:rPr>
              <w:t>汇添富基金</w:t>
            </w:r>
          </w:p>
          <w:p w14:paraId="08EE6D41">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2026年6月23日10:00--11:00线上交流</w:t>
            </w:r>
          </w:p>
          <w:p w14:paraId="0AC33411">
            <w:pPr>
              <w:rPr>
                <w:rFonts w:hint="eastAsia" w:ascii="Times New Roman" w:hAnsi="Times New Roman" w:eastAsia="宋体" w:cs="宋体"/>
                <w:b w:val="0"/>
                <w:bCs w:val="0"/>
                <w:sz w:val="24"/>
                <w:szCs w:val="24"/>
                <w:shd w:val="clear" w:color="auto" w:fill="FFFFFF"/>
                <w:lang w:val="en-US" w:eastAsia="zh-CN"/>
              </w:rPr>
            </w:pPr>
            <w:r>
              <w:rPr>
                <w:rFonts w:hint="default" w:ascii="Times New Roman" w:hAnsi="Times New Roman" w:eastAsia="宋体" w:cs="宋体"/>
                <w:b w:val="0"/>
                <w:bCs w:val="0"/>
                <w:sz w:val="24"/>
                <w:szCs w:val="24"/>
                <w:shd w:val="clear" w:color="auto" w:fill="FFFFFF"/>
                <w:lang w:val="en-US" w:eastAsia="zh-CN"/>
              </w:rPr>
              <w:t>工银瑞信</w:t>
            </w:r>
            <w:r>
              <w:rPr>
                <w:rFonts w:hint="eastAsia" w:ascii="Times New Roman" w:hAnsi="Times New Roman" w:eastAsia="宋体" w:cs="宋体"/>
                <w:b w:val="0"/>
                <w:bCs w:val="0"/>
                <w:sz w:val="24"/>
                <w:szCs w:val="24"/>
                <w:shd w:val="clear" w:color="auto" w:fill="FFFFFF"/>
                <w:lang w:val="en-US" w:eastAsia="zh-CN"/>
              </w:rPr>
              <w:t>基金</w:t>
            </w:r>
          </w:p>
          <w:p w14:paraId="58EAF0DC">
            <w:pPr>
              <w:rPr>
                <w:rFonts w:hint="eastAsia" w:ascii="宋体" w:hAnsi="宋体" w:eastAsia="宋体" w:cs="宋体"/>
                <w:b/>
                <w:bCs w:val="0"/>
                <w:iCs/>
                <w:color w:val="000000"/>
                <w:sz w:val="24"/>
                <w:highlight w:val="none"/>
              </w:rPr>
            </w:pPr>
            <w:r>
              <w:rPr>
                <w:rFonts w:hint="eastAsia" w:ascii="宋体" w:hAnsi="宋体" w:eastAsia="宋体" w:cs="宋体"/>
                <w:b/>
                <w:bCs w:val="0"/>
                <w:iCs/>
                <w:color w:val="000000"/>
                <w:sz w:val="24"/>
                <w:highlight w:val="none"/>
              </w:rPr>
              <w:t>2026</w:t>
            </w:r>
            <w:r>
              <w:rPr>
                <w:rFonts w:hint="eastAsia" w:ascii="宋体" w:hAnsi="宋体" w:eastAsia="宋体" w:cs="宋体"/>
                <w:b/>
                <w:bCs w:val="0"/>
                <w:iCs/>
                <w:color w:val="000000"/>
                <w:sz w:val="24"/>
                <w:highlight w:val="none"/>
                <w:lang w:val="en-US" w:eastAsia="zh-CN"/>
              </w:rPr>
              <w:t>年</w:t>
            </w:r>
            <w:r>
              <w:rPr>
                <w:rFonts w:hint="eastAsia" w:ascii="宋体" w:hAnsi="宋体" w:eastAsia="宋体" w:cs="宋体"/>
                <w:b/>
                <w:bCs w:val="0"/>
                <w:iCs/>
                <w:color w:val="000000"/>
                <w:sz w:val="24"/>
                <w:highlight w:val="none"/>
              </w:rPr>
              <w:t>6</w:t>
            </w:r>
            <w:r>
              <w:rPr>
                <w:rFonts w:hint="eastAsia" w:ascii="宋体" w:hAnsi="宋体" w:eastAsia="宋体" w:cs="宋体"/>
                <w:b/>
                <w:bCs w:val="0"/>
                <w:iCs/>
                <w:color w:val="000000"/>
                <w:sz w:val="24"/>
                <w:highlight w:val="none"/>
                <w:lang w:val="en-US" w:eastAsia="zh-CN"/>
              </w:rPr>
              <w:t>月</w:t>
            </w:r>
            <w:r>
              <w:rPr>
                <w:rFonts w:hint="eastAsia" w:ascii="宋体" w:hAnsi="宋体" w:eastAsia="宋体" w:cs="宋体"/>
                <w:b/>
                <w:bCs w:val="0"/>
                <w:iCs/>
                <w:color w:val="000000"/>
                <w:sz w:val="24"/>
                <w:highlight w:val="none"/>
              </w:rPr>
              <w:t>23</w:t>
            </w:r>
            <w:r>
              <w:rPr>
                <w:rFonts w:hint="eastAsia" w:ascii="宋体" w:hAnsi="宋体" w:eastAsia="宋体" w:cs="宋体"/>
                <w:b/>
                <w:bCs w:val="0"/>
                <w:iCs/>
                <w:color w:val="000000"/>
                <w:sz w:val="24"/>
                <w:highlight w:val="none"/>
                <w:lang w:val="en-US" w:eastAsia="zh-CN"/>
              </w:rPr>
              <w:t>日</w:t>
            </w:r>
            <w:r>
              <w:rPr>
                <w:rFonts w:hint="eastAsia" w:ascii="宋体" w:hAnsi="宋体" w:eastAsia="宋体" w:cs="宋体"/>
                <w:b/>
                <w:bCs w:val="0"/>
                <w:iCs/>
                <w:color w:val="000000"/>
                <w:sz w:val="24"/>
                <w:highlight w:val="none"/>
              </w:rPr>
              <w:t>16:00-17:00</w:t>
            </w:r>
          </w:p>
          <w:p w14:paraId="123DC94E">
            <w:pPr>
              <w:rPr>
                <w:rFonts w:hint="eastAsia" w:ascii="宋体" w:hAnsi="宋体" w:eastAsia="宋体" w:cs="宋体"/>
                <w:b/>
                <w:bCs w:val="0"/>
                <w:iCs/>
                <w:color w:val="000000"/>
                <w:sz w:val="24"/>
                <w:highlight w:val="none"/>
                <w:lang w:val="en-GB"/>
              </w:rPr>
            </w:pPr>
            <w:r>
              <w:rPr>
                <w:rFonts w:hint="eastAsia" w:ascii="宋体" w:hAnsi="宋体" w:eastAsia="宋体" w:cs="宋体"/>
                <w:b/>
                <w:bCs w:val="0"/>
                <w:iCs/>
                <w:color w:val="000000"/>
                <w:sz w:val="24"/>
                <w:highlight w:val="none"/>
                <w:lang w:val="en-US" w:eastAsia="zh-CN"/>
              </w:rPr>
              <w:t>公司</w:t>
            </w:r>
            <w:r>
              <w:rPr>
                <w:rFonts w:hint="eastAsia" w:ascii="宋体" w:hAnsi="宋体" w:eastAsia="宋体" w:cs="宋体"/>
                <w:b/>
                <w:bCs w:val="0"/>
                <w:iCs/>
                <w:color w:val="000000"/>
                <w:sz w:val="24"/>
                <w:highlight w:val="none"/>
                <w:lang w:val="en-GB"/>
              </w:rPr>
              <w:t>公开发行可转换公司债券网上路演</w:t>
            </w:r>
          </w:p>
          <w:p w14:paraId="6B228E3A">
            <w:pPr>
              <w:rPr>
                <w:rFonts w:hint="eastAsia" w:ascii="宋体" w:hAnsi="宋体" w:eastAsia="宋体" w:cs="宋体"/>
                <w:b/>
                <w:bCs w:val="0"/>
                <w:iCs/>
                <w:color w:val="000000"/>
                <w:sz w:val="24"/>
                <w:highlight w:val="none"/>
                <w:lang w:val="en-US" w:eastAsia="zh-CN"/>
              </w:rPr>
            </w:pPr>
          </w:p>
          <w:p w14:paraId="2D1CB429">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2026年6月25日10:00--11:00线上交流</w:t>
            </w:r>
          </w:p>
          <w:p w14:paraId="271419DC">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国泰基金</w:t>
            </w:r>
          </w:p>
          <w:p w14:paraId="7DFAD6F1">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2026年6月26日10:00--11:00线上交流</w:t>
            </w:r>
          </w:p>
          <w:p w14:paraId="47949CF1">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国寿养老</w:t>
            </w:r>
          </w:p>
          <w:p w14:paraId="489DF3B0">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2026年6月30日14:00--16:00现场交流</w:t>
            </w:r>
          </w:p>
          <w:p w14:paraId="7DA819C5">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富国基金</w:t>
            </w:r>
          </w:p>
          <w:p w14:paraId="48537DAD">
            <w:pPr>
              <w:rPr>
                <w:rFonts w:hint="eastAsia"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2026年6月30日16:00--17:00线上交流</w:t>
            </w:r>
          </w:p>
          <w:p w14:paraId="6C8AC49A">
            <w:pPr>
              <w:rPr>
                <w:rFonts w:hint="eastAsia"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val="0"/>
                <w:bCs w:val="0"/>
                <w:sz w:val="24"/>
                <w:szCs w:val="24"/>
                <w:shd w:val="clear" w:color="auto" w:fill="FFFFFF"/>
                <w:lang w:val="en-US" w:eastAsia="zh-CN"/>
              </w:rPr>
              <w:t>华商基金</w:t>
            </w:r>
          </w:p>
          <w:p w14:paraId="65169F5D">
            <w:pPr>
              <w:rPr>
                <w:rFonts w:hint="default" w:ascii="Times New Roman" w:hAnsi="Times New Roman" w:eastAsia="宋体" w:cs="宋体"/>
                <w:b w:val="0"/>
                <w:bCs w:val="0"/>
                <w:sz w:val="24"/>
                <w:szCs w:val="24"/>
                <w:shd w:val="clear" w:color="auto" w:fill="FFFFFF"/>
                <w:lang w:val="en-US" w:eastAsia="zh-CN"/>
              </w:rPr>
            </w:pPr>
          </w:p>
        </w:tc>
      </w:tr>
      <w:tr w14:paraId="71C9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04" w:type="dxa"/>
            <w:vAlign w:val="center"/>
          </w:tcPr>
          <w:p w14:paraId="45A71650">
            <w:pPr>
              <w:jc w:val="center"/>
              <w:rPr>
                <w:rFonts w:ascii="sans-serif" w:hAnsi="sans-serif" w:eastAsia="sans-serif" w:cs="sans-serif"/>
                <w:szCs w:val="21"/>
                <w:shd w:val="clear" w:color="auto" w:fill="FFFFFF"/>
              </w:rPr>
            </w:pPr>
            <w:r>
              <w:rPr>
                <w:rFonts w:hint="eastAsia" w:ascii="Times New Roman" w:hAnsi="Times New Roman" w:eastAsia="宋体" w:cs="宋体"/>
                <w:b w:val="0"/>
                <w:bCs w:val="0"/>
                <w:sz w:val="24"/>
                <w:szCs w:val="24"/>
                <w:shd w:val="clear" w:color="auto" w:fill="FFFFFF"/>
                <w:lang w:val="en-US" w:eastAsia="zh-CN"/>
              </w:rPr>
              <w:t>时间</w:t>
            </w:r>
          </w:p>
        </w:tc>
        <w:tc>
          <w:tcPr>
            <w:tcW w:w="6218" w:type="dxa"/>
            <w:vAlign w:val="center"/>
          </w:tcPr>
          <w:p w14:paraId="6477EBE9">
            <w:pPr>
              <w:rPr>
                <w:rFonts w:hint="default" w:ascii="Times New Roman" w:hAnsi="Times New Roman" w:eastAsia="宋体" w:cs="宋体"/>
                <w:b/>
                <w:bCs/>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请见上表</w:t>
            </w:r>
          </w:p>
        </w:tc>
      </w:tr>
      <w:tr w14:paraId="7BBF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04" w:type="dxa"/>
            <w:vAlign w:val="center"/>
          </w:tcPr>
          <w:p w14:paraId="7D40BB39">
            <w:pPr>
              <w:jc w:val="center"/>
              <w:rPr>
                <w:rFonts w:hint="eastAsia" w:ascii="sans-serif" w:hAnsi="sans-serif" w:eastAsia="宋体" w:cs="sans-serif"/>
                <w:szCs w:val="21"/>
                <w:shd w:val="clear" w:color="auto" w:fill="FFFFFF"/>
              </w:rPr>
            </w:pPr>
            <w:r>
              <w:rPr>
                <w:rFonts w:hint="eastAsia" w:ascii="Times New Roman" w:hAnsi="Times New Roman" w:eastAsia="宋体" w:cs="宋体"/>
                <w:b w:val="0"/>
                <w:bCs w:val="0"/>
                <w:sz w:val="24"/>
                <w:szCs w:val="24"/>
                <w:shd w:val="clear" w:color="auto" w:fill="FFFFFF"/>
                <w:lang w:val="en-US" w:eastAsia="zh-CN"/>
              </w:rPr>
              <w:t>地点</w:t>
            </w:r>
          </w:p>
        </w:tc>
        <w:tc>
          <w:tcPr>
            <w:tcW w:w="6218" w:type="dxa"/>
            <w:vAlign w:val="center"/>
          </w:tcPr>
          <w:p w14:paraId="03ADA974">
            <w:pPr>
              <w:rPr>
                <w:rFonts w:ascii="宋体" w:hAnsi="宋体"/>
                <w:bCs/>
                <w:sz w:val="24"/>
              </w:rPr>
            </w:pPr>
            <w:r>
              <w:rPr>
                <w:rFonts w:hint="eastAsia" w:ascii="宋体" w:hAnsi="宋体"/>
                <w:b/>
                <w:bCs w:val="0"/>
                <w:sz w:val="24"/>
              </w:rPr>
              <w:t>上证路演中心</w:t>
            </w:r>
            <w:bookmarkStart w:id="0" w:name="_GoBack"/>
            <w:r>
              <w:rPr>
                <w:rFonts w:hint="eastAsia" w:ascii="宋体" w:hAnsi="宋体"/>
                <w:b/>
                <w:bCs w:val="0"/>
                <w:sz w:val="24"/>
              </w:rPr>
              <w:t xml:space="preserve"> </w:t>
            </w:r>
            <w:bookmarkEnd w:id="0"/>
            <w:r>
              <w:rPr>
                <w:b/>
                <w:bCs w:val="0"/>
              </w:rPr>
              <w:fldChar w:fldCharType="begin"/>
            </w:r>
            <w:r>
              <w:rPr>
                <w:b/>
                <w:bCs w:val="0"/>
              </w:rPr>
              <w:instrText xml:space="preserve"> HYPERLINK "https://roadshow.sseinfo.com" </w:instrText>
            </w:r>
            <w:r>
              <w:rPr>
                <w:b/>
                <w:bCs w:val="0"/>
              </w:rPr>
              <w:fldChar w:fldCharType="separate"/>
            </w:r>
            <w:r>
              <w:rPr>
                <w:rStyle w:val="8"/>
                <w:rFonts w:hint="eastAsia" w:ascii="宋体" w:hAnsi="宋体"/>
                <w:b/>
                <w:bCs w:val="0"/>
                <w:sz w:val="24"/>
              </w:rPr>
              <w:t>https://roadshow.sseinfo.com</w:t>
            </w:r>
            <w:r>
              <w:rPr>
                <w:rStyle w:val="8"/>
                <w:rFonts w:hint="eastAsia" w:ascii="宋体" w:hAnsi="宋体"/>
                <w:b/>
                <w:bCs w:val="0"/>
                <w:sz w:val="24"/>
              </w:rPr>
              <w:fldChar w:fldCharType="end"/>
            </w:r>
          </w:p>
          <w:p w14:paraId="31D5DD4C">
            <w:pPr>
              <w:rPr>
                <w:rFonts w:hint="default" w:ascii="Times New Roman" w:hAnsi="Times New Roman" w:eastAsia="宋体" w:cs="宋体"/>
                <w:b w:val="0"/>
                <w:bCs w:val="0"/>
                <w:sz w:val="24"/>
                <w:szCs w:val="24"/>
                <w:shd w:val="clear" w:color="auto" w:fill="FFFFFF"/>
                <w:lang w:val="en-US" w:eastAsia="zh-CN"/>
              </w:rPr>
            </w:pPr>
            <w:r>
              <w:rPr>
                <w:rFonts w:hint="eastAsia" w:ascii="Times New Roman" w:hAnsi="Times New Roman" w:eastAsia="宋体" w:cs="宋体"/>
                <w:b/>
                <w:bCs/>
                <w:sz w:val="24"/>
                <w:szCs w:val="24"/>
                <w:shd w:val="clear" w:color="auto" w:fill="FFFFFF"/>
                <w:lang w:val="en-US" w:eastAsia="zh-CN"/>
              </w:rPr>
              <w:t>线上交流、现场调研在公司一号会议室</w:t>
            </w:r>
          </w:p>
        </w:tc>
      </w:tr>
      <w:tr w14:paraId="6DEA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04" w:type="dxa"/>
            <w:vAlign w:val="center"/>
          </w:tcPr>
          <w:p w14:paraId="5EA65112">
            <w:pPr>
              <w:jc w:val="center"/>
              <w:rPr>
                <w:rFonts w:ascii="sans-serif" w:hAnsi="sans-serif" w:eastAsia="sans-serif" w:cs="sans-serif"/>
                <w:szCs w:val="21"/>
                <w:shd w:val="clear" w:color="auto" w:fill="FFFFFF"/>
              </w:rPr>
            </w:pPr>
            <w:r>
              <w:rPr>
                <w:rFonts w:hint="eastAsia" w:ascii="宋体" w:hAnsi="宋体" w:eastAsia="宋体" w:cs="宋体"/>
                <w:sz w:val="24"/>
                <w:szCs w:val="24"/>
                <w:shd w:val="clear" w:color="auto" w:fill="FFFFFF"/>
              </w:rPr>
              <w:t>公司接待人员姓名</w:t>
            </w:r>
          </w:p>
        </w:tc>
        <w:tc>
          <w:tcPr>
            <w:tcW w:w="6218" w:type="dxa"/>
            <w:vAlign w:val="center"/>
          </w:tcPr>
          <w:p w14:paraId="675770BF">
            <w:pPr>
              <w:rPr>
                <w:rFonts w:hint="eastAsia" w:ascii="宋体" w:hAnsi="宋体" w:eastAsia="宋体" w:cs="宋体"/>
                <w:sz w:val="24"/>
                <w:szCs w:val="24"/>
              </w:rPr>
            </w:pPr>
            <w:r>
              <w:rPr>
                <w:rFonts w:hint="eastAsia" w:ascii="宋体" w:hAnsi="宋体" w:eastAsia="宋体" w:cs="宋体"/>
                <w:sz w:val="24"/>
                <w:szCs w:val="24"/>
              </w:rPr>
              <w:t>董事长、总经理：王成海</w:t>
            </w:r>
          </w:p>
          <w:p w14:paraId="4106529B">
            <w:pPr>
              <w:rPr>
                <w:rFonts w:hint="eastAsia" w:ascii="宋体" w:hAnsi="宋体" w:eastAsia="宋体" w:cs="宋体"/>
                <w:sz w:val="24"/>
                <w:szCs w:val="24"/>
              </w:rPr>
            </w:pPr>
            <w:r>
              <w:rPr>
                <w:rFonts w:hint="eastAsia" w:ascii="宋体" w:hAnsi="宋体" w:eastAsia="宋体" w:cs="宋体"/>
                <w:sz w:val="24"/>
                <w:szCs w:val="24"/>
              </w:rPr>
              <w:t>副总经理、董事会秘书：王晓兰</w:t>
            </w:r>
          </w:p>
          <w:p w14:paraId="0893E829">
            <w:pPr>
              <w:rPr>
                <w:rFonts w:hint="eastAsia" w:ascii="宋体" w:hAnsi="宋体" w:eastAsia="宋体" w:cs="宋体"/>
                <w:sz w:val="24"/>
                <w:szCs w:val="24"/>
              </w:rPr>
            </w:pPr>
            <w:r>
              <w:rPr>
                <w:rFonts w:hint="eastAsia" w:ascii="宋体" w:hAnsi="宋体" w:eastAsia="宋体" w:cs="宋体"/>
                <w:sz w:val="24"/>
                <w:szCs w:val="24"/>
              </w:rPr>
              <w:t>财务总监：陈公平</w:t>
            </w:r>
          </w:p>
          <w:p w14:paraId="6116EF94">
            <w:pPr>
              <w:rPr>
                <w:rFonts w:hint="default" w:ascii="宋体" w:hAnsi="宋体" w:eastAsia="宋体" w:cs="宋体"/>
                <w:sz w:val="24"/>
                <w:szCs w:val="24"/>
                <w:shd w:val="clear" w:color="auto" w:fill="FFFFFF"/>
                <w:lang w:val="en-US" w:eastAsia="zh-CN"/>
              </w:rPr>
            </w:pPr>
            <w:r>
              <w:rPr>
                <w:rFonts w:hint="eastAsia" w:ascii="宋体" w:hAnsi="宋体" w:eastAsia="宋体" w:cs="宋体"/>
                <w:sz w:val="24"/>
                <w:szCs w:val="24"/>
              </w:rPr>
              <w:t>独立董事：彭文平</w:t>
            </w:r>
          </w:p>
        </w:tc>
      </w:tr>
      <w:tr w14:paraId="3FC6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2304" w:type="dxa"/>
            <w:vAlign w:val="center"/>
          </w:tcPr>
          <w:p w14:paraId="30428562">
            <w:pPr>
              <w:jc w:val="both"/>
              <w:rPr>
                <w:rFonts w:ascii="sans-serif" w:hAnsi="sans-serif" w:eastAsia="sans-serif" w:cs="sans-serif"/>
                <w:szCs w:val="21"/>
                <w:shd w:val="clear" w:color="auto" w:fill="FFFFFF"/>
              </w:rPr>
            </w:pPr>
            <w:r>
              <w:rPr>
                <w:rFonts w:hint="eastAsia" w:ascii="Times New Roman" w:hAnsi="Times New Roman"/>
                <w:sz w:val="24"/>
                <w:lang w:val="en-US" w:eastAsia="zh-CN"/>
              </w:rPr>
              <w:t>投资者关系活动主要内容介绍</w:t>
            </w:r>
          </w:p>
        </w:tc>
        <w:tc>
          <w:tcPr>
            <w:tcW w:w="6218" w:type="dxa"/>
            <w:vAlign w:val="center"/>
          </w:tcPr>
          <w:p w14:paraId="0C20A8E5">
            <w:pPr>
              <w:widowControl w:val="0"/>
              <w:numPr>
                <w:ilvl w:val="0"/>
                <w:numId w:val="0"/>
              </w:numPr>
              <w:jc w:val="both"/>
              <w:rPr>
                <w:rFonts w:hint="default" w:ascii="宋体" w:hAnsi="宋体" w:eastAsia="宋体" w:cs="宋体"/>
                <w:i w:val="0"/>
                <w:iCs w:val="0"/>
                <w:caps w:val="0"/>
                <w:color w:val="auto"/>
                <w:spacing w:val="0"/>
                <w:sz w:val="21"/>
                <w:szCs w:val="21"/>
                <w:shd w:val="clear" w:fill="FFFFFF"/>
                <w:lang w:val="en-US" w:eastAsia="zh-CN"/>
              </w:rPr>
            </w:pPr>
            <w:r>
              <w:rPr>
                <w:rFonts w:hint="eastAsia" w:ascii="宋体" w:hAnsi="宋体" w:eastAsia="宋体" w:cs="宋体"/>
                <w:b/>
                <w:bCs/>
                <w:color w:val="auto"/>
                <w:sz w:val="24"/>
                <w:szCs w:val="24"/>
                <w:lang w:val="en-US" w:eastAsia="zh-CN"/>
              </w:rPr>
              <w:t>主要内容</w:t>
            </w:r>
          </w:p>
          <w:p w14:paraId="2DF96AEA">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1、董事长下午好！想请教：1.公司在25年12月发布的2025-009投关活动表中表示，液冷产线产能为60万，公司第一条液冷产线为研发产线，研发活动会占据部分产能，可否理解公司一条量产液冷产线满产年产能为60万套？2.公司今年规划新增几条液冷产线？第二条产线投产了吗？第二条产线的产能利用率如何？第三、四条产线原计划9月建成，计划是否会提前？3.可否描述一下公司年度液冷订单的情况？或者在手订单的情况。4.公司表示会随液冷产线同步扩产224G产能，请问进展如何？5.公司马来西亚工厂扩产进展如何？6.可否介绍一下公司CPC连接器产能和在手订单情况。7.公司原计划今年宝马BMS项目收入3亿，请问是否可以计划完成。8.请问公司与合作伙伴进行的帕拉厅项目进展如何？谢谢董事长！</w:t>
            </w:r>
          </w:p>
          <w:p w14:paraId="57B2C0E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根据市场需求及客户预测等信息，对于液冷产品今年共规划5条产线，目前正在有序的进行扩产中，预计2026年下半年完成，对于在手订单情况请关注公司后续定期报告。对于马来西亚工厂将根据客户订单情况进行扩产。公司CPC连接器产品订单充足，正在有序扩产交付中。对于BMS项目，根据客户需求也正在有序交付中，谢谢。</w:t>
            </w:r>
          </w:p>
          <w:p w14:paraId="66E0F89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7D8AF32A">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2、王总你好，根据之前记录，贵公司已经通过英伟达认证，目前液冷散热器正加紧加大产能应对交付。请问第三条产线能在二季度完成投产吗？剩下第四第五产线，是否在加快建设了？</w:t>
            </w:r>
          </w:p>
          <w:p w14:paraId="3A8A6C1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尊敬的投资者，您好，公司液冷产线的产能已提前布局，满足客户的需求，谢谢。</w:t>
            </w:r>
          </w:p>
          <w:p w14:paraId="6C9816D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50EAEAD7">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3、王总你好，公司在液冷散热技术上除了CAGE+冷板一体化方案，还有哪些技术储备？</w:t>
            </w:r>
          </w:p>
          <w:p w14:paraId="1772C0D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尊敬的投资者，您好，公司技术会随着客户及市场的技术迭代进行储备，谢谢。</w:t>
            </w:r>
          </w:p>
          <w:p w14:paraId="16BD9FD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28FD6100">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4、王总你好，宝马BMS铝排项目目前的交付情况如何？2026年预计交付多少万套？</w:t>
            </w:r>
          </w:p>
          <w:p w14:paraId="6808C06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尊敬的投资者，您好，公司BMS项目目前在正常量产交付中，2026年具体交付请关注公司定期公告，谢谢。</w:t>
            </w:r>
          </w:p>
          <w:p w14:paraId="7BE5143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7CA4A217">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5、你好！想请问一下公司112G风冷Cage、224G风冷Cage，224G液冷Cage，产品口径、规格是什么？咱们常规说的风冷cage的一套就是一段口吗？还是一套对应不同的2x1，2x2，或者2x4端口？以及公司这三种Cage今年出货预期如何，感谢！</w:t>
            </w:r>
          </w:p>
          <w:p w14:paraId="66BC504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尊敬的投资者，您好，公司产品规格较多，覆盖1xN，2xN，甚至NxN等系列产品，我司将根据不同客户的不同需求进行配套，对于出货预期请关注公司定期报告，谢谢。</w:t>
            </w:r>
          </w:p>
          <w:p w14:paraId="7D08B13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576C8F26">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6、王总，已运行的液冷线，月产能2-3万套是指16口的交换机的吧，如果是服务器的非16口的，产能是否会不一样，2-3万套是很广的范围，是否良率不高而影响实际产能？如果产线运转成熟了，是否会突破3万套每月</w:t>
            </w:r>
          </w:p>
          <w:p w14:paraId="230A128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尊敬的投资者，您好，随着产品结构的不同，产能会相应有所调整，随着产线的成熟，产能会有一定程度的提升，谢谢。</w:t>
            </w:r>
          </w:p>
          <w:p w14:paraId="3EFD0A3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018C5EC5">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7、王总您好！首先恭喜公司团结一致实现一季度营收，利润创历史新高。请问1.我们看到今年和明年市场对800G，1.6T光模块需求非常旺盛，公司的风冷和液冷cage产能能否匹配市场需求？2.随着NPO，CPO等新技术的发展，会对公司光模块液冷cage业务产生冲击吗？公司有何规划来紧跟市场技术迭代？3.在AI光通信火热的情况下，公司有结合自身制造和供应链优势，开拓光通信产品的规划吗？</w:t>
            </w:r>
          </w:p>
          <w:p w14:paraId="4BF2E00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针对800G、1.6T旺盛需求，公司风冷、液冷产能充足，辅以柔性排产，产能可匹配客户订单需求。对于NPO、CPO等新技术发展，不存在业务冲击，公司也在配合客户进行新技术迭代开发。对于光通信产品暂未计划。谢谢！</w:t>
            </w:r>
          </w:p>
          <w:p w14:paraId="0876CD1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130971C3">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8、王总你好，有报道称公司液冷I/O连接器Cage占据全球AI服务器70%的份额？未来这一份额是否有进一步提升的空间？</w:t>
            </w:r>
          </w:p>
          <w:p w14:paraId="51C001F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尊敬的投资者，您好，公司将与安费诺、泰科电子、莫仕等头部厂商的深度绑定，包括产能、技术、品质等各方面，同时依托马来西亚、越南海外产能布局，进一步拓展海外终端客户资源。谢谢！</w:t>
            </w:r>
          </w:p>
          <w:p w14:paraId="29B1D4F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3C3E86C5">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9、王总你好，公司液冷产线已从2条追加至5条，Q2末将全部投产，年产能达150万套，请问目前液冷产品的订单是否已经覆盖了2026年的全部产能？</w:t>
            </w:r>
          </w:p>
          <w:p w14:paraId="3D0F110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尊敬的投资者，您好，公司根据市场及客户预测等信息提前布局产能，实际以客户订单为准，目前液冷产能利用率暂未饱和，谢谢。</w:t>
            </w:r>
          </w:p>
          <w:p w14:paraId="167E6D2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0490BBE1">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10、王总你好，针对英伟达下一代GB400芯片的CPC连接器需求，公司是否已经开始提前布局和研发？预计何时能够送样验证？</w:t>
            </w:r>
          </w:p>
          <w:p w14:paraId="4485F75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尊敬的投资者，您好，公司将全力配合客户进行新一代技术研发，具体请关注公司后续公告，谢谢。</w:t>
            </w:r>
          </w:p>
          <w:p w14:paraId="0BE317C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781A8086">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11、请问王总，交换机的液冷cage是16口，服务器的不是16口，比如是四口八口，换算回单口价值，是高于交换机的还是低于交换机的，谢谢</w:t>
            </w:r>
          </w:p>
          <w:p w14:paraId="1A2EB40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尊敬的投资者，您好，对于产品定价要综合原材料、产品规格、工艺难度、合作条款等多重因素确定，谢谢。</w:t>
            </w:r>
          </w:p>
          <w:p w14:paraId="31ED93C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5E4B3BC3">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12、王总给你好，公司作为泰科PHD项目的核心供应商，份额达70%，2026年预计收入1.5亿元，请问目前该项目的交付进度如何？</w:t>
            </w:r>
          </w:p>
          <w:p w14:paraId="2A79E38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尊敬的投资者，您好，目前PHD项目正在有序扩产进行正常交付，谢谢。</w:t>
            </w:r>
          </w:p>
          <w:p w14:paraId="2D7C5E8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74DB4968">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13、王总你好，除了英伟达之外，公司产品是否已经间接供应给AMD、英特尔等其他AI芯片厂商？</w:t>
            </w:r>
          </w:p>
          <w:p w14:paraId="7231306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尊敬的投资者，您好，公司直接客户主要为安费诺、莫仕、泰科电子、中航光电等，谢谢。</w:t>
            </w:r>
          </w:p>
          <w:p w14:paraId="525AEE3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04BF014A">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sz w:val="24"/>
                <w:lang w:val="en-US"/>
              </w:rPr>
              <w:t>王总你好，公司光纤连接器研发已进入验证测试阶段，插入损耗≤0.3dB，回波损耗≥50dB，请问预计何时能够实现量产并获得客户认证？</w:t>
            </w:r>
          </w:p>
          <w:p w14:paraId="03FDFD5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尊敬的投资者，您好，此项目研发进度请关注公司后续公告，谢谢。</w:t>
            </w:r>
          </w:p>
          <w:p w14:paraId="7EF3FFE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35D91F68">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15、王总你好，公司与TE合作开发的CPC共封装连接器项目已进入量产阶段，请问目前该项目的月出货量是多少？</w:t>
            </w:r>
          </w:p>
          <w:p w14:paraId="166DB36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与TE合作开发的CPC共封装连接器项目已顺利实现量产，当前产能与客户订单需求高度匹配，出货量正随下游AI算力市场需求及客户交付计划稳步爬坡提升。公司暂无披露具体月出货量数据，谢谢。</w:t>
            </w:r>
          </w:p>
          <w:p w14:paraId="259DE20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360140EE">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16、王总你好，在国内市场，公司与浪潮、华为、中兴等国内头部服务器厂商的合作进展如何？国内业务占比是否有提升计划？</w:t>
            </w:r>
          </w:p>
          <w:p w14:paraId="7140EBB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尊敬的投资者，您好，公司与浪潮、华为、中兴等国内头部服务器及通信设备厂商暂无直接业务合作，公司高速通讯、液冷散热相关产品主要通过安费诺、莫仕、泰科电子等核心客户，间接配套上述厂商，谢谢。</w:t>
            </w:r>
          </w:p>
          <w:p w14:paraId="350726A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71A3019E">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17、董秘你好，马来西亚工厂目前的运营情况如何？产能利用率达到多少？未来是否有进一步扩产的计划？</w:t>
            </w:r>
          </w:p>
          <w:p w14:paraId="53D161B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马来西亚生产基地目前运营平稳、盈利状况良好，产能利用率随海外核心客户订单交付稳步提升，本地化生产与交付能力持续增强。未来公司将根据全球客户订单需求、AI算力与高速通讯行业增长趋势，适时推进马来西亚基地的产能扩充，持续完善海外产能布局，强化全球化供应链优势。谢谢。</w:t>
            </w:r>
          </w:p>
          <w:p w14:paraId="06B7CD2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0EB9298A">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18、王总你好，公司224G产品已实现批量供货，请问448G高速连接器的研发进展如何？预计何时能够送样验证并实现量产？</w:t>
            </w:r>
          </w:p>
          <w:p w14:paraId="742F2AB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尊敬的投资，您好，公司高速连接器及其组件研发工作正按计划稳步推进，公司将紧密跟随下游头部客户的技术迭代节奏与平台规划，适时推进送样验证及量产筹备工作，谢谢。</w:t>
            </w:r>
          </w:p>
          <w:p w14:paraId="472E899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32863802">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19、王总你好，公司224G液冷散热器已通过客户认证，处于批量交付前最后准备阶段，请问预计何时能够实现大规模量产？2026年液冷产品的总出货量指引是多少？</w:t>
            </w:r>
          </w:p>
          <w:p w14:paraId="32A47D4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尊敬的投资者，您好，公司224G液冷散热器已通过客户认证，目前正加快产线调试与产能爬坡，2026年液冷产品出货量将结合下游AI算力需求、客户订单及产线投放节奏统筹推进。谢谢！</w:t>
            </w:r>
          </w:p>
          <w:p w14:paraId="4B7AE5C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70397C81">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20、董事长您好！想请问一下公司对于未来1-2年后因为产能布局完善和竞争对手的追赶而可能导致的被客户压价，或者不得不下调产品价格来拿份额，公司对此有什么应对政策吗？</w:t>
            </w:r>
          </w:p>
          <w:p w14:paraId="1FCE0FB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针对未来行业产能释放、竞争加剧可能带来的价格压力，公司坚持价值竞争、摒弃低价内卷，已形成成熟应对方案：1、技术高端化筑壁垒：聚焦液冷CAGE、224G、NPO/XPO、CPO等高壁垒产品，以技术代差打造溢价能力，摆脱同质化竞争；2、客户深度协同强粘性：与头部客户联合研发、同步开发，从组件供应升级为方案配套，合作更重品质与交付，弱化价格因素；3、精益管控降成本：推进生产自动化、集中采购与长协锁价，以内部降本增效对冲外部价格压力；4、产能布局避内卷：聚焦高毛利高端产品线，不布局低端同质化产能，柔性调度优化产能结构；5、抢占增量破困局：依托AI算力基建与国产替代红利，以增量市场覆盖存量竞争压力。公司将始终以技术、品质、服务构筑核心竞争力，保障盈利水平与长期稳健发展。谢谢！</w:t>
            </w:r>
          </w:p>
          <w:p w14:paraId="7991B6F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3DF2729B">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21、今年4月PPI超预期+2.8%，覆铜板(CCL)产业链正在经历涨价周期。我们产品的主要成本构成中，铜材、环氧树脂等原材料的占比大概多少？公司是否有长协锁价机制或者能够将上游涨价顺价传导给下游？2025Q2以来的毛利率趋势是稳住了还是在承压？</w:t>
            </w:r>
          </w:p>
          <w:p w14:paraId="574DF37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产品的核心原材料为铜材、塑胶及五金材料等，是成本构成的最主要部分。在成本管控与价格传导方面，公司一方面与核心供应商建立长期战略合作，采用长协锁价、价格预警、集中采购等机制，有效平抑大宗商品价格波动带来的冲击；另一方面与安费诺、莫仕等全球核心客户建立市场化价格联动传导机制，可根据原材料价格波动定期协商调整产品售价，具备顺畅的成本向下游传导能力。谢谢！</w:t>
            </w:r>
          </w:p>
          <w:p w14:paraId="53A6FE0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7774FB50">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22、请问公司的最大竞争对手有哪些？</w:t>
            </w:r>
          </w:p>
          <w:p w14:paraId="2398042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所处的高速通讯连接器精密组件、液冷CAGE、汽车连接器组件领域属于充分竞争的市场化行业，全球范围内已形成较为清晰的竞争格局。竞争对手主要包括奕东电子、瑞可达、意华股份等同业上市公司，各家企业在细分产品、客户群体、技术路线上各有侧重，共同推动国产替代进程。
公司始终以技术研发、精密制造、客户深度绑定、全球化产能布局为核心竞争优势，聚焦高端算力与新能源赛道，持续优化产品结构与交付能力。未来公司将以开放、理性的态度面对行业竞争，不断提升综合竞争力与市场地位。谢谢。</w:t>
            </w:r>
          </w:p>
          <w:p w14:paraId="795F1F2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0B066CEA">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23、请问董事长，截止到目前，第三条液冷产线是否已建设完毕？预计何时可以正式投入生产？</w:t>
            </w:r>
          </w:p>
          <w:p w14:paraId="00FAB09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尊敬的投资者，您好，公司液冷产线目前有2条正在运行中，扩产增线也在有序进行中，谢谢。</w:t>
            </w:r>
          </w:p>
          <w:p w14:paraId="366C56A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737C03EC">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24、王总，东莞总部隔壁，社区投建的新大楼预计什么时候入驻设备使用厂房？咱们是否租了几个厂房临时使用来扩线生产？谢谢</w:t>
            </w:r>
          </w:p>
          <w:p w14:paraId="7F675F0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东莞总部周边的新厂区建设项目正按既定规划稳步推进，目前主体建筑及配套工程已逐步完工，后续公司将结合产线布局规划、核心设备采购与调试进度，有序推进设备进场安装与投产使用，预计将在2026年下半年投入使用，为抢抓AI算力与高速通讯领域的市场机遇，快速响应客户订单需求，公司已结合实际生产经营情况，通过租赁方式进行产线扩产与产能补充，谢谢！</w:t>
            </w:r>
          </w:p>
          <w:p w14:paraId="25003E2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126278AB">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25、董事长您好，请问现在一共有几条液冷产线在实际运行了？</w:t>
            </w:r>
          </w:p>
          <w:p w14:paraId="3BA87A8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尊敬的投资者，您好，目前共有2条液冷产线正在运行中，谢谢。</w:t>
            </w:r>
          </w:p>
          <w:p w14:paraId="4B2400D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2652598E">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26、王总辛苦了，鼎通是了不起的公司，业内新的NPO，XPO连接器需要更大更高效的液冷散热方案，咱们是否接到了客户的需求预研？应该更大价值量吧</w:t>
            </w:r>
          </w:p>
          <w:p w14:paraId="161BECF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尊敬的投资者您好！非常感谢您的高度认可与暖心鼓励！
公司始终紧密跟踪AI算力互联领域NPO、XPO等新一代技术演进趋势，公司将持续加大研发投入，加快新一代液冷散热方案的产业化落地，充分把握技术迭代带来的市场机遇。具体业务进展请以公司定期报告及官方公告为准，谢谢！</w:t>
            </w:r>
          </w:p>
          <w:p w14:paraId="2BEFFA3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2FBAA3AF">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27、上游可能需求非常大，液冷cage是否明年需求量每月要百万口以上了，已知交换机的cage是16口一套，那么服务器上的，是多少口一套，也是液冷的吧？谢谢</w:t>
            </w:r>
          </w:p>
          <w:p w14:paraId="083F5FB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AI算力基础设施的快速升级，持续带动液冷CAGE等高速互联散热组件的市场需求快速增长，行业整体需求空间广阔；具体行业月度需求量受终端客户资本开支、产品迭代节奏、市场供需结构等多重因素影响，公司正持续推进液冷产线扩产，以充分匹配下游市场增长需求。
AI服务器所配套的液冷CAGE，其端口配置随服务器平台、算力规格、高速互联方案的不同存在差异化设计，与交换机常用16口/套的标准配置有所区别；服务器端高速互联CAGE同样采用液冷散热方案，可充分适配AI服务器高算力、高密度的散热需求。谢谢。</w:t>
            </w:r>
          </w:p>
          <w:p w14:paraId="456F862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44DCCD6E">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28、王女士好，请问鼎通会直拓光模块、CPO客户嘛，如旭创等头部光模块企业？</w:t>
            </w:r>
          </w:p>
          <w:p w14:paraId="32167A9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高度关注光模块与CPO行业的技术演进及市场机遇，公司将在巩固现有核心客户合作的基础上，保持开放合作态度，积极探索与头部光模块企业的多元化合作机会，持续优化客户结构，进一步提升公司在AI高速互联与液冷散热领域的市场覆盖与核心竞争力。谢谢。</w:t>
            </w:r>
          </w:p>
          <w:p w14:paraId="267F396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3FF8244F">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29、请问王总，1.6T光模块下半年放量很快，市场上就两家能做液冷cage，咱们五条线是否也不够供应，下半年快速扩线约三个月能扩出来吗？听说市场上需要更新一代的产品，比如2.4T，3.2T光模块的液冷cage，咱们鼎通是否也在准备中？</w:t>
            </w:r>
          </w:p>
          <w:p w14:paraId="08FD2C3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尊敬的投资者，您好，目前液冷产线已经提前布局，可以满足客户的需求，对于迭代的产品请关注公司后续的公告。谢谢！</w:t>
            </w:r>
          </w:p>
          <w:p w14:paraId="0749A7F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0D523B59">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30、安费诺7月份会上调价格是否意味着公司出货价格也会上升对于毛利率是否会有提升呢?</w:t>
            </w:r>
          </w:p>
          <w:p w14:paraId="08EA57D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与安费诺等核心客户建立了长期稳定的战略合作关系，产品采用市场化协商定价机制，综合考量原材料价格、产品规格、工艺难度、合作条款等多重因素确定售价，毛利率相对较为稳定，谢谢。</w:t>
            </w:r>
          </w:p>
          <w:p w14:paraId="5997760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2CD31268">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31、王总你好，请问目前224G（1.6T）现在是小批量还是批量？客户认证进度与主要客户名单？</w:t>
            </w:r>
          </w:p>
          <w:p w14:paraId="1A630B0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尊敬的投资者，您好，目前公司OSFP224G产品已逐渐进入量产中，主要客户为安费诺、莫仕、泰科电子等客户群体，谢谢。</w:t>
            </w:r>
          </w:p>
          <w:p w14:paraId="1B9FCB2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49379B6D">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32、王总你好，液冷目前3条产线，Q2/Q3陆续投产，单条产能多少？满产后月产能年产能？如果产能不用做研发，能对外提供多少产能一条？</w:t>
            </w:r>
          </w:p>
          <w:p w14:paraId="54E6837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目前液冷产线已经提前布局，液冷产能将结合客户订单、市场需求及研发需求统筹规划与投放，在保障核心客户交付与研发需求的前提下，合理释放对外产能，持续满足算力领域液冷产品的市场需求。谢谢！</w:t>
            </w:r>
          </w:p>
          <w:p w14:paraId="24D6E9E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1A677315">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hint="default" w:ascii="宋体"/>
                <w:sz w:val="24"/>
                <w:lang w:val="en-US"/>
              </w:rPr>
              <w:t>33、王总你好，请问前两大客户（莫仕、安费诺）占比超60%，2026年是否有新的大型客户突破？</w:t>
            </w:r>
          </w:p>
          <w:p w14:paraId="79518ED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莫仕、安费诺作为全球头部连接器厂商，是公司长期稳定的核心合作伙伴，双方合作持续深化，为公司业绩稳健增长提供坚实支撑。2026年公司坚持客户多元化拓展战略，在巩固现有核心客户合作的基础上，</w:t>
            </w:r>
            <w:r>
              <w:rPr>
                <w:rFonts w:hint="default" w:ascii="宋体"/>
                <w:sz w:val="24"/>
                <w:lang w:val="en-US"/>
              </w:rPr>
              <w:t>已成功拓展泰科电子、立讯精密等国内外大型优质客户，高速通讯、液冷散热等核心产品的客户覆盖范围持续扩大；同时依托马来西亚、越南海外产能布局，进一步拓展海外终端客户资源，持续优化客户结构、降低集中风险。谢谢！</w:t>
            </w:r>
          </w:p>
          <w:p w14:paraId="23FFBF9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eastAsia="zh-CN"/>
              </w:rPr>
            </w:pPr>
          </w:p>
          <w:p w14:paraId="0B657C6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eastAsia" w:ascii="宋体"/>
                <w:sz w:val="24"/>
                <w:lang w:val="en-US" w:eastAsia="zh-CN"/>
              </w:rPr>
              <w:t>34</w:t>
            </w:r>
            <w:r>
              <w:rPr>
                <w:rFonts w:hint="default" w:ascii="宋体"/>
                <w:sz w:val="24"/>
                <w:lang w:val="en-US"/>
              </w:rPr>
              <w:t>、AI行业整体对液冷需求很大，请问公司除了液冷cage，是否有其他液冷产品，比如机柜内的高价值的液冷产品在和连接器厂家或CSP，ODM客户合作开发？谢谢</w:t>
            </w:r>
          </w:p>
          <w:p w14:paraId="67770E8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尊敬的投资者，您好，公司目前主要以液冷cage为主，其他液冷产品正在积极做客户开发，感谢对公司的关注，谢谢。</w:t>
            </w:r>
          </w:p>
          <w:p w14:paraId="1241C23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64A7526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eastAsia" w:ascii="宋体"/>
                <w:sz w:val="24"/>
                <w:lang w:val="en-US" w:eastAsia="zh-CN"/>
              </w:rPr>
              <w:t>35</w:t>
            </w:r>
            <w:r>
              <w:rPr>
                <w:rFonts w:hint="default" w:ascii="宋体"/>
                <w:sz w:val="24"/>
                <w:lang w:val="en-US"/>
              </w:rPr>
              <w:t>、如果上游客户追加液冷cage订单，或者急单，公司这边是否准备好了快速扩产，比如设备能到货的话，公司一个月内就能扩出来，毕竟几条线的扩线经验已经很丰富</w:t>
            </w:r>
          </w:p>
          <w:p w14:paraId="353A970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尊敬的投资者，您好，对于液冷产品今年共规划5条产线，目前正在有序的进行扩产中，预计2026年下半年完成，感谢对公司的关注，谢谢。</w:t>
            </w:r>
          </w:p>
          <w:p w14:paraId="326E3ED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7878425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sz w:val="24"/>
                <w:lang w:val="en-US"/>
              </w:rPr>
              <w:t>3</w:t>
            </w:r>
            <w:r>
              <w:rPr>
                <w:rFonts w:hint="eastAsia" w:ascii="宋体"/>
                <w:sz w:val="24"/>
                <w:lang w:val="en-US" w:eastAsia="zh-CN"/>
              </w:rPr>
              <w:t>6</w:t>
            </w:r>
            <w:r>
              <w:rPr>
                <w:rFonts w:hint="default" w:ascii="宋体"/>
                <w:sz w:val="24"/>
                <w:lang w:val="en-US"/>
              </w:rPr>
              <w:t>、请问今年特别是二季度开始，是否除了液冷cage，风冷的cage，和纯cage也有很大程度上的放量，毕竟800G不需要液冷</w:t>
            </w:r>
          </w:p>
          <w:p w14:paraId="5A0CF8B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尊敬的投资者，您好，目前通讯的整体需求较为旺盛，具体请关注公司的定期报告，感谢对公司的关注，谢谢。</w:t>
            </w:r>
          </w:p>
          <w:p w14:paraId="1B41955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468003D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eastAsia" w:ascii="宋体"/>
                <w:sz w:val="24"/>
                <w:lang w:val="en-US" w:eastAsia="zh-CN"/>
              </w:rPr>
              <w:t>37</w:t>
            </w:r>
            <w:r>
              <w:rPr>
                <w:rFonts w:hint="default" w:ascii="宋体"/>
                <w:sz w:val="24"/>
                <w:lang w:val="en-US"/>
              </w:rPr>
              <w:t>、公司公告的前几大客户没有泰科，是否后续几个季度泰科才会上升为主要五大客户，谢谢</w:t>
            </w:r>
          </w:p>
          <w:p w14:paraId="3126402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尊敬的投资者，您好，公司和泰科的合作今年更加深入，请关注公司的定期报告，感谢对公司的关注，谢谢。</w:t>
            </w:r>
          </w:p>
          <w:p w14:paraId="2C331A4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16824D1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eastAsia" w:ascii="宋体"/>
                <w:sz w:val="24"/>
                <w:lang w:val="en-US" w:eastAsia="zh-CN"/>
              </w:rPr>
              <w:t>38</w:t>
            </w:r>
            <w:r>
              <w:rPr>
                <w:rFonts w:hint="default" w:ascii="宋体"/>
                <w:sz w:val="24"/>
                <w:lang w:val="en-US"/>
              </w:rPr>
              <w:t>、请问看公告的租赁厂房合计面积已有约四万平，不含宿舍，加上近期龙华那边的新租厂房，是否东莞这边今年合计厂房面积有了六万平，不包总部自己的厂房和旁边新大楼的面积，如果加上全部，合计面积是去年的四倍有余了吧，恭喜公司发展得红红火火</w:t>
            </w:r>
          </w:p>
          <w:p w14:paraId="2A3B8E0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尊敬的投资者，您好，目前通讯业务需求旺盛，为满足客户需求，正在积极扩产，请知悉，谢谢。</w:t>
            </w:r>
          </w:p>
          <w:p w14:paraId="534B132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65B7E11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eastAsia" w:ascii="宋体"/>
                <w:sz w:val="24"/>
                <w:lang w:val="en-US" w:eastAsia="zh-CN"/>
              </w:rPr>
              <w:t>39</w:t>
            </w:r>
            <w:r>
              <w:rPr>
                <w:rFonts w:hint="default" w:ascii="宋体"/>
                <w:sz w:val="24"/>
                <w:lang w:val="en-US"/>
              </w:rPr>
              <w:t>、请问董事长，除了液冷CAGE外，公司在液冷业务方面还有哪些规划？比如泰科去年曾经说在BBU电源液冷散热器上已经跟公司研发了产品用在GB300服务器上，也有市场消息说公司也在研GPU冷板，谢谢</w:t>
            </w:r>
          </w:p>
          <w:p w14:paraId="0EFF5D8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尊敬的投资者，您好，目前公司的主要重点以cage液冷模块为主，其他液冷业务也在开发客户中，请知悉，谢谢。</w:t>
            </w:r>
          </w:p>
          <w:p w14:paraId="03923AD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0D34F29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eastAsia" w:ascii="宋体"/>
                <w:sz w:val="24"/>
                <w:lang w:val="en-US" w:eastAsia="zh-CN"/>
              </w:rPr>
              <w:t>40</w:t>
            </w:r>
            <w:r>
              <w:rPr>
                <w:rFonts w:hint="default" w:ascii="宋体"/>
                <w:sz w:val="24"/>
                <w:lang w:val="en-US"/>
              </w:rPr>
              <w:t>、请问公司液冷在手订单饱和吗</w:t>
            </w:r>
          </w:p>
          <w:p w14:paraId="78D68BC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尊敬的投资者，您好，目前液冷根据客户订单需求进行交付，请知悉，谢谢。</w:t>
            </w:r>
          </w:p>
          <w:p w14:paraId="3AB1736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3DED434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eastAsia" w:ascii="宋体"/>
                <w:sz w:val="24"/>
                <w:lang w:val="en-US" w:eastAsia="zh-CN"/>
              </w:rPr>
              <w:t>41</w:t>
            </w:r>
            <w:r>
              <w:rPr>
                <w:rFonts w:hint="default" w:ascii="宋体"/>
                <w:sz w:val="24"/>
                <w:lang w:val="en-US"/>
              </w:rPr>
              <w:t>、公司液冷产线在运营2条，请问余下的新增5条产线6月底能建成多少？谢谢俏巴董事长</w:t>
            </w:r>
          </w:p>
          <w:p w14:paraId="69AB6B8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尊敬的投资者，您好，对于液冷产品今年共规划5条产线，目前正在有序的进行扩产中，预计2026年下半年完成，谢谢。</w:t>
            </w:r>
          </w:p>
          <w:p w14:paraId="3654E81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53CD7A1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eastAsia" w:ascii="宋体"/>
                <w:sz w:val="24"/>
                <w:lang w:val="en-US" w:eastAsia="zh-CN"/>
              </w:rPr>
              <w:t>42</w:t>
            </w:r>
            <w:r>
              <w:rPr>
                <w:rFonts w:hint="default" w:ascii="宋体"/>
                <w:sz w:val="24"/>
                <w:lang w:val="en-US"/>
              </w:rPr>
              <w:t>、请问公告里说的在验证的光纤连接器是否是MPO，和泰科合作吗？供给间接客户是CSP还是N客户，谢谢</w:t>
            </w:r>
          </w:p>
          <w:p w14:paraId="63E2FB1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尊敬的投资者，你好，目前公司业务在MPO领域涉及较少，和泰科暂未有此产品合作，请知悉，谢谢关注。</w:t>
            </w:r>
          </w:p>
          <w:p w14:paraId="09C9DCC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p>
          <w:p w14:paraId="723E59D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eastAsiaTheme="minorEastAsia"/>
                <w:sz w:val="24"/>
                <w:lang w:val="en-US" w:eastAsia="zh-CN"/>
              </w:rPr>
            </w:pPr>
            <w:r>
              <w:rPr>
                <w:rFonts w:hint="eastAsia" w:ascii="宋体"/>
                <w:sz w:val="24"/>
                <w:lang w:val="en-US" w:eastAsia="zh-CN"/>
              </w:rPr>
              <w:t>43</w:t>
            </w:r>
            <w:r>
              <w:rPr>
                <w:rFonts w:hint="default" w:ascii="宋体"/>
                <w:sz w:val="24"/>
                <w:lang w:val="en-US"/>
              </w:rPr>
              <w:t>、请问可转债转股价423是怎么定的，会不会偏高</w:t>
            </w:r>
            <w:r>
              <w:rPr>
                <w:rFonts w:hint="eastAsia" w:ascii="宋体"/>
                <w:sz w:val="24"/>
                <w:lang w:val="en-US" w:eastAsia="zh-CN"/>
              </w:rPr>
              <w:t>？</w:t>
            </w:r>
          </w:p>
          <w:p w14:paraId="5B4B361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sz w:val="24"/>
                <w:lang w:val="en-US"/>
              </w:rPr>
            </w:pPr>
            <w:r>
              <w:rPr>
                <w:rFonts w:hint="default" w:ascii="宋体"/>
                <w:b/>
                <w:bCs/>
                <w:sz w:val="24"/>
                <w:lang w:val="en-US"/>
              </w:rPr>
              <w:t>答:</w:t>
            </w:r>
            <w:r>
              <w:rPr>
                <w:rFonts w:hint="default" w:ascii="宋体"/>
                <w:sz w:val="24"/>
                <w:lang w:val="en-US"/>
              </w:rPr>
              <w:t>尊敬的投资者，你好，本次可转债转股价为根据发行定价规则定价，转股价不得低于募集说明书公告日前二十个交易日公司A股股票交易均价和前一个交易日公司A股股票交易均价，符合发行定价规则。</w:t>
            </w:r>
          </w:p>
          <w:p w14:paraId="06610DE2">
            <w:pPr>
              <w:widowControl w:val="0"/>
              <w:numPr>
                <w:ilvl w:val="0"/>
                <w:numId w:val="0"/>
              </w:numPr>
              <w:ind w:leftChars="0"/>
              <w:jc w:val="both"/>
              <w:rPr>
                <w:rFonts w:hint="default" w:ascii="宋体" w:hAnsi="宋体" w:eastAsia="宋体" w:cs="宋体"/>
                <w:i w:val="0"/>
                <w:iCs w:val="0"/>
                <w:caps w:val="0"/>
                <w:color w:val="000000"/>
                <w:spacing w:val="0"/>
                <w:sz w:val="21"/>
                <w:szCs w:val="21"/>
                <w:shd w:val="clear" w:fill="FFFFFF"/>
                <w:lang w:val="en-US" w:eastAsia="zh-CN"/>
              </w:rPr>
            </w:pPr>
          </w:p>
        </w:tc>
      </w:tr>
      <w:tr w14:paraId="1C2B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2304" w:type="dxa"/>
            <w:vAlign w:val="center"/>
          </w:tcPr>
          <w:p w14:paraId="3B085DCD">
            <w:pPr>
              <w:jc w:val="both"/>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关于本次活动是否涉及应当披露重大信息的说明</w:t>
            </w:r>
          </w:p>
        </w:tc>
        <w:tc>
          <w:tcPr>
            <w:tcW w:w="6218" w:type="dxa"/>
            <w:vAlign w:val="center"/>
          </w:tcPr>
          <w:p w14:paraId="4FA248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不涉及</w:t>
            </w:r>
          </w:p>
        </w:tc>
      </w:tr>
      <w:tr w14:paraId="6988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304" w:type="dxa"/>
            <w:vAlign w:val="center"/>
          </w:tcPr>
          <w:p w14:paraId="523EF813">
            <w:pPr>
              <w:jc w:val="center"/>
              <w:rPr>
                <w:rFonts w:ascii="sans-serif" w:hAnsi="sans-serif" w:eastAsia="sans-serif" w:cs="sans-serif"/>
                <w:szCs w:val="21"/>
                <w:shd w:val="clear" w:color="auto" w:fill="FFFFFF"/>
              </w:rPr>
            </w:pPr>
            <w:r>
              <w:rPr>
                <w:rFonts w:hint="eastAsia" w:ascii="Times New Roman" w:hAnsi="Times New Roman"/>
                <w:sz w:val="24"/>
                <w:lang w:val="en-US" w:eastAsia="zh-CN"/>
              </w:rPr>
              <w:t>附件清单（如有）</w:t>
            </w:r>
          </w:p>
        </w:tc>
        <w:tc>
          <w:tcPr>
            <w:tcW w:w="6218" w:type="dxa"/>
            <w:vAlign w:val="center"/>
          </w:tcPr>
          <w:p w14:paraId="0F279AD3">
            <w:pPr>
              <w:jc w:val="left"/>
              <w:rPr>
                <w:rFonts w:hint="eastAsia" w:ascii="宋体" w:hAnsi="宋体" w:eastAsia="宋体" w:cs="宋体"/>
                <w:color w:val="auto"/>
                <w:sz w:val="24"/>
                <w:shd w:val="clear" w:color="auto" w:fill="FFFFFF"/>
                <w:lang w:eastAsia="zh-CN"/>
              </w:rPr>
            </w:pPr>
            <w:r>
              <w:rPr>
                <w:rFonts w:hint="eastAsia" w:ascii="宋体" w:hAnsi="宋体" w:eastAsia="宋体" w:cs="宋体"/>
                <w:color w:val="auto"/>
                <w:sz w:val="24"/>
                <w:shd w:val="clear" w:color="auto" w:fill="FFFFFF"/>
                <w:lang w:eastAsia="zh-CN"/>
              </w:rPr>
              <w:t>无</w:t>
            </w:r>
          </w:p>
        </w:tc>
      </w:tr>
    </w:tbl>
    <w:p w14:paraId="2645328C">
      <w:pPr>
        <w:jc w:val="left"/>
        <w:rPr>
          <w:rFonts w:ascii="sans-serif" w:hAnsi="sans-serif" w:eastAsia="sans-serif" w:cs="sans-serif"/>
          <w:sz w:val="24"/>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FPHei Std W5">
    <w:altName w:val="宋体"/>
    <w:panose1 w:val="00000000000000000000"/>
    <w:charset w:val="86"/>
    <w:family w:val="swiss"/>
    <w:pitch w:val="default"/>
    <w:sig w:usb0="00000000" w:usb1="0000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D2B2D5"/>
    <w:multiLevelType w:val="singleLevel"/>
    <w:tmpl w:val="10D2B2D5"/>
    <w:lvl w:ilvl="0" w:tentative="0">
      <w:start w:val="1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3ODRjMDk5YTg4ZTk1ZWNlODVlODNkYTgwOWRkOTQifQ=="/>
  </w:docVars>
  <w:rsids>
    <w:rsidRoot w:val="00172A27"/>
    <w:rsid w:val="00062B32"/>
    <w:rsid w:val="007F09A4"/>
    <w:rsid w:val="0091283B"/>
    <w:rsid w:val="02DB1E83"/>
    <w:rsid w:val="03260EE3"/>
    <w:rsid w:val="03350C98"/>
    <w:rsid w:val="03A10CAA"/>
    <w:rsid w:val="048D7041"/>
    <w:rsid w:val="04EA1A7B"/>
    <w:rsid w:val="0516577E"/>
    <w:rsid w:val="056917EC"/>
    <w:rsid w:val="058D1612"/>
    <w:rsid w:val="05D81E2A"/>
    <w:rsid w:val="064267DB"/>
    <w:rsid w:val="06514C09"/>
    <w:rsid w:val="082621BA"/>
    <w:rsid w:val="082A2121"/>
    <w:rsid w:val="0886622F"/>
    <w:rsid w:val="088F0F3B"/>
    <w:rsid w:val="08C06527"/>
    <w:rsid w:val="08D6582F"/>
    <w:rsid w:val="092E2FE0"/>
    <w:rsid w:val="0A7B43AC"/>
    <w:rsid w:val="0B204802"/>
    <w:rsid w:val="0B4A7E73"/>
    <w:rsid w:val="0B7F2E6D"/>
    <w:rsid w:val="0C803B53"/>
    <w:rsid w:val="0C830864"/>
    <w:rsid w:val="0D995FCB"/>
    <w:rsid w:val="0D9E6C99"/>
    <w:rsid w:val="0E104E69"/>
    <w:rsid w:val="0E701318"/>
    <w:rsid w:val="0EC86D78"/>
    <w:rsid w:val="0F2C00E1"/>
    <w:rsid w:val="10DA70EF"/>
    <w:rsid w:val="11AB4A2E"/>
    <w:rsid w:val="123478B9"/>
    <w:rsid w:val="127A5769"/>
    <w:rsid w:val="12CC5D44"/>
    <w:rsid w:val="12F0389D"/>
    <w:rsid w:val="13731856"/>
    <w:rsid w:val="13E55A05"/>
    <w:rsid w:val="13ED7BAD"/>
    <w:rsid w:val="14107EB2"/>
    <w:rsid w:val="156256EA"/>
    <w:rsid w:val="15B90272"/>
    <w:rsid w:val="16081E73"/>
    <w:rsid w:val="163F05DA"/>
    <w:rsid w:val="16CD3D3A"/>
    <w:rsid w:val="16D818F3"/>
    <w:rsid w:val="16EB42BE"/>
    <w:rsid w:val="16EC3C91"/>
    <w:rsid w:val="174D2976"/>
    <w:rsid w:val="17EC7A44"/>
    <w:rsid w:val="184166A8"/>
    <w:rsid w:val="18A62A00"/>
    <w:rsid w:val="18B851FD"/>
    <w:rsid w:val="18C809B6"/>
    <w:rsid w:val="1A153EDB"/>
    <w:rsid w:val="1A4E3D94"/>
    <w:rsid w:val="1A627095"/>
    <w:rsid w:val="1A67269B"/>
    <w:rsid w:val="1AE87493"/>
    <w:rsid w:val="1B3E3557"/>
    <w:rsid w:val="1B48461B"/>
    <w:rsid w:val="1BBA7BD8"/>
    <w:rsid w:val="1C1A2FDF"/>
    <w:rsid w:val="1C3844FE"/>
    <w:rsid w:val="1D1A3B4F"/>
    <w:rsid w:val="1DD15F6D"/>
    <w:rsid w:val="1E0A6BFC"/>
    <w:rsid w:val="1E391112"/>
    <w:rsid w:val="1EB474A5"/>
    <w:rsid w:val="209507F0"/>
    <w:rsid w:val="20FF5BE5"/>
    <w:rsid w:val="21BD2B8F"/>
    <w:rsid w:val="22111C88"/>
    <w:rsid w:val="221F520B"/>
    <w:rsid w:val="22E93B7B"/>
    <w:rsid w:val="237D5147"/>
    <w:rsid w:val="23BB5384"/>
    <w:rsid w:val="24786DB4"/>
    <w:rsid w:val="254610F8"/>
    <w:rsid w:val="25EC5149"/>
    <w:rsid w:val="26795443"/>
    <w:rsid w:val="26893491"/>
    <w:rsid w:val="27616C96"/>
    <w:rsid w:val="294033B8"/>
    <w:rsid w:val="29AA2697"/>
    <w:rsid w:val="29CF1324"/>
    <w:rsid w:val="2A355B25"/>
    <w:rsid w:val="2ADD1F5E"/>
    <w:rsid w:val="2B407A89"/>
    <w:rsid w:val="2B6701BA"/>
    <w:rsid w:val="2C4C6F88"/>
    <w:rsid w:val="2C5A2CAA"/>
    <w:rsid w:val="2D5C786C"/>
    <w:rsid w:val="2D834162"/>
    <w:rsid w:val="2E19750B"/>
    <w:rsid w:val="30C33764"/>
    <w:rsid w:val="30F53AAF"/>
    <w:rsid w:val="31235140"/>
    <w:rsid w:val="31CC1E9B"/>
    <w:rsid w:val="31D740F6"/>
    <w:rsid w:val="31FC546F"/>
    <w:rsid w:val="325564B3"/>
    <w:rsid w:val="32FA0B34"/>
    <w:rsid w:val="33B11F7B"/>
    <w:rsid w:val="348851A8"/>
    <w:rsid w:val="35657C97"/>
    <w:rsid w:val="35F66AB0"/>
    <w:rsid w:val="36232900"/>
    <w:rsid w:val="364E0396"/>
    <w:rsid w:val="376712E7"/>
    <w:rsid w:val="38221F62"/>
    <w:rsid w:val="38265678"/>
    <w:rsid w:val="38B4055C"/>
    <w:rsid w:val="38B642D4"/>
    <w:rsid w:val="38C56E85"/>
    <w:rsid w:val="39BA4298"/>
    <w:rsid w:val="3A3853C3"/>
    <w:rsid w:val="3A8A2E97"/>
    <w:rsid w:val="3B9755D7"/>
    <w:rsid w:val="3C237ED3"/>
    <w:rsid w:val="3D1E68EC"/>
    <w:rsid w:val="3D7A2E99"/>
    <w:rsid w:val="3DF416CD"/>
    <w:rsid w:val="3E2A46C8"/>
    <w:rsid w:val="3E895FE7"/>
    <w:rsid w:val="3EB27595"/>
    <w:rsid w:val="4013200C"/>
    <w:rsid w:val="402A503F"/>
    <w:rsid w:val="405D5B36"/>
    <w:rsid w:val="41290F84"/>
    <w:rsid w:val="425F282E"/>
    <w:rsid w:val="42B3339C"/>
    <w:rsid w:val="42BC4BDD"/>
    <w:rsid w:val="42EE1632"/>
    <w:rsid w:val="434626F9"/>
    <w:rsid w:val="43E25798"/>
    <w:rsid w:val="44175382"/>
    <w:rsid w:val="442C7B41"/>
    <w:rsid w:val="448D1B53"/>
    <w:rsid w:val="44CC51FD"/>
    <w:rsid w:val="456A353C"/>
    <w:rsid w:val="45A831F7"/>
    <w:rsid w:val="469E5BB2"/>
    <w:rsid w:val="46BA3E23"/>
    <w:rsid w:val="46DC75FC"/>
    <w:rsid w:val="46ED1809"/>
    <w:rsid w:val="46FE0EF5"/>
    <w:rsid w:val="47F27F30"/>
    <w:rsid w:val="48040B11"/>
    <w:rsid w:val="4840005F"/>
    <w:rsid w:val="4869690F"/>
    <w:rsid w:val="486A50DB"/>
    <w:rsid w:val="49BA061D"/>
    <w:rsid w:val="49C102A1"/>
    <w:rsid w:val="4A04152D"/>
    <w:rsid w:val="4AFA5CC9"/>
    <w:rsid w:val="4BD56694"/>
    <w:rsid w:val="4C2F0F0C"/>
    <w:rsid w:val="4D5819A6"/>
    <w:rsid w:val="4DC93502"/>
    <w:rsid w:val="4DD23507"/>
    <w:rsid w:val="4DFE10C7"/>
    <w:rsid w:val="4F337933"/>
    <w:rsid w:val="4FD1784D"/>
    <w:rsid w:val="508F4832"/>
    <w:rsid w:val="50EA500B"/>
    <w:rsid w:val="50FC6351"/>
    <w:rsid w:val="51425436"/>
    <w:rsid w:val="516274BF"/>
    <w:rsid w:val="537918D6"/>
    <w:rsid w:val="541A1764"/>
    <w:rsid w:val="54992FD0"/>
    <w:rsid w:val="54FA19CD"/>
    <w:rsid w:val="558746DF"/>
    <w:rsid w:val="57AE4348"/>
    <w:rsid w:val="58DD42DD"/>
    <w:rsid w:val="59400F93"/>
    <w:rsid w:val="59CE718B"/>
    <w:rsid w:val="59E10D15"/>
    <w:rsid w:val="5A166E71"/>
    <w:rsid w:val="5B1F2A6E"/>
    <w:rsid w:val="5C6362E8"/>
    <w:rsid w:val="5CF8136A"/>
    <w:rsid w:val="5D3729AA"/>
    <w:rsid w:val="5DA40E36"/>
    <w:rsid w:val="5ECD3218"/>
    <w:rsid w:val="5F0B4806"/>
    <w:rsid w:val="5F2E2F07"/>
    <w:rsid w:val="5F4B35F6"/>
    <w:rsid w:val="5F903ADA"/>
    <w:rsid w:val="6007722E"/>
    <w:rsid w:val="605F10EA"/>
    <w:rsid w:val="61EB1323"/>
    <w:rsid w:val="620A05B3"/>
    <w:rsid w:val="62365232"/>
    <w:rsid w:val="62791D4B"/>
    <w:rsid w:val="62A80031"/>
    <w:rsid w:val="641E704E"/>
    <w:rsid w:val="64DC4DF9"/>
    <w:rsid w:val="64F00CB7"/>
    <w:rsid w:val="65731198"/>
    <w:rsid w:val="664D6AA2"/>
    <w:rsid w:val="66770C98"/>
    <w:rsid w:val="66B5531C"/>
    <w:rsid w:val="66B867E0"/>
    <w:rsid w:val="66DC0EEC"/>
    <w:rsid w:val="671721CB"/>
    <w:rsid w:val="67292CCC"/>
    <w:rsid w:val="688D02FE"/>
    <w:rsid w:val="68E257DD"/>
    <w:rsid w:val="694E3F32"/>
    <w:rsid w:val="696B7F52"/>
    <w:rsid w:val="6975063A"/>
    <w:rsid w:val="6A1D3904"/>
    <w:rsid w:val="6A2061E1"/>
    <w:rsid w:val="6A892D47"/>
    <w:rsid w:val="6B8B276F"/>
    <w:rsid w:val="6C39469E"/>
    <w:rsid w:val="6F1A2EF7"/>
    <w:rsid w:val="6F39380E"/>
    <w:rsid w:val="6F505463"/>
    <w:rsid w:val="6F8B3A7E"/>
    <w:rsid w:val="702B780B"/>
    <w:rsid w:val="70412CFC"/>
    <w:rsid w:val="704F6D52"/>
    <w:rsid w:val="7075322F"/>
    <w:rsid w:val="71066EA0"/>
    <w:rsid w:val="712F7A87"/>
    <w:rsid w:val="736E6F7E"/>
    <w:rsid w:val="744C3A31"/>
    <w:rsid w:val="760E4F7C"/>
    <w:rsid w:val="764D279E"/>
    <w:rsid w:val="77817A9A"/>
    <w:rsid w:val="77A9629F"/>
    <w:rsid w:val="77F9150C"/>
    <w:rsid w:val="78236B56"/>
    <w:rsid w:val="784D5185"/>
    <w:rsid w:val="78846242"/>
    <w:rsid w:val="7A5C5F17"/>
    <w:rsid w:val="7B3B5197"/>
    <w:rsid w:val="7B7B027E"/>
    <w:rsid w:val="7C9746FF"/>
    <w:rsid w:val="7D55323F"/>
    <w:rsid w:val="7D851A94"/>
    <w:rsid w:val="7D973ACD"/>
    <w:rsid w:val="7DBF2C63"/>
    <w:rsid w:val="7DF4505C"/>
    <w:rsid w:val="7E980D55"/>
    <w:rsid w:val="7EDF795D"/>
    <w:rsid w:val="7F3A4B42"/>
    <w:rsid w:val="7F743B6E"/>
    <w:rsid w:val="7FC82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basedOn w:val="6"/>
    <w:qFormat/>
    <w:uiPriority w:val="0"/>
    <w:rPr>
      <w:b/>
    </w:rPr>
  </w:style>
  <w:style w:type="character" w:styleId="8">
    <w:name w:val="Hyperlink"/>
    <w:basedOn w:val="6"/>
    <w:unhideWhenUsed/>
    <w:qFormat/>
    <w:uiPriority w:val="99"/>
    <w:rPr>
      <w:color w:val="0563C1"/>
      <w:u w:val="single"/>
    </w:rPr>
  </w:style>
  <w:style w:type="paragraph" w:customStyle="1" w:styleId="9">
    <w:name w:val="Default"/>
    <w:unhideWhenUsed/>
    <w:qFormat/>
    <w:uiPriority w:val="99"/>
    <w:pPr>
      <w:widowControl w:val="0"/>
      <w:autoSpaceDE w:val="0"/>
      <w:autoSpaceDN w:val="0"/>
      <w:adjustRightInd w:val="0"/>
      <w:spacing w:beforeLines="0" w:afterLines="0"/>
    </w:pPr>
    <w:rPr>
      <w:rFonts w:hint="eastAsia" w:ascii="DFPHei Std W5" w:hAnsi="DFPHei Std W5" w:eastAsia="DFPHei Std W5" w:cs="Times New Roman"/>
      <w:color w:val="000000"/>
      <w:sz w:val="24"/>
      <w:szCs w:val="24"/>
    </w:rPr>
  </w:style>
  <w:style w:type="paragraph" w:customStyle="1" w:styleId="10">
    <w:name w:val="Pa2"/>
    <w:basedOn w:val="9"/>
    <w:next w:val="9"/>
    <w:unhideWhenUsed/>
    <w:qFormat/>
    <w:uiPriority w:val="99"/>
    <w:pPr>
      <w:spacing w:beforeLines="0" w:afterLines="0" w:line="221" w:lineRule="atLeast"/>
    </w:pPr>
    <w:rPr>
      <w:rFonts w:hint="default"/>
      <w:sz w:val="24"/>
      <w:szCs w:val="24"/>
    </w:rPr>
  </w:style>
  <w:style w:type="character" w:customStyle="1" w:styleId="11">
    <w:name w:val="A0"/>
    <w:unhideWhenUsed/>
    <w:qFormat/>
    <w:uiPriority w:val="99"/>
    <w:rPr>
      <w:rFonts w:hint="eastAsia"/>
      <w:color w:val="002B3B"/>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f4d1133c-2a5a-4e9b-af50-788154e800f8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6548DA51</paraID>
      <start>59</start>
      <end>60</end>
      <status>unmodified</status>
      <modifiedWord/>
      <trackRevisions>false</trackRevisions>
    </reviewItem>
    <reviewItem>
      <errorID>f2c2d4c9-8d9d-4aaa-881c-d740393ceb1d</errorID>
      <errorWord>?</errorWord>
      <group>L1_Format</group>
      <groupName>格式问题</groupName>
      <ability>L2_HalfPunc_CN</ability>
      <abilityName/>
      <candidateList>
        <item>？</item>
      </candidateList>
      <explain>文本全半角错误。</explain>
      <paraID>1210EF1C</paraID>
      <start>59</start>
      <end>60</end>
      <status>unmodified</status>
      <modifiedWord/>
      <trackRevisions>false</trackRevisions>
    </reviewItem>
    <reviewItem>
      <errorID>b4836dcd-3a54-4d36-837a-4579ade550d5</errorID>
      <errorWord>MM</errorWord>
      <group>L1_Official</group>
      <groupName>公文问题</groupName>
      <ability>L2_Official</ability>
      <abilityName>公文问题</abilityName>
      <candidateList/>
      <explain>公文中禁止出现该词语</explain>
      <paraID>1210EF1C</paraID>
      <start>61</start>
      <end>63</end>
      <status>unmodified</status>
      <modifiedWord/>
      <trackRevisions>false</trackRevisions>
    </reviewItem>
    <reviewItem>
      <errorID>4a761820-d2e6-4f05-8d54-896e78674582</errorID>
      <errorWord>?</errorWord>
      <group>L1_Format</group>
      <groupName>格式问题</groupName>
      <ability>L2_HalfPunc_CN</ability>
      <abilityName/>
      <candidateList>
        <item>？</item>
      </candidateList>
      <explain>文本全半角错误。</explain>
      <paraID>1210EF1C</paraID>
      <start>71</start>
      <end>72</end>
      <status>unmodified</status>
      <modifiedWord/>
      <trackRevisions>false</trackRevisions>
    </reviewItem>
    <reviewItem>
      <errorID>70c1d9d8-9858-4798-9f0a-1c4cee9e6968</errorID>
      <errorWord>MM</errorWord>
      <group>L1_Official</group>
      <groupName>公文问题</groupName>
      <ability>L2_Official</ability>
      <abilityName>公文问题</abilityName>
      <candidateList/>
      <explain>公文中禁止出现该词语</explain>
      <paraID>5DB5DDB5</paraID>
      <start>76</start>
      <end>78</end>
      <status>unmodified</status>
      <modifiedWord/>
      <trackRevisions>false</trackRevisions>
    </reviewItem>
  </reviewItems>
  <config/>
</contractReview>
</file>

<file path=customXml/itemProps1.xml><?xml version="1.0" encoding="utf-8"?>
<ds:datastoreItem xmlns:ds="http://schemas.openxmlformats.org/officeDocument/2006/customXml" ds:itemID="{25af2fca-f1e9-4c78-a260-ec9b7139e176}">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10</Pages>
  <Words>2767</Words>
  <Characters>3103</Characters>
  <Lines>2</Lines>
  <Paragraphs>1</Paragraphs>
  <TotalTime>12</TotalTime>
  <ScaleCrop>false</ScaleCrop>
  <LinksUpToDate>false</LinksUpToDate>
  <CharactersWithSpaces>3162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2021-01-20T09:15:00Z</dcterms:created>
  <dc:creator>wxl</dc:creator>
  <cp:lastModifiedBy>viking-wang</cp:lastModifiedBy>
  <cp:lastPrinted>2021-01-21T07:19:00Z</cp:lastPrinted>
  <dcterms:modified xsi:type="dcterms:W3CDTF">2026-07-12T08:15:04Z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A2C3B92A09FA4A488FE7B494CC094BE2_13</vt:lpwstr>
  </property>
  <property fmtid="{D5CDD505-2E9C-101B-9397-08002B2CF9AE}" pid="4" name="KSOTemplateDocerSaveRecord">
    <vt:lpwstr>eyJoZGlkIjoiNmIwZjc0MGFlYTFiYjI1OTVhMDMwYTc2MTFiYTg2NDYiLCJ1c2VySWQiOiIxNzQyNjI3OTcifQ==</vt:lpwstr>
  </property>
</Properties>
</file>