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A7CCE" w14:textId="71A72AB5" w:rsidR="00A8679F" w:rsidRPr="00BB1B05" w:rsidRDefault="00A8679F" w:rsidP="00A8679F">
      <w:pPr>
        <w:ind w:firstLine="480"/>
      </w:pPr>
    </w:p>
    <w:p w14:paraId="2362ED5D" w14:textId="557136F7" w:rsidR="00A8679F" w:rsidRPr="00BB1B05" w:rsidRDefault="00A8679F" w:rsidP="00A8679F">
      <w:pPr>
        <w:ind w:firstLineChars="50" w:firstLine="120"/>
        <w:rPr>
          <w:rFonts w:ascii="宋体" w:hAnsi="宋体"/>
          <w:b/>
          <w:bCs/>
          <w:iCs/>
          <w:color w:val="000000"/>
        </w:rPr>
      </w:pPr>
      <w:r w:rsidRPr="00BB1B05">
        <w:rPr>
          <w:bCs/>
          <w:iCs/>
          <w:color w:val="000000"/>
        </w:rPr>
        <w:t>证券代码：</w:t>
      </w:r>
      <w:r w:rsidR="00931BB3">
        <w:rPr>
          <w:rFonts w:hint="eastAsia"/>
          <w:bCs/>
          <w:iCs/>
          <w:color w:val="000000"/>
        </w:rPr>
        <w:t>688302</w:t>
      </w:r>
      <w:r>
        <w:rPr>
          <w:bCs/>
          <w:iCs/>
          <w:color w:val="000000"/>
        </w:rPr>
        <w:t xml:space="preserve"> </w:t>
      </w:r>
      <w:r w:rsidRPr="00BB1B05">
        <w:rPr>
          <w:bCs/>
          <w:iCs/>
          <w:color w:val="000000"/>
        </w:rPr>
        <w:t xml:space="preserve">                           </w:t>
      </w:r>
      <w:r w:rsidR="00366B0F">
        <w:rPr>
          <w:rFonts w:hint="eastAsia"/>
          <w:bCs/>
          <w:iCs/>
          <w:color w:val="000000"/>
        </w:rPr>
        <w:t xml:space="preserve">                                        </w:t>
      </w:r>
      <w:r w:rsidRPr="00BB1B05">
        <w:rPr>
          <w:bCs/>
          <w:iCs/>
          <w:color w:val="000000"/>
        </w:rPr>
        <w:t>证券简称：</w:t>
      </w:r>
      <w:proofErr w:type="gramStart"/>
      <w:r w:rsidR="00931BB3">
        <w:rPr>
          <w:rFonts w:hint="eastAsia"/>
          <w:bCs/>
          <w:iCs/>
          <w:color w:val="000000"/>
        </w:rPr>
        <w:t>海创药业</w:t>
      </w:r>
      <w:proofErr w:type="gramEnd"/>
      <w:r>
        <w:rPr>
          <w:rFonts w:hint="eastAsia"/>
          <w:bCs/>
          <w:iCs/>
          <w:color w:val="000000"/>
        </w:rPr>
        <w:t xml:space="preserve"> </w:t>
      </w:r>
      <w:r>
        <w:rPr>
          <w:bCs/>
          <w:iCs/>
          <w:color w:val="000000"/>
        </w:rPr>
        <w:t xml:space="preserve">  </w:t>
      </w:r>
    </w:p>
    <w:p w14:paraId="2538CC73" w14:textId="725D3EF0" w:rsidR="00A8679F" w:rsidRPr="00BB1B05" w:rsidRDefault="00931BB3" w:rsidP="00A8679F">
      <w:pPr>
        <w:ind w:firstLine="482"/>
        <w:jc w:val="center"/>
        <w:rPr>
          <w:rFonts w:ascii="宋体" w:hAnsi="宋体"/>
          <w:b/>
          <w:bCs/>
          <w:iCs/>
          <w:color w:val="000000"/>
        </w:rPr>
      </w:pPr>
      <w:proofErr w:type="gramStart"/>
      <w:r>
        <w:rPr>
          <w:rFonts w:ascii="宋体" w:hAnsi="宋体" w:hint="eastAsia"/>
          <w:b/>
          <w:bCs/>
          <w:iCs/>
          <w:color w:val="000000"/>
        </w:rPr>
        <w:t>海创药业</w:t>
      </w:r>
      <w:proofErr w:type="gramEnd"/>
      <w:r w:rsidR="00A8679F" w:rsidRPr="00BB1B05">
        <w:rPr>
          <w:rFonts w:ascii="宋体" w:hAnsi="宋体" w:hint="eastAsia"/>
          <w:b/>
          <w:bCs/>
          <w:iCs/>
          <w:color w:val="000000"/>
        </w:rPr>
        <w:t>股份有限公司投资者关系活动记录表</w:t>
      </w:r>
    </w:p>
    <w:p w14:paraId="0F080C15" w14:textId="30AC9B5F" w:rsidR="00A8679F" w:rsidRPr="00BB1B05" w:rsidRDefault="00A8679F" w:rsidP="00A8679F">
      <w:pPr>
        <w:spacing w:line="400" w:lineRule="exact"/>
        <w:ind w:firstLine="480"/>
        <w:rPr>
          <w:rFonts w:ascii="宋体" w:hAnsi="宋体"/>
          <w:bCs/>
          <w:iCs/>
          <w:color w:val="000000"/>
        </w:rPr>
      </w:pPr>
      <w:r w:rsidRPr="00BB1B05">
        <w:rPr>
          <w:rFonts w:ascii="宋体" w:hAnsi="宋体" w:hint="eastAsia"/>
          <w:bCs/>
          <w:iCs/>
          <w:color w:val="000000"/>
        </w:rPr>
        <w:t xml:space="preserve">                                                   编号：</w:t>
      </w:r>
      <w:r w:rsidR="00931BB3">
        <w:rPr>
          <w:rFonts w:ascii="宋体" w:hAnsi="宋体" w:hint="eastAsia"/>
          <w:bCs/>
          <w:iCs/>
          <w:color w:val="000000"/>
        </w:rPr>
        <w:t>2026-</w:t>
      </w:r>
      <w:r w:rsidR="00366B0F">
        <w:rPr>
          <w:rFonts w:ascii="宋体" w:hAnsi="宋体" w:hint="eastAsia"/>
          <w:bCs/>
          <w:iCs/>
          <w:color w:val="000000"/>
        </w:rPr>
        <w:t>7</w:t>
      </w:r>
      <w:r w:rsidR="00931BB3">
        <w:rPr>
          <w:rFonts w:ascii="宋体" w:hAnsi="宋体" w:hint="eastAsia"/>
          <w:bCs/>
          <w:iCs/>
          <w:color w:val="000000"/>
        </w:rPr>
        <w:t>-</w:t>
      </w:r>
      <w:r w:rsidR="00366B0F">
        <w:rPr>
          <w:rFonts w:ascii="宋体" w:hAnsi="宋体" w:hint="eastAsia"/>
          <w:bCs/>
          <w:iCs/>
          <w:color w:val="000000"/>
        </w:rPr>
        <w:t>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6614"/>
      </w:tblGrid>
      <w:tr w:rsidR="00A8679F" w:rsidRPr="00BB1B05" w14:paraId="06D34753" w14:textId="77777777" w:rsidTr="00970BC7">
        <w:trPr>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14:paraId="42C42CDD" w14:textId="77777777" w:rsidR="00A8679F" w:rsidRPr="00BB1B05" w:rsidRDefault="00A8679F" w:rsidP="00970BC7">
            <w:pPr>
              <w:ind w:firstLineChars="0" w:firstLine="0"/>
              <w:rPr>
                <w:rFonts w:ascii="宋体" w:hAnsi="宋体"/>
                <w:bCs/>
                <w:iCs/>
                <w:color w:val="000000"/>
              </w:rPr>
            </w:pPr>
            <w:r w:rsidRPr="00BB1B05">
              <w:rPr>
                <w:rFonts w:ascii="宋体" w:hAnsi="宋体" w:hint="eastAsia"/>
                <w:bCs/>
                <w:iCs/>
                <w:color w:val="000000"/>
              </w:rPr>
              <w:t>投资者关系活动类别</w:t>
            </w:r>
          </w:p>
          <w:p w14:paraId="7AF9ECB4" w14:textId="77777777" w:rsidR="00A8679F" w:rsidRPr="00BB1B05" w:rsidRDefault="00A8679F" w:rsidP="00970BC7">
            <w:pPr>
              <w:ind w:firstLineChars="0" w:firstLine="0"/>
              <w:rPr>
                <w:rFonts w:ascii="宋体" w:hAnsi="宋体"/>
                <w:bCs/>
                <w:iCs/>
                <w:color w:val="000000"/>
              </w:rPr>
            </w:pPr>
          </w:p>
        </w:tc>
        <w:tc>
          <w:tcPr>
            <w:tcW w:w="6614" w:type="dxa"/>
            <w:tcBorders>
              <w:top w:val="single" w:sz="4" w:space="0" w:color="auto"/>
              <w:left w:val="single" w:sz="4" w:space="0" w:color="auto"/>
              <w:bottom w:val="single" w:sz="4" w:space="0" w:color="auto"/>
              <w:right w:val="single" w:sz="4" w:space="0" w:color="auto"/>
            </w:tcBorders>
            <w:shd w:val="clear" w:color="auto" w:fill="auto"/>
          </w:tcPr>
          <w:p w14:paraId="60FAAE19" w14:textId="28909CEE" w:rsidR="00A8679F" w:rsidRPr="00931BB3" w:rsidRDefault="00931BB3" w:rsidP="00931BB3">
            <w:pPr>
              <w:spacing w:line="480" w:lineRule="atLeast"/>
              <w:ind w:firstLineChars="0" w:firstLine="0"/>
              <w:rPr>
                <w:rFonts w:ascii="宋体" w:hAnsi="宋体"/>
              </w:rPr>
            </w:pPr>
            <w:r w:rsidRPr="00931BB3">
              <w:rPr>
                <w:rFonts w:ascii="Segoe UI Symbol" w:hAnsi="Segoe UI Symbol" w:cs="Segoe UI Symbol"/>
              </w:rPr>
              <w:t>☑</w:t>
            </w:r>
            <w:r w:rsidR="00A8679F" w:rsidRPr="00BB1B05">
              <w:rPr>
                <w:rFonts w:ascii="宋体" w:hAnsi="宋体" w:hint="eastAsia"/>
              </w:rPr>
              <w:t xml:space="preserve">特定对象调研        </w:t>
            </w:r>
            <w:r w:rsidR="00A8679F" w:rsidRPr="00BB1B05">
              <w:rPr>
                <w:rFonts w:ascii="宋体" w:hAnsi="宋体" w:hint="eastAsia"/>
                <w:bCs/>
                <w:iCs/>
                <w:color w:val="000000"/>
              </w:rPr>
              <w:t>□</w:t>
            </w:r>
            <w:r w:rsidR="00A8679F" w:rsidRPr="00BB1B05">
              <w:rPr>
                <w:rFonts w:ascii="宋体" w:hAnsi="宋体" w:hint="eastAsia"/>
              </w:rPr>
              <w:t>分析师会议</w:t>
            </w:r>
          </w:p>
          <w:p w14:paraId="0BF5E6E7" w14:textId="77777777" w:rsidR="00A8679F" w:rsidRPr="00BB1B05" w:rsidRDefault="00A8679F" w:rsidP="00970BC7">
            <w:pPr>
              <w:spacing w:line="480" w:lineRule="atLeast"/>
              <w:ind w:firstLineChars="0" w:firstLine="0"/>
              <w:rPr>
                <w:rFonts w:ascii="宋体" w:hAnsi="宋体"/>
                <w:bCs/>
                <w:iCs/>
                <w:color w:val="000000"/>
              </w:rPr>
            </w:pPr>
            <w:r w:rsidRPr="00BB1B05">
              <w:rPr>
                <w:rFonts w:ascii="宋体" w:hAnsi="宋体" w:hint="eastAsia"/>
                <w:bCs/>
                <w:iCs/>
                <w:color w:val="000000"/>
              </w:rPr>
              <w:t>□</w:t>
            </w:r>
            <w:r w:rsidRPr="00BB1B05">
              <w:rPr>
                <w:rFonts w:ascii="宋体" w:hAnsi="宋体" w:hint="eastAsia"/>
              </w:rPr>
              <w:t xml:space="preserve">媒体采访            </w:t>
            </w:r>
            <w:r w:rsidRPr="00BB1B05">
              <w:rPr>
                <w:rFonts w:ascii="宋体" w:hAnsi="宋体" w:hint="eastAsia"/>
                <w:bCs/>
                <w:iCs/>
                <w:color w:val="000000"/>
              </w:rPr>
              <w:t>□</w:t>
            </w:r>
            <w:r w:rsidRPr="00BB1B05">
              <w:rPr>
                <w:rFonts w:ascii="宋体" w:hAnsi="宋体" w:hint="eastAsia"/>
              </w:rPr>
              <w:t>业绩说明会</w:t>
            </w:r>
          </w:p>
          <w:p w14:paraId="73A7DC05" w14:textId="77777777" w:rsidR="00A8679F" w:rsidRPr="00BB1B05" w:rsidRDefault="00A8679F" w:rsidP="00970BC7">
            <w:pPr>
              <w:spacing w:line="480" w:lineRule="atLeast"/>
              <w:ind w:firstLineChars="0" w:firstLine="0"/>
              <w:rPr>
                <w:rFonts w:ascii="宋体" w:hAnsi="宋体"/>
                <w:bCs/>
                <w:iCs/>
                <w:color w:val="000000"/>
              </w:rPr>
            </w:pPr>
            <w:r w:rsidRPr="00BB1B05">
              <w:rPr>
                <w:rFonts w:ascii="宋体" w:hAnsi="宋体" w:hint="eastAsia"/>
                <w:bCs/>
                <w:iCs/>
                <w:color w:val="000000"/>
              </w:rPr>
              <w:t>□</w:t>
            </w:r>
            <w:r w:rsidRPr="00BB1B05">
              <w:rPr>
                <w:rFonts w:ascii="宋体" w:hAnsi="宋体" w:hint="eastAsia"/>
              </w:rPr>
              <w:t xml:space="preserve">新闻发布会          </w:t>
            </w:r>
            <w:r w:rsidRPr="00BB1B05">
              <w:rPr>
                <w:rFonts w:ascii="宋体" w:hAnsi="宋体" w:hint="eastAsia"/>
                <w:bCs/>
                <w:iCs/>
                <w:color w:val="000000"/>
              </w:rPr>
              <w:t>□</w:t>
            </w:r>
            <w:r w:rsidRPr="00BB1B05">
              <w:rPr>
                <w:rFonts w:ascii="宋体" w:hAnsi="宋体" w:hint="eastAsia"/>
              </w:rPr>
              <w:t>路演活动</w:t>
            </w:r>
          </w:p>
          <w:p w14:paraId="09B09D30" w14:textId="77777777" w:rsidR="00A8679F" w:rsidRPr="00BB1B05" w:rsidRDefault="00A8679F" w:rsidP="00970BC7">
            <w:pPr>
              <w:tabs>
                <w:tab w:val="left" w:pos="3045"/>
                <w:tab w:val="center" w:pos="3199"/>
              </w:tabs>
              <w:spacing w:line="480" w:lineRule="atLeast"/>
              <w:ind w:firstLineChars="0" w:firstLine="0"/>
              <w:rPr>
                <w:rFonts w:ascii="宋体" w:hAnsi="宋体"/>
                <w:bCs/>
                <w:iCs/>
                <w:color w:val="000000"/>
              </w:rPr>
            </w:pPr>
            <w:r w:rsidRPr="00BB1B05">
              <w:rPr>
                <w:rFonts w:ascii="宋体" w:hAnsi="宋体" w:hint="eastAsia"/>
                <w:bCs/>
                <w:iCs/>
                <w:color w:val="000000"/>
              </w:rPr>
              <w:t>□</w:t>
            </w:r>
            <w:r w:rsidRPr="00BB1B05">
              <w:rPr>
                <w:rFonts w:ascii="宋体" w:hAnsi="宋体" w:hint="eastAsia"/>
              </w:rPr>
              <w:t>现场参观</w:t>
            </w:r>
            <w:r w:rsidRPr="00BB1B05">
              <w:rPr>
                <w:rFonts w:ascii="宋体" w:hAnsi="宋体" w:hint="eastAsia"/>
                <w:bCs/>
                <w:iCs/>
                <w:color w:val="000000"/>
              </w:rPr>
              <w:tab/>
            </w:r>
          </w:p>
          <w:p w14:paraId="578AE72B" w14:textId="77777777" w:rsidR="00A8679F" w:rsidRPr="00BB1B05" w:rsidRDefault="00A8679F" w:rsidP="00970BC7">
            <w:pPr>
              <w:tabs>
                <w:tab w:val="center" w:pos="3199"/>
              </w:tabs>
              <w:spacing w:line="480" w:lineRule="atLeast"/>
              <w:ind w:firstLineChars="0" w:firstLine="0"/>
              <w:rPr>
                <w:rFonts w:ascii="宋体" w:hAnsi="宋体"/>
                <w:bCs/>
                <w:iCs/>
                <w:color w:val="000000"/>
              </w:rPr>
            </w:pPr>
            <w:r w:rsidRPr="00BB1B05">
              <w:rPr>
                <w:rFonts w:ascii="宋体" w:hAnsi="宋体" w:hint="eastAsia"/>
                <w:bCs/>
                <w:iCs/>
                <w:color w:val="000000"/>
              </w:rPr>
              <w:t>□</w:t>
            </w:r>
            <w:r w:rsidRPr="00BB1B05">
              <w:rPr>
                <w:rFonts w:ascii="宋体" w:hAnsi="宋体" w:hint="eastAsia"/>
              </w:rPr>
              <w:t>其他 （</w:t>
            </w:r>
            <w:proofErr w:type="gramStart"/>
            <w:r w:rsidRPr="00BB1B05">
              <w:rPr>
                <w:rFonts w:ascii="宋体" w:hAnsi="宋体" w:hint="eastAsia"/>
                <w:u w:val="single"/>
              </w:rPr>
              <w:t>请文字</w:t>
            </w:r>
            <w:proofErr w:type="gramEnd"/>
            <w:r w:rsidRPr="00BB1B05">
              <w:rPr>
                <w:rFonts w:ascii="宋体" w:hAnsi="宋体" w:hint="eastAsia"/>
                <w:u w:val="single"/>
              </w:rPr>
              <w:t>说明其他活动内容）</w:t>
            </w:r>
          </w:p>
        </w:tc>
      </w:tr>
      <w:tr w:rsidR="00A8679F" w:rsidRPr="00BB1B05" w14:paraId="4C2DF9AD" w14:textId="77777777" w:rsidTr="00970BC7">
        <w:trPr>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14:paraId="7263E170" w14:textId="77777777" w:rsidR="00A8679F" w:rsidRPr="00BB1B05" w:rsidRDefault="00A8679F" w:rsidP="00970BC7">
            <w:pPr>
              <w:ind w:firstLineChars="0" w:firstLine="0"/>
              <w:rPr>
                <w:rFonts w:ascii="宋体" w:hAnsi="宋体"/>
                <w:bCs/>
                <w:iCs/>
                <w:color w:val="000000"/>
              </w:rPr>
            </w:pPr>
            <w:r w:rsidRPr="00BB1B05">
              <w:rPr>
                <w:rFonts w:ascii="宋体" w:hAnsi="宋体" w:hint="eastAsia"/>
                <w:bCs/>
                <w:iCs/>
                <w:color w:val="000000"/>
              </w:rPr>
              <w:t>参与单位名称及人员姓名</w:t>
            </w:r>
          </w:p>
        </w:tc>
        <w:tc>
          <w:tcPr>
            <w:tcW w:w="6614" w:type="dxa"/>
            <w:tcBorders>
              <w:top w:val="single" w:sz="4" w:space="0" w:color="auto"/>
              <w:left w:val="single" w:sz="4" w:space="0" w:color="auto"/>
              <w:bottom w:val="single" w:sz="4" w:space="0" w:color="auto"/>
              <w:right w:val="single" w:sz="4" w:space="0" w:color="auto"/>
            </w:tcBorders>
            <w:shd w:val="clear" w:color="auto" w:fill="auto"/>
          </w:tcPr>
          <w:p w14:paraId="7CCC7EEB" w14:textId="62508505" w:rsidR="00A8679F" w:rsidRPr="00BB1B05" w:rsidRDefault="00AE0434" w:rsidP="00970BC7">
            <w:pPr>
              <w:spacing w:line="480" w:lineRule="atLeast"/>
              <w:ind w:firstLineChars="0" w:firstLine="0"/>
              <w:rPr>
                <w:rFonts w:ascii="宋体" w:hAnsi="宋体"/>
                <w:bCs/>
                <w:iCs/>
                <w:color w:val="000000"/>
              </w:rPr>
            </w:pPr>
            <w:proofErr w:type="spellStart"/>
            <w:r>
              <w:rPr>
                <w:rFonts w:ascii="宋体" w:hAnsi="宋体" w:hint="eastAsia"/>
                <w:bCs/>
                <w:iCs/>
                <w:color w:val="000000"/>
              </w:rPr>
              <w:t>J.P.Morgan</w:t>
            </w:r>
            <w:proofErr w:type="spellEnd"/>
            <w:r>
              <w:rPr>
                <w:rFonts w:ascii="宋体" w:hAnsi="宋体" w:hint="eastAsia"/>
                <w:bCs/>
                <w:iCs/>
                <w:color w:val="000000"/>
              </w:rPr>
              <w:t>、</w:t>
            </w:r>
            <w:r w:rsidR="00372685">
              <w:rPr>
                <w:rFonts w:ascii="宋体" w:hAnsi="宋体" w:hint="eastAsia"/>
                <w:bCs/>
                <w:iCs/>
                <w:color w:val="000000"/>
              </w:rPr>
              <w:t>华福证券、西南证券、泰康资产、</w:t>
            </w:r>
            <w:r w:rsidR="00491C1C">
              <w:rPr>
                <w:rFonts w:ascii="宋体" w:hAnsi="宋体" w:hint="eastAsia"/>
                <w:bCs/>
                <w:iCs/>
                <w:color w:val="000000"/>
              </w:rPr>
              <w:t>景林资产、</w:t>
            </w:r>
            <w:proofErr w:type="gramStart"/>
            <w:r w:rsidR="004030F2">
              <w:rPr>
                <w:rFonts w:ascii="宋体" w:hAnsi="宋体" w:hint="eastAsia"/>
                <w:bCs/>
                <w:iCs/>
                <w:color w:val="000000"/>
              </w:rPr>
              <w:t>明泓投资</w:t>
            </w:r>
            <w:proofErr w:type="gramEnd"/>
            <w:r w:rsidR="004030F2">
              <w:rPr>
                <w:rFonts w:ascii="宋体" w:hAnsi="宋体" w:hint="eastAsia"/>
                <w:bCs/>
                <w:iCs/>
                <w:color w:val="000000"/>
              </w:rPr>
              <w:t>、</w:t>
            </w:r>
            <w:r w:rsidR="00491C1C">
              <w:rPr>
                <w:rFonts w:ascii="宋体" w:hAnsi="宋体" w:hint="eastAsia"/>
                <w:bCs/>
                <w:iCs/>
                <w:color w:val="000000"/>
              </w:rPr>
              <w:t>P</w:t>
            </w:r>
            <w:r w:rsidR="00491C1C" w:rsidRPr="00491C1C">
              <w:rPr>
                <w:rFonts w:ascii="宋体" w:hAnsi="宋体"/>
                <w:bCs/>
                <w:iCs/>
                <w:color w:val="000000"/>
              </w:rPr>
              <w:t>olymer</w:t>
            </w:r>
            <w:r w:rsidR="00491C1C">
              <w:rPr>
                <w:rFonts w:ascii="宋体" w:hAnsi="宋体" w:hint="eastAsia"/>
                <w:bCs/>
                <w:iCs/>
                <w:color w:val="000000"/>
              </w:rPr>
              <w:t xml:space="preserve"> C</w:t>
            </w:r>
            <w:r w:rsidR="00491C1C" w:rsidRPr="00491C1C">
              <w:rPr>
                <w:rFonts w:ascii="宋体" w:hAnsi="宋体"/>
                <w:bCs/>
                <w:iCs/>
                <w:color w:val="000000"/>
              </w:rPr>
              <w:t>apital</w:t>
            </w:r>
            <w:r w:rsidR="00491C1C">
              <w:rPr>
                <w:rFonts w:ascii="宋体" w:hAnsi="宋体" w:hint="eastAsia"/>
                <w:bCs/>
                <w:iCs/>
                <w:color w:val="000000"/>
              </w:rPr>
              <w:t>、建峖基金</w:t>
            </w:r>
            <w:r>
              <w:rPr>
                <w:rFonts w:ascii="宋体" w:hAnsi="宋体" w:hint="eastAsia"/>
                <w:bCs/>
                <w:iCs/>
                <w:color w:val="000000"/>
              </w:rPr>
              <w:t>、Teng Yue Partners、</w:t>
            </w:r>
            <w:r w:rsidR="00445137" w:rsidRPr="00445137">
              <w:rPr>
                <w:rFonts w:ascii="宋体" w:hAnsi="宋体"/>
                <w:bCs/>
                <w:iCs/>
                <w:color w:val="000000"/>
              </w:rPr>
              <w:t>Balyasny Asset Management</w:t>
            </w:r>
            <w:r w:rsidR="00445137">
              <w:rPr>
                <w:rFonts w:ascii="宋体" w:hAnsi="宋体" w:hint="eastAsia"/>
                <w:bCs/>
                <w:iCs/>
                <w:color w:val="000000"/>
              </w:rPr>
              <w:t>、淡水泉、</w:t>
            </w:r>
            <w:bookmarkStart w:id="0" w:name="OLE_LINK1"/>
            <w:proofErr w:type="spellStart"/>
            <w:r w:rsidR="00445137">
              <w:rPr>
                <w:rFonts w:ascii="宋体" w:hAnsi="宋体" w:hint="eastAsia"/>
                <w:bCs/>
                <w:iCs/>
                <w:color w:val="000000"/>
              </w:rPr>
              <w:t>T.Rowe</w:t>
            </w:r>
            <w:proofErr w:type="spellEnd"/>
            <w:r w:rsidR="00445137">
              <w:rPr>
                <w:rFonts w:ascii="宋体" w:hAnsi="宋体" w:hint="eastAsia"/>
                <w:bCs/>
                <w:iCs/>
                <w:color w:val="000000"/>
              </w:rPr>
              <w:t xml:space="preserve"> Price Associates</w:t>
            </w:r>
            <w:bookmarkEnd w:id="0"/>
            <w:r w:rsidR="00445137">
              <w:rPr>
                <w:rFonts w:ascii="宋体" w:hAnsi="宋体" w:hint="eastAsia"/>
                <w:bCs/>
                <w:iCs/>
                <w:color w:val="000000"/>
              </w:rPr>
              <w:t>、</w:t>
            </w:r>
            <w:r w:rsidR="00366B0F">
              <w:rPr>
                <w:rFonts w:ascii="宋体" w:hAnsi="宋体" w:hint="eastAsia"/>
                <w:bCs/>
                <w:iCs/>
                <w:color w:val="000000"/>
              </w:rPr>
              <w:t>Cephei Capital</w:t>
            </w:r>
          </w:p>
        </w:tc>
      </w:tr>
      <w:tr w:rsidR="00A8679F" w:rsidRPr="00BB1B05" w14:paraId="681D26D1" w14:textId="77777777" w:rsidTr="00970BC7">
        <w:trPr>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14:paraId="1AD048E0" w14:textId="77777777" w:rsidR="00A8679F" w:rsidRPr="00BB1B05" w:rsidRDefault="00A8679F" w:rsidP="00970BC7">
            <w:pPr>
              <w:ind w:firstLineChars="0" w:firstLine="0"/>
              <w:rPr>
                <w:rFonts w:ascii="宋体" w:hAnsi="宋体"/>
                <w:bCs/>
                <w:iCs/>
                <w:color w:val="000000"/>
              </w:rPr>
            </w:pPr>
            <w:r w:rsidRPr="00BB1B05">
              <w:rPr>
                <w:rFonts w:ascii="宋体" w:hAnsi="宋体" w:hint="eastAsia"/>
                <w:bCs/>
                <w:iCs/>
                <w:color w:val="000000"/>
              </w:rPr>
              <w:t>时间</w:t>
            </w:r>
          </w:p>
        </w:tc>
        <w:tc>
          <w:tcPr>
            <w:tcW w:w="6614" w:type="dxa"/>
            <w:tcBorders>
              <w:top w:val="single" w:sz="4" w:space="0" w:color="auto"/>
              <w:left w:val="single" w:sz="4" w:space="0" w:color="auto"/>
              <w:bottom w:val="single" w:sz="4" w:space="0" w:color="auto"/>
              <w:right w:val="single" w:sz="4" w:space="0" w:color="auto"/>
            </w:tcBorders>
            <w:shd w:val="clear" w:color="auto" w:fill="auto"/>
          </w:tcPr>
          <w:p w14:paraId="438889D9" w14:textId="478511B9" w:rsidR="00A8679F" w:rsidRPr="00BB1B05" w:rsidRDefault="00931BB3" w:rsidP="00970BC7">
            <w:pPr>
              <w:spacing w:line="480" w:lineRule="atLeast"/>
              <w:ind w:firstLineChars="0" w:firstLine="0"/>
              <w:rPr>
                <w:rFonts w:ascii="宋体" w:hAnsi="宋体"/>
                <w:bCs/>
                <w:iCs/>
                <w:color w:val="000000"/>
              </w:rPr>
            </w:pPr>
            <w:r>
              <w:rPr>
                <w:rFonts w:ascii="宋体" w:hAnsi="宋体" w:hint="eastAsia"/>
                <w:bCs/>
                <w:iCs/>
                <w:color w:val="000000"/>
              </w:rPr>
              <w:t>2026年</w:t>
            </w:r>
            <w:r w:rsidR="00A975AD">
              <w:rPr>
                <w:rFonts w:ascii="宋体" w:hAnsi="宋体" w:hint="eastAsia"/>
                <w:bCs/>
                <w:iCs/>
                <w:color w:val="000000"/>
              </w:rPr>
              <w:t>7</w:t>
            </w:r>
            <w:r>
              <w:rPr>
                <w:rFonts w:ascii="宋体" w:hAnsi="宋体" w:hint="eastAsia"/>
                <w:bCs/>
                <w:iCs/>
                <w:color w:val="000000"/>
              </w:rPr>
              <w:t>月</w:t>
            </w:r>
            <w:r w:rsidR="0018158F">
              <w:rPr>
                <w:rFonts w:ascii="宋体" w:hAnsi="宋体" w:hint="eastAsia"/>
                <w:bCs/>
                <w:iCs/>
                <w:color w:val="000000"/>
              </w:rPr>
              <w:t>1</w:t>
            </w:r>
            <w:r w:rsidR="0018158F">
              <w:rPr>
                <w:rFonts w:ascii="宋体" w:hAnsi="宋体"/>
                <w:bCs/>
                <w:iCs/>
                <w:color w:val="000000"/>
              </w:rPr>
              <w:t>4</w:t>
            </w:r>
            <w:r w:rsidR="0018158F">
              <w:rPr>
                <w:rFonts w:ascii="宋体" w:hAnsi="宋体" w:hint="eastAsia"/>
                <w:bCs/>
                <w:iCs/>
                <w:color w:val="000000"/>
              </w:rPr>
              <w:t>日、7月1</w:t>
            </w:r>
            <w:r w:rsidR="0018158F">
              <w:rPr>
                <w:rFonts w:ascii="宋体" w:hAnsi="宋体"/>
                <w:bCs/>
                <w:iCs/>
                <w:color w:val="000000"/>
              </w:rPr>
              <w:t>5</w:t>
            </w:r>
            <w:r w:rsidR="0018158F">
              <w:rPr>
                <w:rFonts w:ascii="宋体" w:hAnsi="宋体" w:hint="eastAsia"/>
                <w:bCs/>
                <w:iCs/>
                <w:color w:val="000000"/>
              </w:rPr>
              <w:t>日</w:t>
            </w:r>
          </w:p>
        </w:tc>
      </w:tr>
      <w:tr w:rsidR="00A8679F" w:rsidRPr="00BB1B05" w14:paraId="23E6767A" w14:textId="77777777" w:rsidTr="00970BC7">
        <w:trPr>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14:paraId="416709BA" w14:textId="77777777" w:rsidR="00A8679F" w:rsidRPr="00BB1B05" w:rsidRDefault="00A8679F" w:rsidP="00970BC7">
            <w:pPr>
              <w:ind w:firstLineChars="0" w:firstLine="0"/>
              <w:rPr>
                <w:rFonts w:ascii="宋体" w:hAnsi="宋体"/>
                <w:bCs/>
                <w:iCs/>
                <w:color w:val="000000"/>
              </w:rPr>
            </w:pPr>
            <w:r w:rsidRPr="00BB1B05">
              <w:rPr>
                <w:rFonts w:ascii="宋体" w:hAnsi="宋体" w:hint="eastAsia"/>
                <w:bCs/>
                <w:iCs/>
                <w:color w:val="000000"/>
              </w:rPr>
              <w:t>地点</w:t>
            </w:r>
          </w:p>
        </w:tc>
        <w:tc>
          <w:tcPr>
            <w:tcW w:w="6614" w:type="dxa"/>
            <w:tcBorders>
              <w:top w:val="single" w:sz="4" w:space="0" w:color="auto"/>
              <w:left w:val="single" w:sz="4" w:space="0" w:color="auto"/>
              <w:bottom w:val="single" w:sz="4" w:space="0" w:color="auto"/>
              <w:right w:val="single" w:sz="4" w:space="0" w:color="auto"/>
            </w:tcBorders>
            <w:shd w:val="clear" w:color="auto" w:fill="auto"/>
          </w:tcPr>
          <w:p w14:paraId="28ECEA55" w14:textId="010B4427" w:rsidR="00A8679F" w:rsidRPr="00BB1B05" w:rsidRDefault="00931BB3" w:rsidP="00970BC7">
            <w:pPr>
              <w:spacing w:line="480" w:lineRule="atLeast"/>
              <w:ind w:firstLineChars="0" w:firstLine="0"/>
              <w:rPr>
                <w:rFonts w:ascii="宋体" w:hAnsi="宋体"/>
                <w:bCs/>
                <w:iCs/>
                <w:color w:val="000000"/>
              </w:rPr>
            </w:pPr>
            <w:r>
              <w:rPr>
                <w:rFonts w:ascii="宋体" w:hAnsi="宋体" w:hint="eastAsia"/>
                <w:bCs/>
                <w:iCs/>
                <w:color w:val="000000"/>
              </w:rPr>
              <w:t>公司会议室</w:t>
            </w:r>
          </w:p>
        </w:tc>
      </w:tr>
      <w:tr w:rsidR="00A8679F" w:rsidRPr="00BB1B05" w14:paraId="4D6ACA87" w14:textId="77777777" w:rsidTr="00970BC7">
        <w:trPr>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14:paraId="5B5BF79E" w14:textId="77777777" w:rsidR="00A8679F" w:rsidRPr="00BB1B05" w:rsidRDefault="00A8679F" w:rsidP="00970BC7">
            <w:pPr>
              <w:ind w:firstLineChars="0" w:firstLine="0"/>
              <w:rPr>
                <w:rFonts w:ascii="宋体" w:hAnsi="宋体"/>
                <w:bCs/>
                <w:iCs/>
                <w:color w:val="000000"/>
              </w:rPr>
            </w:pPr>
            <w:r w:rsidRPr="00BB1B05">
              <w:rPr>
                <w:rFonts w:ascii="宋体" w:hAnsi="宋体" w:hint="eastAsia"/>
                <w:bCs/>
                <w:iCs/>
                <w:color w:val="000000"/>
              </w:rPr>
              <w:t>上市公司接待人员姓名</w:t>
            </w:r>
          </w:p>
        </w:tc>
        <w:tc>
          <w:tcPr>
            <w:tcW w:w="6614" w:type="dxa"/>
            <w:tcBorders>
              <w:top w:val="single" w:sz="4" w:space="0" w:color="auto"/>
              <w:left w:val="single" w:sz="4" w:space="0" w:color="auto"/>
              <w:bottom w:val="single" w:sz="4" w:space="0" w:color="auto"/>
              <w:right w:val="single" w:sz="4" w:space="0" w:color="auto"/>
            </w:tcBorders>
            <w:shd w:val="clear" w:color="auto" w:fill="auto"/>
          </w:tcPr>
          <w:p w14:paraId="6A5ACD9A" w14:textId="46A9D983" w:rsidR="00A975AD" w:rsidRDefault="00A975AD" w:rsidP="00970BC7">
            <w:pPr>
              <w:spacing w:line="480" w:lineRule="atLeast"/>
              <w:ind w:firstLineChars="0" w:firstLine="0"/>
              <w:rPr>
                <w:rFonts w:ascii="宋体" w:hAnsi="宋体"/>
                <w:bCs/>
                <w:iCs/>
                <w:color w:val="000000"/>
              </w:rPr>
            </w:pPr>
            <w:r>
              <w:rPr>
                <w:rFonts w:ascii="宋体" w:hAnsi="宋体" w:hint="eastAsia"/>
                <w:bCs/>
                <w:iCs/>
                <w:color w:val="000000"/>
              </w:rPr>
              <w:t>董事长/总经理：陈元伟</w:t>
            </w:r>
          </w:p>
          <w:p w14:paraId="4AC5FB66" w14:textId="27E07E52" w:rsidR="00A8679F" w:rsidRDefault="00931BB3" w:rsidP="00970BC7">
            <w:pPr>
              <w:spacing w:line="480" w:lineRule="atLeast"/>
              <w:ind w:firstLineChars="0" w:firstLine="0"/>
              <w:rPr>
                <w:rFonts w:ascii="宋体" w:hAnsi="宋体"/>
                <w:bCs/>
                <w:iCs/>
                <w:color w:val="000000"/>
              </w:rPr>
            </w:pPr>
            <w:r>
              <w:rPr>
                <w:rFonts w:ascii="宋体" w:hAnsi="宋体" w:hint="eastAsia"/>
                <w:bCs/>
                <w:iCs/>
                <w:color w:val="000000"/>
              </w:rPr>
              <w:t>董事/运营副总裁/董事会秘书：代丽</w:t>
            </w:r>
          </w:p>
          <w:p w14:paraId="7237454F" w14:textId="7B52DF40" w:rsidR="00931BB3" w:rsidRPr="00BB1B05" w:rsidRDefault="00931BB3" w:rsidP="00970BC7">
            <w:pPr>
              <w:spacing w:line="480" w:lineRule="atLeast"/>
              <w:ind w:firstLineChars="0" w:firstLine="0"/>
              <w:rPr>
                <w:rFonts w:ascii="宋体" w:hAnsi="宋体"/>
                <w:bCs/>
                <w:iCs/>
                <w:color w:val="000000"/>
              </w:rPr>
            </w:pPr>
            <w:r>
              <w:rPr>
                <w:rFonts w:ascii="宋体" w:hAnsi="宋体" w:hint="eastAsia"/>
                <w:bCs/>
                <w:iCs/>
                <w:color w:val="000000"/>
              </w:rPr>
              <w:t>投资者关系：张翔宇</w:t>
            </w:r>
          </w:p>
        </w:tc>
      </w:tr>
      <w:tr w:rsidR="00A8679F" w:rsidRPr="00BB1B05" w14:paraId="7BDF39F2" w14:textId="77777777" w:rsidTr="00970BC7">
        <w:trPr>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14:paraId="14E88D5D" w14:textId="77777777" w:rsidR="00A8679F" w:rsidRPr="00BB1B05" w:rsidRDefault="00A8679F" w:rsidP="00970BC7">
            <w:pPr>
              <w:ind w:firstLineChars="0" w:firstLine="0"/>
              <w:rPr>
                <w:rFonts w:ascii="宋体" w:hAnsi="宋体"/>
                <w:bCs/>
                <w:iCs/>
                <w:color w:val="000000"/>
              </w:rPr>
            </w:pPr>
            <w:r w:rsidRPr="00BB1B05">
              <w:rPr>
                <w:rFonts w:ascii="宋体" w:hAnsi="宋体" w:hint="eastAsia"/>
                <w:bCs/>
                <w:iCs/>
                <w:color w:val="000000"/>
              </w:rPr>
              <w:t>投资者关系活动主要内容介绍</w:t>
            </w:r>
          </w:p>
          <w:p w14:paraId="3883E6FA" w14:textId="77777777" w:rsidR="00A8679F" w:rsidRPr="00BB1B05" w:rsidRDefault="00A8679F" w:rsidP="00970BC7">
            <w:pPr>
              <w:ind w:firstLineChars="0" w:firstLine="0"/>
              <w:rPr>
                <w:rFonts w:ascii="宋体" w:hAnsi="宋体"/>
                <w:bCs/>
                <w:iCs/>
                <w:color w:val="000000"/>
              </w:rPr>
            </w:pPr>
          </w:p>
        </w:tc>
        <w:tc>
          <w:tcPr>
            <w:tcW w:w="6614" w:type="dxa"/>
            <w:tcBorders>
              <w:top w:val="single" w:sz="4" w:space="0" w:color="auto"/>
              <w:left w:val="single" w:sz="4" w:space="0" w:color="auto"/>
              <w:bottom w:val="single" w:sz="4" w:space="0" w:color="auto"/>
              <w:right w:val="single" w:sz="4" w:space="0" w:color="auto"/>
            </w:tcBorders>
            <w:shd w:val="clear" w:color="auto" w:fill="auto"/>
          </w:tcPr>
          <w:p w14:paraId="55B06AB0" w14:textId="50BB2F6F" w:rsidR="0064582A" w:rsidRPr="00372685" w:rsidRDefault="0064582A" w:rsidP="00D031F0">
            <w:pPr>
              <w:widowControl/>
              <w:spacing w:line="240" w:lineRule="auto"/>
              <w:ind w:firstLine="482"/>
              <w:rPr>
                <w:rFonts w:ascii="宋体" w:hAnsi="宋体" w:cs="宋体"/>
                <w:b/>
                <w:bCs/>
                <w:color w:val="000000"/>
                <w:kern w:val="0"/>
              </w:rPr>
            </w:pPr>
            <w:r w:rsidRPr="00372685">
              <w:rPr>
                <w:rFonts w:ascii="宋体" w:hAnsi="宋体" w:cs="宋体" w:hint="eastAsia"/>
                <w:b/>
                <w:bCs/>
                <w:color w:val="000000"/>
                <w:kern w:val="0"/>
              </w:rPr>
              <w:t>Q</w:t>
            </w:r>
            <w:r>
              <w:rPr>
                <w:rFonts w:ascii="宋体" w:hAnsi="宋体" w:cs="宋体" w:hint="eastAsia"/>
                <w:b/>
                <w:bCs/>
                <w:color w:val="000000"/>
                <w:kern w:val="0"/>
              </w:rPr>
              <w:t>1</w:t>
            </w:r>
            <w:r w:rsidRPr="00372685">
              <w:rPr>
                <w:rFonts w:ascii="宋体" w:hAnsi="宋体" w:cs="宋体" w:hint="eastAsia"/>
                <w:b/>
                <w:bCs/>
                <w:color w:val="000000"/>
                <w:kern w:val="0"/>
              </w:rPr>
              <w:t>: HP515的MASH适应症临床试验中，是否</w:t>
            </w:r>
            <w:proofErr w:type="spellStart"/>
            <w:r w:rsidRPr="00372685">
              <w:rPr>
                <w:rFonts w:ascii="宋体" w:hAnsi="宋体" w:cs="宋体" w:hint="eastAsia"/>
                <w:b/>
                <w:bCs/>
                <w:color w:val="000000"/>
                <w:kern w:val="0"/>
              </w:rPr>
              <w:t>IIa</w:t>
            </w:r>
            <w:proofErr w:type="spellEnd"/>
            <w:r w:rsidRPr="00372685">
              <w:rPr>
                <w:rFonts w:ascii="宋体" w:hAnsi="宋体" w:cs="宋体" w:hint="eastAsia"/>
                <w:b/>
                <w:bCs/>
                <w:color w:val="000000"/>
                <w:kern w:val="0"/>
              </w:rPr>
              <w:t>期的</w:t>
            </w:r>
            <w:r w:rsidRPr="00372685">
              <w:rPr>
                <w:rFonts w:ascii="宋体" w:hAnsi="宋体" w:hint="eastAsia"/>
                <w:b/>
                <w:bCs/>
                <w:color w:val="000000" w:themeColor="text1"/>
              </w:rPr>
              <w:t>肝脂肪分数（</w:t>
            </w:r>
            <w:r w:rsidRPr="00372685">
              <w:rPr>
                <w:rFonts w:ascii="宋体" w:hAnsi="宋体" w:cs="宋体" w:hint="eastAsia"/>
                <w:b/>
                <w:bCs/>
                <w:color w:val="000000"/>
                <w:kern w:val="0"/>
              </w:rPr>
              <w:t>LFC）改善幅度越大，就能判断后续IIb期或者III期的MASH和纤维化改善越好？</w:t>
            </w:r>
          </w:p>
          <w:p w14:paraId="6BF9C2F8" w14:textId="77777777" w:rsidR="0064582A" w:rsidRPr="00A72CC7" w:rsidRDefault="0064582A" w:rsidP="00D031F0">
            <w:pPr>
              <w:widowControl/>
              <w:spacing w:line="240" w:lineRule="auto"/>
              <w:ind w:firstLine="480"/>
              <w:rPr>
                <w:rFonts w:ascii="宋体" w:hAnsi="宋体" w:cs="宋体"/>
                <w:color w:val="000000"/>
                <w:kern w:val="0"/>
              </w:rPr>
            </w:pPr>
            <w:r w:rsidRPr="00A72CC7">
              <w:rPr>
                <w:rFonts w:ascii="宋体" w:hAnsi="宋体" w:cs="宋体"/>
                <w:color w:val="000000"/>
                <w:kern w:val="0"/>
              </w:rPr>
              <w:t>行业公认LFC相对降幅≥30%是阻断MASH病理进展、实现炎症消退及纤维化停滞的最低有效阈值；未达该阈值的受试者，纤维化几乎无逆转获益，且疾病持续进展风险显著升高。</w:t>
            </w:r>
          </w:p>
          <w:p w14:paraId="67B9868C" w14:textId="77777777" w:rsidR="0064582A" w:rsidRPr="00A72CC7" w:rsidRDefault="0064582A" w:rsidP="00D031F0">
            <w:pPr>
              <w:widowControl/>
              <w:spacing w:line="240" w:lineRule="auto"/>
              <w:ind w:firstLine="480"/>
              <w:rPr>
                <w:rFonts w:ascii="宋体" w:hAnsi="宋体" w:cs="宋体"/>
                <w:color w:val="000000"/>
                <w:kern w:val="0"/>
              </w:rPr>
            </w:pPr>
            <w:r w:rsidRPr="00A72CC7">
              <w:rPr>
                <w:rFonts w:ascii="宋体" w:hAnsi="宋体" w:cs="宋体"/>
                <w:color w:val="000000"/>
                <w:kern w:val="0"/>
              </w:rPr>
              <w:t>在达标人群中，LFC</w:t>
            </w:r>
            <w:proofErr w:type="gramStart"/>
            <w:r w:rsidRPr="00A72CC7">
              <w:rPr>
                <w:rFonts w:ascii="宋体" w:hAnsi="宋体" w:cs="宋体"/>
                <w:color w:val="000000"/>
                <w:kern w:val="0"/>
              </w:rPr>
              <w:t>降幅越</w:t>
            </w:r>
            <w:proofErr w:type="gramEnd"/>
            <w:r w:rsidRPr="00A72CC7">
              <w:rPr>
                <w:rFonts w:ascii="宋体" w:hAnsi="宋体" w:cs="宋体"/>
                <w:color w:val="000000"/>
                <w:kern w:val="0"/>
              </w:rPr>
              <w:t>高，脂毒性微环境清除越彻底，肝星状细胞活化抑制、炎症通路消退、肝细胞修复的效率越高，最终实现纤维化分期逆转率更高、纤维化进展率更低、复合终点应答更优。</w:t>
            </w:r>
          </w:p>
          <w:p w14:paraId="536B9CC6" w14:textId="77777777" w:rsidR="0064582A" w:rsidRPr="00A72CC7" w:rsidRDefault="0064582A" w:rsidP="00D031F0">
            <w:pPr>
              <w:widowControl/>
              <w:spacing w:line="240" w:lineRule="auto"/>
              <w:ind w:firstLine="480"/>
              <w:rPr>
                <w:rFonts w:ascii="宋体" w:hAnsi="宋体" w:cs="宋体"/>
                <w:color w:val="000000"/>
                <w:kern w:val="0"/>
              </w:rPr>
            </w:pPr>
            <w:r w:rsidRPr="00A72CC7">
              <w:rPr>
                <w:rFonts w:ascii="宋体" w:hAnsi="宋体" w:cs="宋体"/>
                <w:color w:val="000000"/>
                <w:kern w:val="0"/>
              </w:rPr>
              <w:t>轻度LFC下降仅能部分缓解脂质毒性，无法彻底阻断持续驱动纤维化的炎症级联反应；而深度LFC消减可彻底消除MASH始动病因，终止脂毒性-炎症-纤维化的恶性循环，为肝组织基质重塑、纤维化瘢痕吸收提供核心病理基础。</w:t>
            </w:r>
          </w:p>
          <w:p w14:paraId="626A31B1" w14:textId="77777777" w:rsidR="0064582A" w:rsidRDefault="0064582A" w:rsidP="00D031F0">
            <w:pPr>
              <w:widowControl/>
              <w:spacing w:line="240" w:lineRule="auto"/>
              <w:ind w:firstLine="480"/>
              <w:rPr>
                <w:rFonts w:ascii="宋体" w:hAnsi="宋体" w:cs="宋体"/>
                <w:color w:val="000000"/>
                <w:kern w:val="0"/>
              </w:rPr>
            </w:pPr>
            <w:r w:rsidRPr="00A72CC7">
              <w:rPr>
                <w:rFonts w:ascii="宋体" w:hAnsi="宋体" w:cs="宋体"/>
                <w:color w:val="000000"/>
                <w:kern w:val="0"/>
              </w:rPr>
              <w:t>HP515 40mg/50mg/60mg各治疗剂量组，受试者平均LFC较基线降幅均超过50%，而安慰剂组仅下降3.5%，所有剂量</w:t>
            </w:r>
            <w:r w:rsidRPr="00A72CC7">
              <w:rPr>
                <w:rFonts w:ascii="宋体" w:hAnsi="宋体" w:cs="宋体"/>
                <w:color w:val="000000"/>
                <w:kern w:val="0"/>
              </w:rPr>
              <w:lastRenderedPageBreak/>
              <w:t>组与安慰剂组差异均具有极高统计学显著性（P＜0.001）。同时，HP515实现LFC≥30%、≥50%降幅的患者应答比例显著优于对照组，达成超深度降脂的核心疗效特征。</w:t>
            </w:r>
          </w:p>
          <w:p w14:paraId="1F01445F" w14:textId="77777777" w:rsidR="0064582A" w:rsidRDefault="0064582A" w:rsidP="00D031F0">
            <w:pPr>
              <w:widowControl/>
              <w:spacing w:line="240" w:lineRule="auto"/>
              <w:ind w:firstLine="480"/>
              <w:rPr>
                <w:rFonts w:ascii="宋体" w:hAnsi="宋体" w:cs="宋体"/>
                <w:color w:val="000000"/>
                <w:kern w:val="0"/>
              </w:rPr>
            </w:pPr>
            <w:r w:rsidRPr="00D04639">
              <w:rPr>
                <w:rFonts w:ascii="宋体" w:hAnsi="宋体" w:cs="宋体"/>
                <w:color w:val="000000"/>
                <w:kern w:val="0"/>
              </w:rPr>
              <w:t>相较于多数同类在</w:t>
            </w:r>
            <w:proofErr w:type="gramStart"/>
            <w:r w:rsidRPr="00D04639">
              <w:rPr>
                <w:rFonts w:ascii="宋体" w:hAnsi="宋体" w:cs="宋体"/>
                <w:color w:val="000000"/>
                <w:kern w:val="0"/>
              </w:rPr>
              <w:t>研</w:t>
            </w:r>
            <w:proofErr w:type="gramEnd"/>
            <w:r w:rsidRPr="00D04639">
              <w:rPr>
                <w:rFonts w:ascii="宋体" w:hAnsi="宋体" w:cs="宋体"/>
                <w:color w:val="000000"/>
                <w:kern w:val="0"/>
              </w:rPr>
              <w:t>分子12周的平均LFC降幅，HP515超50%的深度LFC消减具备更强的纤维化</w:t>
            </w:r>
            <w:r w:rsidRPr="00D04639">
              <w:rPr>
                <w:rFonts w:ascii="宋体" w:hAnsi="宋体" w:cs="宋体" w:hint="eastAsia"/>
                <w:color w:val="000000"/>
                <w:kern w:val="0"/>
              </w:rPr>
              <w:t>和MASH改善</w:t>
            </w:r>
            <w:r w:rsidRPr="00D04639">
              <w:rPr>
                <w:rFonts w:ascii="宋体" w:hAnsi="宋体" w:cs="宋体"/>
                <w:color w:val="000000"/>
                <w:kern w:val="0"/>
              </w:rPr>
              <w:t>获益潜力</w:t>
            </w:r>
            <w:r w:rsidRPr="00D04639">
              <w:rPr>
                <w:rFonts w:ascii="宋体" w:hAnsi="宋体" w:cs="宋体" w:hint="eastAsia"/>
                <w:color w:val="000000"/>
                <w:kern w:val="0"/>
              </w:rPr>
              <w:t>。</w:t>
            </w:r>
          </w:p>
          <w:p w14:paraId="0EA8A7AA" w14:textId="77777777" w:rsidR="0064582A" w:rsidRDefault="0064582A" w:rsidP="00D031F0">
            <w:pPr>
              <w:widowControl/>
              <w:spacing w:line="240" w:lineRule="auto"/>
              <w:ind w:firstLine="480"/>
              <w:rPr>
                <w:rFonts w:ascii="宋体" w:hAnsi="宋体" w:cs="宋体"/>
                <w:color w:val="000000"/>
                <w:kern w:val="0"/>
              </w:rPr>
            </w:pPr>
          </w:p>
          <w:p w14:paraId="7734CC3E" w14:textId="7B82C86D" w:rsidR="0064582A" w:rsidRPr="0063576E" w:rsidRDefault="0064582A" w:rsidP="00D031F0">
            <w:pPr>
              <w:widowControl/>
              <w:spacing w:line="240" w:lineRule="auto"/>
              <w:ind w:firstLine="482"/>
              <w:rPr>
                <w:rFonts w:ascii="宋体" w:hAnsi="宋体"/>
                <w:b/>
                <w:bCs/>
                <w:iCs/>
                <w:color w:val="000000"/>
              </w:rPr>
            </w:pPr>
            <w:r w:rsidRPr="0063576E">
              <w:rPr>
                <w:rFonts w:ascii="宋体" w:hAnsi="宋体" w:cs="宋体" w:hint="eastAsia"/>
                <w:b/>
                <w:bCs/>
                <w:color w:val="000000"/>
                <w:kern w:val="0"/>
              </w:rPr>
              <w:t>Q</w:t>
            </w:r>
            <w:r>
              <w:rPr>
                <w:rFonts w:ascii="宋体" w:hAnsi="宋体" w:cs="宋体" w:hint="eastAsia"/>
                <w:b/>
                <w:bCs/>
                <w:color w:val="000000"/>
                <w:kern w:val="0"/>
              </w:rPr>
              <w:t>2</w:t>
            </w:r>
            <w:r w:rsidRPr="0063576E">
              <w:rPr>
                <w:rFonts w:ascii="宋体" w:hAnsi="宋体" w:cs="宋体" w:hint="eastAsia"/>
                <w:b/>
                <w:bCs/>
                <w:color w:val="000000"/>
                <w:kern w:val="0"/>
              </w:rPr>
              <w:t>：</w:t>
            </w:r>
            <w:r w:rsidRPr="0063576E">
              <w:rPr>
                <w:rFonts w:ascii="宋体" w:hAnsi="宋体" w:hint="eastAsia"/>
                <w:b/>
                <w:bCs/>
                <w:iCs/>
                <w:color w:val="000000"/>
              </w:rPr>
              <w:t>HP515联合疗法的开发上有怎样的整体规划？</w:t>
            </w:r>
          </w:p>
          <w:p w14:paraId="3F8C5C29" w14:textId="77777777" w:rsidR="0064582A" w:rsidRDefault="0064582A" w:rsidP="00D031F0">
            <w:pPr>
              <w:widowControl/>
              <w:spacing w:line="240" w:lineRule="auto"/>
              <w:ind w:firstLine="480"/>
              <w:rPr>
                <w:rFonts w:ascii="宋体" w:hAnsi="宋体"/>
                <w:bCs/>
                <w:iCs/>
                <w:color w:val="000000"/>
              </w:rPr>
            </w:pPr>
            <w:r w:rsidRPr="001303B4">
              <w:rPr>
                <w:rFonts w:ascii="宋体" w:hAnsi="宋体" w:hint="eastAsia"/>
                <w:bCs/>
                <w:iCs/>
                <w:color w:val="000000"/>
              </w:rPr>
              <w:t>公司已系统完成 HP515 与主流 GLP-1 类药物（司美格鲁肽、</w:t>
            </w:r>
            <w:proofErr w:type="gramStart"/>
            <w:r w:rsidRPr="001303B4">
              <w:rPr>
                <w:rFonts w:ascii="宋体" w:hAnsi="宋体" w:hint="eastAsia"/>
                <w:bCs/>
                <w:iCs/>
                <w:color w:val="000000"/>
              </w:rPr>
              <w:t>替尔泊肽</w:t>
            </w:r>
            <w:proofErr w:type="gramEnd"/>
            <w:r w:rsidRPr="001303B4">
              <w:rPr>
                <w:rFonts w:ascii="宋体" w:hAnsi="宋体" w:hint="eastAsia"/>
                <w:bCs/>
                <w:iCs/>
                <w:color w:val="000000"/>
              </w:rPr>
              <w:t>）的联合用药临床前研究，相关数据先后在第 32 届欧洲肥胖症大会（ECO）以口头报告、第三届国际肥胖与减重药物开发峰会以口头报告大会主讲形式发布，获得国际代谢领域的学术认可</w:t>
            </w:r>
            <w:r>
              <w:rPr>
                <w:rFonts w:ascii="宋体" w:hAnsi="宋体" w:hint="eastAsia"/>
                <w:bCs/>
                <w:iCs/>
                <w:color w:val="000000"/>
              </w:rPr>
              <w:t>。</w:t>
            </w:r>
          </w:p>
          <w:p w14:paraId="06B871A1" w14:textId="77777777" w:rsidR="0064582A" w:rsidRPr="001303B4" w:rsidRDefault="0064582A" w:rsidP="00D031F0">
            <w:pPr>
              <w:spacing w:line="240" w:lineRule="auto"/>
              <w:ind w:firstLine="480"/>
              <w:rPr>
                <w:rFonts w:ascii="宋体" w:hAnsi="宋体"/>
                <w:bCs/>
                <w:iCs/>
                <w:color w:val="000000"/>
              </w:rPr>
            </w:pPr>
            <w:r w:rsidRPr="001303B4">
              <w:rPr>
                <w:rFonts w:ascii="宋体" w:hAnsi="宋体" w:hint="eastAsia"/>
                <w:bCs/>
                <w:iCs/>
                <w:color w:val="000000"/>
              </w:rPr>
              <w:t>临床开发计划：联合用药首先在人体里开展药物相互作用研究，招募已完成，试验正在进行中。后续联合用药的开发，将根据DDI结果，分别设计适合于肥胖和MASH联合用药的方案。</w:t>
            </w:r>
          </w:p>
          <w:p w14:paraId="1CDC07C8" w14:textId="77777777" w:rsidR="0064582A" w:rsidRDefault="0064582A" w:rsidP="00D031F0">
            <w:pPr>
              <w:widowControl/>
              <w:spacing w:line="240" w:lineRule="auto"/>
              <w:ind w:firstLine="482"/>
              <w:rPr>
                <w:rFonts w:ascii="宋体" w:hAnsi="宋体" w:cs="宋体"/>
                <w:b/>
                <w:bCs/>
                <w:color w:val="000000"/>
                <w:kern w:val="0"/>
              </w:rPr>
            </w:pPr>
          </w:p>
          <w:p w14:paraId="2CFB9305" w14:textId="0D640342" w:rsidR="0064582A" w:rsidRPr="001303B4" w:rsidRDefault="0064582A" w:rsidP="00D031F0">
            <w:pPr>
              <w:spacing w:line="240" w:lineRule="auto"/>
              <w:ind w:firstLine="482"/>
              <w:rPr>
                <w:rFonts w:ascii="宋体" w:hAnsi="宋体"/>
                <w:b/>
                <w:iCs/>
                <w:color w:val="000000"/>
              </w:rPr>
            </w:pPr>
            <w:r w:rsidRPr="00372685">
              <w:rPr>
                <w:rFonts w:ascii="宋体" w:hAnsi="宋体" w:cs="宋体" w:hint="eastAsia"/>
                <w:b/>
                <w:bCs/>
                <w:color w:val="000000"/>
                <w:kern w:val="0"/>
              </w:rPr>
              <w:t>Q</w:t>
            </w:r>
            <w:r>
              <w:rPr>
                <w:rFonts w:ascii="宋体" w:hAnsi="宋体" w:cs="宋体" w:hint="eastAsia"/>
                <w:b/>
                <w:bCs/>
                <w:color w:val="000000"/>
                <w:kern w:val="0"/>
              </w:rPr>
              <w:t>3</w:t>
            </w:r>
            <w:r w:rsidRPr="00372685">
              <w:rPr>
                <w:rFonts w:ascii="宋体" w:hAnsi="宋体" w:cs="宋体" w:hint="eastAsia"/>
                <w:b/>
                <w:bCs/>
                <w:color w:val="000000"/>
                <w:kern w:val="0"/>
              </w:rPr>
              <w:t>：</w:t>
            </w:r>
            <w:proofErr w:type="gramStart"/>
            <w:r w:rsidRPr="001303B4">
              <w:rPr>
                <w:rFonts w:ascii="宋体" w:hAnsi="宋体" w:hint="eastAsia"/>
                <w:b/>
                <w:iCs/>
                <w:color w:val="000000"/>
              </w:rPr>
              <w:t>氘恩扎</w:t>
            </w:r>
            <w:proofErr w:type="gramEnd"/>
            <w:r w:rsidRPr="001303B4">
              <w:rPr>
                <w:rFonts w:ascii="宋体" w:hAnsi="宋体" w:hint="eastAsia"/>
                <w:b/>
                <w:iCs/>
                <w:color w:val="000000"/>
              </w:rPr>
              <w:t>鲁胺的早期前列腺癌适应症</w:t>
            </w:r>
            <w:r>
              <w:rPr>
                <w:rFonts w:ascii="宋体" w:hAnsi="宋体" w:hint="eastAsia"/>
                <w:b/>
                <w:iCs/>
                <w:color w:val="000000"/>
              </w:rPr>
              <w:t>的介绍和进展</w:t>
            </w:r>
            <w:r w:rsidRPr="001303B4">
              <w:rPr>
                <w:rFonts w:ascii="宋体" w:hAnsi="宋体" w:hint="eastAsia"/>
                <w:b/>
                <w:iCs/>
                <w:color w:val="000000"/>
              </w:rPr>
              <w:t>？</w:t>
            </w:r>
          </w:p>
          <w:p w14:paraId="4A43EF1F" w14:textId="77777777" w:rsidR="0064582A" w:rsidRPr="001303B4" w:rsidRDefault="0064582A" w:rsidP="00D031F0">
            <w:pPr>
              <w:spacing w:line="240" w:lineRule="auto"/>
              <w:ind w:firstLine="480"/>
              <w:rPr>
                <w:rFonts w:ascii="宋体" w:hAnsi="宋体"/>
                <w:bCs/>
                <w:iCs/>
                <w:color w:val="000000"/>
              </w:rPr>
            </w:pPr>
            <w:bookmarkStart w:id="1" w:name="_Hlk233401667"/>
            <w:r w:rsidRPr="001303B4">
              <w:rPr>
                <w:rFonts w:ascii="宋体" w:hAnsi="宋体" w:hint="eastAsia"/>
                <w:bCs/>
                <w:iCs/>
                <w:color w:val="000000"/>
              </w:rPr>
              <w:t>根据肿瘤侵袭范围及疾病演进时序，前列腺癌治疗可分为局部及区域前列腺癌、根治性治疗后生化复发性前列腺癌（BCR）、转移性去势敏感性前列腺癌（</w:t>
            </w:r>
            <w:proofErr w:type="spellStart"/>
            <w:r w:rsidRPr="001303B4">
              <w:rPr>
                <w:rFonts w:ascii="宋体" w:hAnsi="宋体" w:hint="eastAsia"/>
                <w:bCs/>
                <w:iCs/>
                <w:color w:val="000000"/>
              </w:rPr>
              <w:t>mHSPC</w:t>
            </w:r>
            <w:proofErr w:type="spellEnd"/>
            <w:r w:rsidRPr="001303B4">
              <w:rPr>
                <w:rFonts w:ascii="宋体" w:hAnsi="宋体" w:hint="eastAsia"/>
                <w:bCs/>
                <w:iCs/>
                <w:color w:val="000000"/>
              </w:rPr>
              <w:t>）、转移性去势抵抗性前列腺癌（</w:t>
            </w:r>
            <w:proofErr w:type="spellStart"/>
            <w:r w:rsidRPr="001303B4">
              <w:rPr>
                <w:rFonts w:ascii="宋体" w:hAnsi="宋体" w:hint="eastAsia"/>
                <w:bCs/>
                <w:iCs/>
                <w:color w:val="000000"/>
              </w:rPr>
              <w:t>mCRPC</w:t>
            </w:r>
            <w:proofErr w:type="spellEnd"/>
            <w:r w:rsidRPr="001303B4">
              <w:rPr>
                <w:rFonts w:ascii="宋体" w:hAnsi="宋体" w:hint="eastAsia"/>
                <w:bCs/>
                <w:iCs/>
                <w:color w:val="000000"/>
              </w:rPr>
              <w:t>）。目前，</w:t>
            </w:r>
            <w:proofErr w:type="spellStart"/>
            <w:r w:rsidRPr="001303B4">
              <w:rPr>
                <w:rFonts w:ascii="宋体" w:hAnsi="宋体" w:hint="eastAsia"/>
                <w:bCs/>
                <w:iCs/>
                <w:color w:val="000000"/>
              </w:rPr>
              <w:t>mHSPC</w:t>
            </w:r>
            <w:proofErr w:type="spellEnd"/>
            <w:r w:rsidRPr="001303B4">
              <w:rPr>
                <w:rFonts w:ascii="宋体" w:hAnsi="宋体" w:hint="eastAsia"/>
                <w:bCs/>
                <w:iCs/>
                <w:color w:val="000000"/>
              </w:rPr>
              <w:t>、</w:t>
            </w:r>
            <w:proofErr w:type="spellStart"/>
            <w:r w:rsidRPr="001303B4">
              <w:rPr>
                <w:rFonts w:ascii="宋体" w:hAnsi="宋体" w:hint="eastAsia"/>
                <w:bCs/>
                <w:iCs/>
                <w:color w:val="000000"/>
              </w:rPr>
              <w:t>mCRPC</w:t>
            </w:r>
            <w:proofErr w:type="spellEnd"/>
            <w:r w:rsidRPr="001303B4">
              <w:rPr>
                <w:rFonts w:ascii="宋体" w:hAnsi="宋体" w:hint="eastAsia"/>
                <w:bCs/>
                <w:iCs/>
                <w:color w:val="000000"/>
              </w:rPr>
              <w:t>领域均已有商业化治疗药物，但针对于高风险生化复发（BCR）的早期前列腺癌患者，仍缺乏已批准药物进行干预以降低前列腺癌复发概率。</w:t>
            </w:r>
            <w:proofErr w:type="gramStart"/>
            <w:r w:rsidRPr="001303B4">
              <w:rPr>
                <w:rFonts w:ascii="宋体" w:hAnsi="宋体" w:hint="eastAsia"/>
                <w:bCs/>
                <w:iCs/>
                <w:color w:val="000000"/>
              </w:rPr>
              <w:t>鉴于氘恩扎鲁胺在</w:t>
            </w:r>
            <w:proofErr w:type="spellStart"/>
            <w:proofErr w:type="gramEnd"/>
            <w:r w:rsidRPr="001303B4">
              <w:rPr>
                <w:rFonts w:ascii="宋体" w:hAnsi="宋体" w:hint="eastAsia"/>
                <w:bCs/>
                <w:iCs/>
                <w:color w:val="000000"/>
              </w:rPr>
              <w:t>mCRPC</w:t>
            </w:r>
            <w:proofErr w:type="spellEnd"/>
            <w:r w:rsidRPr="001303B4">
              <w:rPr>
                <w:rFonts w:ascii="宋体" w:hAnsi="宋体" w:hint="eastAsia"/>
                <w:bCs/>
                <w:iCs/>
                <w:color w:val="000000"/>
              </w:rPr>
              <w:t>适应症中明确的疗效和安全性，公司正在</w:t>
            </w:r>
            <w:proofErr w:type="gramStart"/>
            <w:r w:rsidRPr="001303B4">
              <w:rPr>
                <w:rFonts w:ascii="宋体" w:hAnsi="宋体" w:hint="eastAsia"/>
                <w:bCs/>
                <w:iCs/>
                <w:color w:val="000000"/>
              </w:rPr>
              <w:t>准备氘恩扎</w:t>
            </w:r>
            <w:proofErr w:type="gramEnd"/>
            <w:r w:rsidRPr="001303B4">
              <w:rPr>
                <w:rFonts w:ascii="宋体" w:hAnsi="宋体" w:hint="eastAsia"/>
                <w:bCs/>
                <w:iCs/>
                <w:color w:val="000000"/>
              </w:rPr>
              <w:t>鲁</w:t>
            </w:r>
            <w:proofErr w:type="gramStart"/>
            <w:r w:rsidRPr="001303B4">
              <w:rPr>
                <w:rFonts w:ascii="宋体" w:hAnsi="宋体" w:hint="eastAsia"/>
                <w:bCs/>
                <w:iCs/>
                <w:color w:val="000000"/>
              </w:rPr>
              <w:t>胺针对</w:t>
            </w:r>
            <w:proofErr w:type="gramEnd"/>
            <w:r w:rsidRPr="001303B4">
              <w:rPr>
                <w:rFonts w:ascii="宋体" w:hAnsi="宋体" w:hint="eastAsia"/>
                <w:bCs/>
                <w:iCs/>
                <w:color w:val="000000"/>
              </w:rPr>
              <w:t>BCR的早期前列腺癌的适应症III期临床，以填补市场空白，满足临床患者的需求，</w:t>
            </w:r>
            <w:proofErr w:type="gramStart"/>
            <w:r w:rsidRPr="001303B4">
              <w:rPr>
                <w:rFonts w:ascii="宋体" w:hAnsi="宋体" w:hint="eastAsia"/>
                <w:bCs/>
                <w:iCs/>
                <w:color w:val="000000"/>
              </w:rPr>
              <w:t>提升氘恩扎</w:t>
            </w:r>
            <w:proofErr w:type="gramEnd"/>
            <w:r w:rsidRPr="001303B4">
              <w:rPr>
                <w:rFonts w:ascii="宋体" w:hAnsi="宋体" w:hint="eastAsia"/>
                <w:bCs/>
                <w:iCs/>
                <w:color w:val="000000"/>
              </w:rPr>
              <w:t>鲁</w:t>
            </w:r>
            <w:proofErr w:type="gramStart"/>
            <w:r w:rsidRPr="001303B4">
              <w:rPr>
                <w:rFonts w:ascii="宋体" w:hAnsi="宋体" w:hint="eastAsia"/>
                <w:bCs/>
                <w:iCs/>
                <w:color w:val="000000"/>
              </w:rPr>
              <w:t>胺产品</w:t>
            </w:r>
            <w:proofErr w:type="gramEnd"/>
            <w:r w:rsidRPr="001303B4">
              <w:rPr>
                <w:rFonts w:ascii="宋体" w:hAnsi="宋体" w:hint="eastAsia"/>
                <w:bCs/>
                <w:iCs/>
                <w:color w:val="000000"/>
              </w:rPr>
              <w:t>的远期销售空间。</w:t>
            </w:r>
          </w:p>
          <w:bookmarkEnd w:id="1"/>
          <w:p w14:paraId="2B395CF8" w14:textId="77777777" w:rsidR="0064582A" w:rsidRPr="0063576E" w:rsidRDefault="0064582A" w:rsidP="00D031F0">
            <w:pPr>
              <w:spacing w:line="240" w:lineRule="auto"/>
              <w:ind w:firstLine="480"/>
              <w:rPr>
                <w:rFonts w:ascii="宋体" w:hAnsi="宋体"/>
                <w:b/>
                <w:iCs/>
                <w:color w:val="000000"/>
              </w:rPr>
            </w:pPr>
            <w:r w:rsidRPr="001303B4">
              <w:rPr>
                <w:rFonts w:ascii="宋体" w:hAnsi="宋体" w:hint="eastAsia"/>
                <w:bCs/>
                <w:iCs/>
                <w:color w:val="000000"/>
              </w:rPr>
              <w:t>恩扎鲁</w:t>
            </w:r>
            <w:proofErr w:type="gramStart"/>
            <w:r w:rsidRPr="001303B4">
              <w:rPr>
                <w:rFonts w:ascii="宋体" w:hAnsi="宋体" w:hint="eastAsia"/>
                <w:bCs/>
                <w:iCs/>
                <w:color w:val="000000"/>
              </w:rPr>
              <w:t>胺已经</w:t>
            </w:r>
            <w:proofErr w:type="gramEnd"/>
            <w:r w:rsidRPr="001303B4">
              <w:rPr>
                <w:rFonts w:ascii="宋体" w:hAnsi="宋体" w:hint="eastAsia"/>
                <w:bCs/>
                <w:iCs/>
                <w:color w:val="000000"/>
              </w:rPr>
              <w:t>在国外获</w:t>
            </w:r>
            <w:proofErr w:type="gramStart"/>
            <w:r w:rsidRPr="001303B4">
              <w:rPr>
                <w:rFonts w:ascii="宋体" w:hAnsi="宋体" w:hint="eastAsia"/>
                <w:bCs/>
                <w:iCs/>
                <w:color w:val="000000"/>
              </w:rPr>
              <w:t>批治疗</w:t>
            </w:r>
            <w:proofErr w:type="gramEnd"/>
            <w:r w:rsidRPr="001303B4">
              <w:rPr>
                <w:rFonts w:ascii="宋体" w:hAnsi="宋体"/>
                <w:bCs/>
                <w:iCs/>
                <w:color w:val="000000"/>
              </w:rPr>
              <w:t>高风险生化复发（BCR）前列腺癌</w:t>
            </w:r>
            <w:r w:rsidRPr="001303B4">
              <w:rPr>
                <w:rFonts w:ascii="宋体" w:hAnsi="宋体" w:hint="eastAsia"/>
                <w:bCs/>
                <w:iCs/>
                <w:color w:val="000000"/>
              </w:rPr>
              <w:t>患者，在中国尚且没有任何新型雄激素受体抑制剂获</w:t>
            </w:r>
            <w:proofErr w:type="gramStart"/>
            <w:r w:rsidRPr="001303B4">
              <w:rPr>
                <w:rFonts w:ascii="宋体" w:hAnsi="宋体" w:hint="eastAsia"/>
                <w:bCs/>
                <w:iCs/>
                <w:color w:val="000000"/>
              </w:rPr>
              <w:t>批治疗该</w:t>
            </w:r>
            <w:proofErr w:type="gramEnd"/>
            <w:r w:rsidRPr="001303B4">
              <w:rPr>
                <w:rFonts w:ascii="宋体" w:hAnsi="宋体" w:hint="eastAsia"/>
                <w:bCs/>
                <w:iCs/>
                <w:color w:val="000000"/>
              </w:rPr>
              <w:t>阶段患者。</w:t>
            </w:r>
            <w:r w:rsidRPr="001303B4">
              <w:rPr>
                <w:rFonts w:ascii="宋体" w:hAnsi="宋体"/>
                <w:bCs/>
                <w:iCs/>
                <w:color w:val="000000"/>
              </w:rPr>
              <w:t>在中国约</w:t>
            </w:r>
            <w:r w:rsidRPr="001303B4">
              <w:rPr>
                <w:rFonts w:ascii="宋体" w:hAnsi="宋体" w:hint="eastAsia"/>
                <w:bCs/>
                <w:iCs/>
                <w:color w:val="000000"/>
              </w:rPr>
              <w:t>2/3</w:t>
            </w:r>
            <w:r w:rsidRPr="001303B4">
              <w:rPr>
                <w:rFonts w:ascii="宋体" w:hAnsi="宋体"/>
                <w:bCs/>
                <w:iCs/>
                <w:color w:val="000000"/>
              </w:rPr>
              <w:t>的初诊患者处于局限期或者局部进展期，50%</w:t>
            </w:r>
            <w:r>
              <w:rPr>
                <w:rFonts w:ascii="宋体" w:hAnsi="宋体" w:hint="eastAsia"/>
                <w:bCs/>
                <w:iCs/>
                <w:color w:val="000000"/>
              </w:rPr>
              <w:t>-</w:t>
            </w:r>
            <w:r w:rsidRPr="001303B4">
              <w:rPr>
                <w:rFonts w:ascii="宋体" w:hAnsi="宋体"/>
                <w:bCs/>
                <w:iCs/>
                <w:color w:val="000000"/>
              </w:rPr>
              <w:t>60%的初诊患者会进行根治性治疗，大约30%的初诊患者在前列腺癌初步根治性治疗后的5年内会出现生化复发</w:t>
            </w:r>
            <w:r w:rsidRPr="001303B4">
              <w:rPr>
                <w:rFonts w:ascii="宋体" w:hAnsi="宋体" w:hint="eastAsia"/>
                <w:bCs/>
                <w:iCs/>
                <w:color w:val="000000"/>
              </w:rPr>
              <w:t>。根据预测，国内高风险BCR存量患者约10万人，市场规模约80亿。目前，国内暂无高风险生化复发（BCR）的早期前列腺癌产品获批上市。</w:t>
            </w:r>
          </w:p>
          <w:p w14:paraId="24E3E40C" w14:textId="77777777" w:rsidR="0064582A" w:rsidRDefault="0064582A" w:rsidP="00D031F0">
            <w:pPr>
              <w:widowControl/>
              <w:spacing w:line="240" w:lineRule="auto"/>
              <w:ind w:firstLineChars="0" w:firstLine="0"/>
              <w:rPr>
                <w:rFonts w:ascii="宋体" w:hAnsi="宋体" w:cs="宋体"/>
                <w:b/>
                <w:bCs/>
                <w:color w:val="000000"/>
                <w:kern w:val="0"/>
              </w:rPr>
            </w:pPr>
          </w:p>
          <w:p w14:paraId="51E92B93" w14:textId="664BE95A" w:rsidR="00AB77DC" w:rsidRPr="00372685" w:rsidRDefault="00AB77DC" w:rsidP="00D031F0">
            <w:pPr>
              <w:widowControl/>
              <w:spacing w:line="240" w:lineRule="auto"/>
              <w:ind w:firstLine="482"/>
              <w:rPr>
                <w:rFonts w:ascii="宋体" w:hAnsi="宋体" w:cs="宋体"/>
                <w:b/>
                <w:bCs/>
                <w:color w:val="000000"/>
                <w:kern w:val="0"/>
              </w:rPr>
            </w:pPr>
            <w:r w:rsidRPr="00372685">
              <w:rPr>
                <w:rFonts w:ascii="宋体" w:hAnsi="宋体" w:cs="宋体"/>
                <w:b/>
                <w:bCs/>
                <w:color w:val="000000"/>
                <w:kern w:val="0"/>
              </w:rPr>
              <w:t>Q</w:t>
            </w:r>
            <w:r w:rsidR="0064582A">
              <w:rPr>
                <w:rFonts w:ascii="宋体" w:hAnsi="宋体" w:cs="宋体" w:hint="eastAsia"/>
                <w:b/>
                <w:bCs/>
                <w:color w:val="000000"/>
                <w:kern w:val="0"/>
              </w:rPr>
              <w:t>4</w:t>
            </w:r>
            <w:r w:rsidRPr="00372685">
              <w:rPr>
                <w:rFonts w:ascii="宋体" w:hAnsi="宋体" w:cs="宋体"/>
                <w:b/>
                <w:bCs/>
                <w:color w:val="000000"/>
                <w:kern w:val="0"/>
              </w:rPr>
              <w:t>：</w:t>
            </w:r>
            <w:r w:rsidR="00D360F2" w:rsidRPr="00372685">
              <w:rPr>
                <w:rFonts w:ascii="宋体" w:hAnsi="宋体" w:cs="宋体" w:hint="eastAsia"/>
                <w:b/>
                <w:bCs/>
                <w:color w:val="000000"/>
                <w:kern w:val="0"/>
              </w:rPr>
              <w:t>公司对STAT6靶点的研发布局和进展？</w:t>
            </w:r>
            <w:r w:rsidR="007E0624" w:rsidRPr="00372685">
              <w:rPr>
                <w:rFonts w:ascii="宋体" w:hAnsi="宋体" w:cs="宋体" w:hint="eastAsia"/>
                <w:b/>
                <w:bCs/>
                <w:color w:val="000000"/>
                <w:kern w:val="0"/>
              </w:rPr>
              <w:t xml:space="preserve"> </w:t>
            </w:r>
          </w:p>
          <w:p w14:paraId="5D9967B0" w14:textId="4004AF8A" w:rsidR="00D360F2" w:rsidRDefault="00D360F2" w:rsidP="00D031F0">
            <w:pPr>
              <w:widowControl/>
              <w:spacing w:line="240" w:lineRule="auto"/>
              <w:ind w:firstLine="480"/>
              <w:rPr>
                <w:rFonts w:ascii="宋体" w:hAnsi="宋体" w:cs="宋体"/>
                <w:color w:val="000000"/>
                <w:kern w:val="0"/>
              </w:rPr>
            </w:pPr>
            <w:r w:rsidRPr="00D360F2">
              <w:rPr>
                <w:rFonts w:ascii="宋体" w:hAnsi="宋体" w:cs="宋体"/>
                <w:color w:val="000000"/>
                <w:kern w:val="0"/>
              </w:rPr>
              <w:t>HC-X049是公司围绕STAT6靶点布局的创新小分子项目，采用PROTAC与小分子抑制剂</w:t>
            </w:r>
            <w:proofErr w:type="gramStart"/>
            <w:r w:rsidRPr="00D360F2">
              <w:rPr>
                <w:rFonts w:ascii="宋体" w:hAnsi="宋体" w:cs="宋体"/>
                <w:color w:val="000000"/>
                <w:kern w:val="0"/>
              </w:rPr>
              <w:t>双技术</w:t>
            </w:r>
            <w:proofErr w:type="gramEnd"/>
            <w:r w:rsidRPr="00D360F2">
              <w:rPr>
                <w:rFonts w:ascii="宋体" w:hAnsi="宋体" w:cs="宋体"/>
                <w:color w:val="000000"/>
                <w:kern w:val="0"/>
              </w:rPr>
              <w:t>路径并行推进，同步推进STAT6 PROTAC和STAT6 inhibitor两类口服小分子药物开发</w:t>
            </w:r>
            <w:r>
              <w:rPr>
                <w:rFonts w:ascii="宋体" w:hAnsi="宋体" w:cs="宋体" w:hint="eastAsia"/>
                <w:color w:val="000000"/>
                <w:kern w:val="0"/>
              </w:rPr>
              <w:t>，</w:t>
            </w:r>
            <w:r w:rsidRPr="00D360F2">
              <w:rPr>
                <w:rFonts w:ascii="宋体" w:hAnsi="宋体" w:cs="宋体"/>
                <w:color w:val="000000"/>
                <w:kern w:val="0"/>
              </w:rPr>
              <w:t>拟用于多种Th2炎症驱动疾病的治疗，目前处于临床前研究阶段。</w:t>
            </w:r>
          </w:p>
          <w:p w14:paraId="65F7EE73" w14:textId="77777777" w:rsidR="00D360F2" w:rsidRDefault="00D360F2" w:rsidP="00D031F0">
            <w:pPr>
              <w:widowControl/>
              <w:spacing w:line="240" w:lineRule="auto"/>
              <w:ind w:firstLine="480"/>
              <w:rPr>
                <w:rFonts w:ascii="宋体" w:hAnsi="宋体" w:cs="宋体"/>
                <w:color w:val="000000"/>
                <w:kern w:val="0"/>
              </w:rPr>
            </w:pPr>
            <w:r w:rsidRPr="00D360F2">
              <w:rPr>
                <w:rFonts w:ascii="宋体" w:hAnsi="宋体" w:cs="宋体"/>
                <w:color w:val="000000"/>
                <w:kern w:val="0"/>
              </w:rPr>
              <w:lastRenderedPageBreak/>
              <w:t>STAT6是IL-4和IL-13信号通路的关键转录因子</w:t>
            </w:r>
            <w:r>
              <w:rPr>
                <w:rFonts w:ascii="宋体" w:hAnsi="宋体" w:cs="宋体" w:hint="eastAsia"/>
                <w:color w:val="000000"/>
                <w:kern w:val="0"/>
              </w:rPr>
              <w:t>，</w:t>
            </w:r>
            <w:r w:rsidRPr="00D360F2">
              <w:rPr>
                <w:rFonts w:ascii="宋体" w:hAnsi="宋体" w:cs="宋体"/>
                <w:color w:val="000000"/>
                <w:kern w:val="0"/>
              </w:rPr>
              <w:t>在 Th2细胞分化、</w:t>
            </w:r>
            <w:proofErr w:type="spellStart"/>
            <w:r w:rsidRPr="00D360F2">
              <w:rPr>
                <w:rFonts w:ascii="宋体" w:hAnsi="宋体" w:cs="宋体"/>
                <w:color w:val="000000"/>
                <w:kern w:val="0"/>
              </w:rPr>
              <w:t>IgE</w:t>
            </w:r>
            <w:proofErr w:type="spellEnd"/>
            <w:r w:rsidRPr="00D360F2">
              <w:rPr>
                <w:rFonts w:ascii="宋体" w:hAnsi="宋体" w:cs="宋体"/>
                <w:color w:val="000000"/>
                <w:kern w:val="0"/>
              </w:rPr>
              <w:t>类型转换重组、嗜酸性粒细胞相关炎症反应、上皮屏障功能异常及黏液高分泌等病理过程中发挥核心调控作用，是Th2炎症反应的关键下游信号节点。</w:t>
            </w:r>
          </w:p>
          <w:p w14:paraId="6ECEB113" w14:textId="612BBCD4" w:rsidR="00A8679F" w:rsidRDefault="00D360F2" w:rsidP="00D031F0">
            <w:pPr>
              <w:widowControl/>
              <w:spacing w:line="240" w:lineRule="auto"/>
              <w:ind w:firstLine="480"/>
              <w:rPr>
                <w:rFonts w:ascii="宋体" w:hAnsi="宋体" w:cs="宋体"/>
                <w:color w:val="000000"/>
                <w:kern w:val="0"/>
              </w:rPr>
            </w:pPr>
            <w:r w:rsidRPr="00D360F2">
              <w:rPr>
                <w:rFonts w:ascii="宋体" w:hAnsi="宋体" w:cs="宋体"/>
                <w:color w:val="000000"/>
                <w:kern w:val="0"/>
              </w:rPr>
              <w:t>异常激活的IL-4/IL-13–STAT6 通路与多种Th2炎症驱动疾病密切相关，包括特应性皮炎、哮喘、慢性阻塞性肺病、嗜酸性食管炎、慢性鼻窦炎伴鼻息肉等。目前，针对IL-4/IL-13上游通路的生物制剂已在相关疾病中显示出明确临床获益，充分验证了该通路的成药价值，但现有治疗仍普遍存在注射给药依从性受限、部分患者应答不足或应答</w:t>
            </w:r>
            <w:proofErr w:type="gramStart"/>
            <w:r w:rsidRPr="00D360F2">
              <w:rPr>
                <w:rFonts w:ascii="宋体" w:hAnsi="宋体" w:cs="宋体"/>
                <w:color w:val="000000"/>
                <w:kern w:val="0"/>
              </w:rPr>
              <w:t>不</w:t>
            </w:r>
            <w:proofErr w:type="gramEnd"/>
            <w:r w:rsidRPr="00D360F2">
              <w:rPr>
                <w:rFonts w:ascii="宋体" w:hAnsi="宋体" w:cs="宋体"/>
                <w:color w:val="000000"/>
                <w:kern w:val="0"/>
              </w:rPr>
              <w:t>持久、长期治疗成本较高等未满足临床需求，临床上仍亟需兼具高效性、便利性和可及性的口服创新疗法。</w:t>
            </w:r>
          </w:p>
          <w:p w14:paraId="1B787C94" w14:textId="5C0BD8B0" w:rsidR="00D360F2" w:rsidRDefault="00D360F2" w:rsidP="00D031F0">
            <w:pPr>
              <w:widowControl/>
              <w:spacing w:line="240" w:lineRule="auto"/>
              <w:ind w:firstLine="480"/>
              <w:rPr>
                <w:rFonts w:ascii="宋体" w:hAnsi="宋体" w:cs="宋体"/>
                <w:color w:val="000000"/>
                <w:kern w:val="0"/>
              </w:rPr>
            </w:pPr>
            <w:r w:rsidRPr="00D360F2">
              <w:rPr>
                <w:rFonts w:ascii="宋体" w:hAnsi="宋体" w:cs="宋体"/>
                <w:color w:val="000000"/>
                <w:kern w:val="0"/>
              </w:rPr>
              <w:t>在体内药效研究中， 相关候选化合物在较低给药剂量下即表现出与度普利尤单</w:t>
            </w:r>
            <w:proofErr w:type="gramStart"/>
            <w:r w:rsidRPr="00D360F2">
              <w:rPr>
                <w:rFonts w:ascii="宋体" w:hAnsi="宋体" w:cs="宋体"/>
                <w:color w:val="000000"/>
                <w:kern w:val="0"/>
              </w:rPr>
              <w:t>抗相当</w:t>
            </w:r>
            <w:proofErr w:type="gramEnd"/>
            <w:r w:rsidRPr="00D360F2">
              <w:rPr>
                <w:rFonts w:ascii="宋体" w:hAnsi="宋体" w:cs="宋体"/>
                <w:color w:val="000000"/>
                <w:kern w:val="0"/>
              </w:rPr>
              <w:t>的药效水平，显示出良好的体内活性和转化潜力。与此同时，项目化合物初步药代动力学性质良好，并在早期安全性评价中表现出较好的耐受性，具备进一步优化和开发基础，有望成为该领域具有竞争力的 Best-in-Class（BIC）口服创新药物。</w:t>
            </w:r>
          </w:p>
          <w:p w14:paraId="5D814B9D" w14:textId="7C79BD38" w:rsidR="00DB3CBC" w:rsidRDefault="00DB3CBC" w:rsidP="00D031F0">
            <w:pPr>
              <w:widowControl/>
              <w:spacing w:line="240" w:lineRule="auto"/>
              <w:ind w:firstLine="480"/>
              <w:rPr>
                <w:rFonts w:ascii="宋体" w:hAnsi="宋体" w:cs="宋体"/>
                <w:color w:val="000000"/>
                <w:kern w:val="0"/>
              </w:rPr>
            </w:pPr>
            <w:r>
              <w:rPr>
                <w:rFonts w:ascii="宋体" w:hAnsi="宋体" w:cs="宋体" w:hint="eastAsia"/>
                <w:color w:val="000000"/>
                <w:kern w:val="0"/>
              </w:rPr>
              <w:t>目前两款药物已到PCC阶段，后续将申报IND。</w:t>
            </w:r>
          </w:p>
          <w:p w14:paraId="6ED6EFF8" w14:textId="77777777" w:rsidR="00D360F2" w:rsidRDefault="00D360F2" w:rsidP="00D031F0">
            <w:pPr>
              <w:widowControl/>
              <w:spacing w:line="240" w:lineRule="auto"/>
              <w:ind w:firstLine="480"/>
              <w:rPr>
                <w:rFonts w:ascii="宋体" w:hAnsi="宋体" w:cs="宋体"/>
                <w:color w:val="000000"/>
                <w:kern w:val="0"/>
              </w:rPr>
            </w:pPr>
          </w:p>
          <w:p w14:paraId="79D54C3C" w14:textId="103AE6C3" w:rsidR="00D360F2" w:rsidRPr="00372685" w:rsidRDefault="00DB3CBC" w:rsidP="00D031F0">
            <w:pPr>
              <w:widowControl/>
              <w:spacing w:line="240" w:lineRule="auto"/>
              <w:ind w:firstLine="482"/>
              <w:rPr>
                <w:rFonts w:ascii="宋体" w:hAnsi="宋体" w:cs="宋体"/>
                <w:b/>
                <w:bCs/>
                <w:color w:val="000000"/>
                <w:kern w:val="0"/>
              </w:rPr>
            </w:pPr>
            <w:r w:rsidRPr="00372685">
              <w:rPr>
                <w:rFonts w:ascii="宋体" w:hAnsi="宋体" w:cs="宋体" w:hint="eastAsia"/>
                <w:b/>
                <w:bCs/>
                <w:color w:val="000000"/>
                <w:kern w:val="0"/>
              </w:rPr>
              <w:t>Q</w:t>
            </w:r>
            <w:r w:rsidR="0064582A">
              <w:rPr>
                <w:rFonts w:ascii="宋体" w:hAnsi="宋体" w:cs="宋体" w:hint="eastAsia"/>
                <w:b/>
                <w:bCs/>
                <w:color w:val="000000"/>
                <w:kern w:val="0"/>
              </w:rPr>
              <w:t>5</w:t>
            </w:r>
            <w:r w:rsidRPr="00372685">
              <w:rPr>
                <w:rFonts w:ascii="宋体" w:hAnsi="宋体" w:cs="宋体"/>
                <w:b/>
                <w:bCs/>
                <w:color w:val="000000"/>
                <w:kern w:val="0"/>
              </w:rPr>
              <w:t>：</w:t>
            </w:r>
            <w:r w:rsidRPr="00372685">
              <w:rPr>
                <w:rFonts w:ascii="宋体" w:hAnsi="宋体" w:cs="宋体" w:hint="eastAsia"/>
                <w:b/>
                <w:bCs/>
                <w:color w:val="000000"/>
                <w:kern w:val="0"/>
              </w:rPr>
              <w:t>公司VAV1分子胶降解剂HP570未来开发方向？</w:t>
            </w:r>
          </w:p>
          <w:p w14:paraId="08EFC56C" w14:textId="77777777" w:rsidR="00DB3CBC" w:rsidRDefault="00DB3CBC" w:rsidP="00D031F0">
            <w:pPr>
              <w:widowControl/>
              <w:spacing w:line="240" w:lineRule="auto"/>
              <w:ind w:firstLine="480"/>
              <w:rPr>
                <w:rFonts w:ascii="宋体" w:hAnsi="宋体" w:cs="宋体"/>
                <w:color w:val="000000"/>
                <w:kern w:val="0"/>
              </w:rPr>
            </w:pPr>
            <w:r w:rsidRPr="00EC1C33">
              <w:rPr>
                <w:rFonts w:ascii="宋体" w:hAnsi="宋体" w:cs="宋体"/>
                <w:color w:val="000000"/>
                <w:kern w:val="0"/>
              </w:rPr>
              <w:t>HP570是公司自主研发的一种靶向VAV1的口服分子胶降解剂，目前处于临床前开发阶段。VAV1主要在造血系统细胞中表达，是T细胞受体及B细胞受体信号通路中的关键调控蛋白，在T细胞和B细胞的发育、活化及免疫应答过程中发挥重要作用。</w:t>
            </w:r>
          </w:p>
          <w:p w14:paraId="041F8AE9" w14:textId="13A907A8" w:rsidR="00DB3CBC" w:rsidRDefault="00DB3CBC" w:rsidP="00D031F0">
            <w:pPr>
              <w:widowControl/>
              <w:spacing w:line="240" w:lineRule="auto"/>
              <w:ind w:firstLine="480"/>
              <w:rPr>
                <w:rFonts w:ascii="宋体" w:hAnsi="宋体" w:cs="宋体"/>
                <w:color w:val="000000"/>
                <w:kern w:val="0"/>
              </w:rPr>
            </w:pPr>
            <w:r w:rsidRPr="00EC1C33">
              <w:rPr>
                <w:rFonts w:ascii="宋体" w:hAnsi="宋体" w:cs="宋体"/>
                <w:color w:val="000000"/>
                <w:kern w:val="0"/>
              </w:rPr>
              <w:t>动物药效研究表明，HP570在实验性自身免疫性脑脊髓炎、T细胞驱动性炎症性肠病及胶原诱导性关节炎等多个免疫炎症模型中均表现出良好的疾病控制作用，并在较低药物暴露水平下实现与对照分子相当或更优的药效，显示出较好的体内药效优势。</w:t>
            </w:r>
          </w:p>
          <w:p w14:paraId="5A183947" w14:textId="77777777" w:rsidR="00A72CC7" w:rsidRDefault="00A72CC7" w:rsidP="00D031F0">
            <w:pPr>
              <w:widowControl/>
              <w:spacing w:line="240" w:lineRule="auto"/>
              <w:ind w:firstLine="480"/>
              <w:rPr>
                <w:rFonts w:ascii="宋体" w:hAnsi="宋体" w:cs="宋体"/>
                <w:color w:val="000000"/>
                <w:kern w:val="0"/>
              </w:rPr>
            </w:pPr>
            <w:r w:rsidRPr="00EC1C33">
              <w:rPr>
                <w:rFonts w:ascii="宋体" w:hAnsi="宋体" w:cs="宋体"/>
                <w:color w:val="000000"/>
                <w:kern w:val="0"/>
              </w:rPr>
              <w:t>HP570作用机制明确，临床前药效及安全性研究结果积极，具备进一步开发为免疫</w:t>
            </w:r>
            <w:proofErr w:type="gramStart"/>
            <w:r w:rsidRPr="00EC1C33">
              <w:rPr>
                <w:rFonts w:ascii="宋体" w:hAnsi="宋体" w:cs="宋体"/>
                <w:color w:val="000000"/>
                <w:kern w:val="0"/>
              </w:rPr>
              <w:t>介导及</w:t>
            </w:r>
            <w:proofErr w:type="gramEnd"/>
            <w:r w:rsidRPr="00EC1C33">
              <w:rPr>
                <w:rFonts w:ascii="宋体" w:hAnsi="宋体" w:cs="宋体"/>
                <w:color w:val="000000"/>
                <w:kern w:val="0"/>
              </w:rPr>
              <w:t>慢性炎症性疾病创新治疗药物的潜力。截至</w:t>
            </w:r>
            <w:r>
              <w:rPr>
                <w:rFonts w:ascii="宋体" w:hAnsi="宋体" w:cs="宋体" w:hint="eastAsia"/>
                <w:color w:val="000000"/>
                <w:kern w:val="0"/>
              </w:rPr>
              <w:t>2026年4月</w:t>
            </w:r>
            <w:r w:rsidRPr="00EC1C33">
              <w:rPr>
                <w:rFonts w:ascii="宋体" w:hAnsi="宋体" w:cs="宋体"/>
                <w:color w:val="000000"/>
                <w:kern w:val="0"/>
              </w:rPr>
              <w:t>，国内外尚无VAV1同靶点</w:t>
            </w:r>
            <w:proofErr w:type="gramStart"/>
            <w:r w:rsidRPr="00EC1C33">
              <w:rPr>
                <w:rFonts w:ascii="宋体" w:hAnsi="宋体" w:cs="宋体"/>
                <w:color w:val="000000"/>
                <w:kern w:val="0"/>
              </w:rPr>
              <w:t>药物获</w:t>
            </w:r>
            <w:proofErr w:type="gramEnd"/>
            <w:r w:rsidRPr="00EC1C33">
              <w:rPr>
                <w:rFonts w:ascii="宋体" w:hAnsi="宋体" w:cs="宋体"/>
                <w:color w:val="000000"/>
                <w:kern w:val="0"/>
              </w:rPr>
              <w:t>批上市。HP570相关IND-enabling研究正在推进中，公司计划积极推动其后续开发进程。</w:t>
            </w:r>
          </w:p>
          <w:p w14:paraId="6B3CA3C4" w14:textId="77777777" w:rsidR="00D04639" w:rsidRPr="00A72CC7" w:rsidRDefault="00D04639" w:rsidP="00D031F0">
            <w:pPr>
              <w:widowControl/>
              <w:spacing w:line="240" w:lineRule="auto"/>
              <w:ind w:firstLineChars="0" w:firstLine="0"/>
              <w:rPr>
                <w:rFonts w:ascii="宋体" w:hAnsi="宋体" w:cs="宋体"/>
                <w:color w:val="000000"/>
                <w:kern w:val="0"/>
              </w:rPr>
            </w:pPr>
          </w:p>
          <w:p w14:paraId="2AFE7074" w14:textId="09CF3FEA" w:rsidR="00A72CC7" w:rsidRPr="00372685" w:rsidRDefault="00D04639" w:rsidP="00D031F0">
            <w:pPr>
              <w:widowControl/>
              <w:spacing w:line="240" w:lineRule="auto"/>
              <w:ind w:firstLine="482"/>
              <w:rPr>
                <w:rFonts w:ascii="宋体" w:hAnsi="宋体" w:cs="宋体"/>
                <w:b/>
                <w:bCs/>
                <w:color w:val="000000"/>
                <w:kern w:val="0"/>
              </w:rPr>
            </w:pPr>
            <w:r w:rsidRPr="00372685">
              <w:rPr>
                <w:rFonts w:ascii="宋体" w:hAnsi="宋体" w:cs="宋体" w:hint="eastAsia"/>
                <w:b/>
                <w:bCs/>
                <w:color w:val="000000"/>
                <w:kern w:val="0"/>
              </w:rPr>
              <w:t>Q</w:t>
            </w:r>
            <w:r w:rsidR="0064582A">
              <w:rPr>
                <w:rFonts w:ascii="宋体" w:hAnsi="宋体" w:cs="宋体" w:hint="eastAsia"/>
                <w:b/>
                <w:bCs/>
                <w:color w:val="000000"/>
                <w:kern w:val="0"/>
              </w:rPr>
              <w:t>6</w:t>
            </w:r>
            <w:r w:rsidRPr="00372685">
              <w:rPr>
                <w:rFonts w:ascii="宋体" w:hAnsi="宋体" w:cs="宋体" w:hint="eastAsia"/>
                <w:b/>
                <w:bCs/>
                <w:color w:val="000000"/>
                <w:kern w:val="0"/>
              </w:rPr>
              <w:t xml:space="preserve">: </w:t>
            </w:r>
            <w:proofErr w:type="gramStart"/>
            <w:r w:rsidRPr="00372685">
              <w:rPr>
                <w:rFonts w:ascii="宋体" w:hAnsi="宋体" w:cs="宋体" w:hint="eastAsia"/>
                <w:b/>
                <w:bCs/>
                <w:color w:val="000000"/>
                <w:kern w:val="0"/>
              </w:rPr>
              <w:t>氘代药物</w:t>
            </w:r>
            <w:proofErr w:type="gramEnd"/>
            <w:r w:rsidRPr="00372685">
              <w:rPr>
                <w:rFonts w:ascii="宋体" w:hAnsi="宋体" w:cs="宋体" w:hint="eastAsia"/>
                <w:b/>
                <w:bCs/>
                <w:color w:val="000000"/>
                <w:kern w:val="0"/>
              </w:rPr>
              <w:t>的优势?</w:t>
            </w:r>
          </w:p>
          <w:p w14:paraId="4DB14A7C" w14:textId="6404F571" w:rsidR="00D04639" w:rsidRPr="006353A7" w:rsidRDefault="00D04639" w:rsidP="00D031F0">
            <w:pPr>
              <w:widowControl/>
              <w:spacing w:line="240" w:lineRule="auto"/>
              <w:ind w:firstLine="480"/>
              <w:rPr>
                <w:rFonts w:ascii="宋体" w:hAnsi="宋体" w:cs="宋体"/>
                <w:color w:val="000000"/>
                <w:kern w:val="0"/>
              </w:rPr>
            </w:pPr>
            <w:r w:rsidRPr="006353A7">
              <w:rPr>
                <w:rFonts w:ascii="宋体" w:hAnsi="宋体" w:cs="宋体"/>
                <w:color w:val="000000"/>
                <w:kern w:val="0"/>
              </w:rPr>
              <w:t>C–D</w:t>
            </w:r>
            <w:r w:rsidRPr="006353A7">
              <w:rPr>
                <w:rFonts w:ascii="宋体" w:hAnsi="宋体" w:cs="宋体" w:hint="eastAsia"/>
                <w:color w:val="000000"/>
                <w:kern w:val="0"/>
              </w:rPr>
              <w:t>相比</w:t>
            </w:r>
            <w:r w:rsidRPr="006353A7">
              <w:rPr>
                <w:rFonts w:ascii="宋体" w:hAnsi="宋体" w:cs="宋体"/>
                <w:color w:val="000000"/>
                <w:kern w:val="0"/>
              </w:rPr>
              <w:t>C–H键，键解离能更高，更难断裂。C–D键更牢固，</w:t>
            </w:r>
            <w:proofErr w:type="gramStart"/>
            <w:r w:rsidRPr="006353A7">
              <w:rPr>
                <w:rFonts w:ascii="宋体" w:hAnsi="宋体" w:cs="宋体"/>
                <w:color w:val="000000"/>
                <w:kern w:val="0"/>
              </w:rPr>
              <w:t>难氧化</w:t>
            </w:r>
            <w:proofErr w:type="gramEnd"/>
            <w:r w:rsidRPr="006353A7">
              <w:rPr>
                <w:rFonts w:ascii="宋体" w:hAnsi="宋体" w:cs="宋体"/>
                <w:color w:val="000000"/>
                <w:kern w:val="0"/>
              </w:rPr>
              <w:t>断裂，代谢速率显著下降</w:t>
            </w:r>
            <w:r w:rsidRPr="006353A7">
              <w:rPr>
                <w:rFonts w:ascii="宋体" w:hAnsi="宋体" w:cs="宋体" w:hint="eastAsia"/>
                <w:color w:val="000000"/>
                <w:kern w:val="0"/>
              </w:rPr>
              <w:t>，</w:t>
            </w:r>
            <w:r w:rsidRPr="006353A7">
              <w:rPr>
                <w:rFonts w:ascii="宋体" w:hAnsi="宋体" w:cs="宋体"/>
                <w:color w:val="000000"/>
                <w:kern w:val="0"/>
              </w:rPr>
              <w:t>代谢变慢</w:t>
            </w:r>
            <w:r w:rsidRPr="006353A7">
              <w:rPr>
                <w:rFonts w:ascii="宋体" w:hAnsi="宋体" w:cs="宋体" w:hint="eastAsia"/>
                <w:color w:val="000000"/>
                <w:kern w:val="0"/>
              </w:rPr>
              <w:t>，</w:t>
            </w:r>
            <w:r w:rsidRPr="006353A7">
              <w:rPr>
                <w:rFonts w:ascii="宋体" w:hAnsi="宋体" w:cs="宋体"/>
                <w:color w:val="000000"/>
                <w:kern w:val="0"/>
              </w:rPr>
              <w:t>清除率降低</w:t>
            </w:r>
            <w:r w:rsidRPr="006353A7">
              <w:rPr>
                <w:rFonts w:ascii="宋体" w:hAnsi="宋体" w:cs="宋体" w:hint="eastAsia"/>
                <w:color w:val="000000"/>
                <w:kern w:val="0"/>
              </w:rPr>
              <w:t>，</w:t>
            </w:r>
            <w:r w:rsidRPr="006353A7">
              <w:rPr>
                <w:rFonts w:ascii="宋体" w:hAnsi="宋体" w:cs="宋体"/>
                <w:color w:val="000000"/>
                <w:kern w:val="0"/>
              </w:rPr>
              <w:t>半衰期延长</w:t>
            </w:r>
            <w:r w:rsidRPr="006353A7">
              <w:rPr>
                <w:rFonts w:ascii="宋体" w:hAnsi="宋体" w:cs="宋体" w:hint="eastAsia"/>
                <w:color w:val="000000"/>
                <w:kern w:val="0"/>
              </w:rPr>
              <w:t>，增加生物利用度和系统暴露量。</w:t>
            </w:r>
          </w:p>
          <w:p w14:paraId="0BF69929" w14:textId="2D48E53D" w:rsidR="00D04639" w:rsidRPr="006353A7" w:rsidRDefault="00D04639" w:rsidP="00D031F0">
            <w:pPr>
              <w:widowControl/>
              <w:spacing w:line="240" w:lineRule="auto"/>
              <w:ind w:firstLine="480"/>
              <w:rPr>
                <w:rFonts w:ascii="宋体" w:hAnsi="宋体" w:cs="宋体"/>
                <w:color w:val="000000"/>
                <w:kern w:val="0"/>
              </w:rPr>
            </w:pPr>
            <w:r w:rsidRPr="006353A7">
              <w:rPr>
                <w:rFonts w:ascii="宋体" w:hAnsi="宋体" w:cs="宋体" w:hint="eastAsia"/>
                <w:color w:val="000000"/>
                <w:kern w:val="0"/>
              </w:rPr>
              <w:t>带来的</w:t>
            </w:r>
            <w:r w:rsidRPr="006353A7">
              <w:rPr>
                <w:rFonts w:ascii="宋体" w:hAnsi="宋体" w:cs="宋体"/>
                <w:color w:val="000000"/>
                <w:kern w:val="0"/>
              </w:rPr>
              <w:t>临床收益：给药频次降低</w:t>
            </w:r>
            <w:r w:rsidRPr="006353A7">
              <w:rPr>
                <w:rFonts w:ascii="宋体" w:hAnsi="宋体" w:cs="宋体" w:hint="eastAsia"/>
                <w:color w:val="000000"/>
                <w:kern w:val="0"/>
              </w:rPr>
              <w:t>，</w:t>
            </w:r>
            <w:r w:rsidRPr="006353A7">
              <w:rPr>
                <w:rFonts w:ascii="宋体" w:hAnsi="宋体" w:cs="宋体"/>
                <w:color w:val="000000"/>
                <w:kern w:val="0"/>
              </w:rPr>
              <w:t>稳态血药浓度更平稳、总暴露量提升</w:t>
            </w:r>
            <w:r w:rsidRPr="006353A7">
              <w:rPr>
                <w:rFonts w:ascii="宋体" w:hAnsi="宋体" w:cs="宋体" w:hint="eastAsia"/>
                <w:color w:val="000000"/>
                <w:kern w:val="0"/>
              </w:rPr>
              <w:t>。</w:t>
            </w:r>
          </w:p>
          <w:p w14:paraId="32DDB361" w14:textId="03620F46" w:rsidR="00D04639" w:rsidRDefault="00D04639" w:rsidP="00D031F0">
            <w:pPr>
              <w:widowControl/>
              <w:spacing w:line="240" w:lineRule="auto"/>
              <w:ind w:firstLine="480"/>
              <w:rPr>
                <w:rFonts w:ascii="宋体" w:hAnsi="宋体" w:cs="宋体"/>
                <w:color w:val="000000"/>
                <w:kern w:val="0"/>
              </w:rPr>
            </w:pPr>
            <w:r w:rsidRPr="006353A7">
              <w:rPr>
                <w:rFonts w:ascii="宋体" w:hAnsi="宋体" w:cs="宋体"/>
                <w:color w:val="000000"/>
                <w:kern w:val="0"/>
              </w:rPr>
              <w:t>很多药物的毒性来自氧化后的次级代谢物</w:t>
            </w:r>
            <w:r w:rsidRPr="006353A7">
              <w:rPr>
                <w:rFonts w:ascii="宋体" w:hAnsi="宋体" w:cs="宋体" w:hint="eastAsia"/>
                <w:color w:val="000000"/>
                <w:kern w:val="0"/>
              </w:rPr>
              <w:t>，</w:t>
            </w:r>
            <w:r w:rsidRPr="006353A7">
              <w:rPr>
                <w:rFonts w:ascii="宋体" w:hAnsi="宋体" w:cs="宋体"/>
                <w:color w:val="000000"/>
                <w:kern w:val="0"/>
              </w:rPr>
              <w:t xml:space="preserve">母体分子 </w:t>
            </w:r>
            <w:r w:rsidRPr="006353A7">
              <w:rPr>
                <w:rFonts w:ascii="宋体" w:hAnsi="宋体" w:cs="宋体"/>
                <w:color w:val="000000"/>
                <w:kern w:val="0"/>
              </w:rPr>
              <w:lastRenderedPageBreak/>
              <w:t>C–H 被氧化生成活泼醛、</w:t>
            </w:r>
            <w:proofErr w:type="gramStart"/>
            <w:r w:rsidRPr="006353A7">
              <w:rPr>
                <w:rFonts w:ascii="宋体" w:hAnsi="宋体" w:cs="宋体"/>
                <w:color w:val="000000"/>
                <w:kern w:val="0"/>
              </w:rPr>
              <w:t>亲电中间体</w:t>
            </w:r>
            <w:proofErr w:type="gramEnd"/>
            <w:r w:rsidRPr="006353A7">
              <w:rPr>
                <w:rFonts w:ascii="宋体" w:hAnsi="宋体" w:cs="宋体"/>
                <w:color w:val="000000"/>
                <w:kern w:val="0"/>
              </w:rPr>
              <w:t>；中间体共价结合蛋白/ DNA，引发毒性、过敏</w:t>
            </w:r>
            <w:r w:rsidR="00DA0709" w:rsidRPr="006353A7">
              <w:rPr>
                <w:rFonts w:ascii="宋体" w:hAnsi="宋体" w:cs="宋体" w:hint="eastAsia"/>
                <w:color w:val="000000"/>
                <w:kern w:val="0"/>
              </w:rPr>
              <w:t>等</w:t>
            </w:r>
            <w:r w:rsidRPr="006353A7">
              <w:rPr>
                <w:rFonts w:ascii="宋体" w:hAnsi="宋体" w:cs="宋体"/>
                <w:color w:val="000000"/>
                <w:kern w:val="0"/>
              </w:rPr>
              <w:t>风险。</w:t>
            </w:r>
            <w:proofErr w:type="gramStart"/>
            <w:r w:rsidRPr="006353A7">
              <w:rPr>
                <w:rFonts w:ascii="宋体" w:hAnsi="宋体" w:cs="宋体"/>
                <w:color w:val="000000"/>
                <w:kern w:val="0"/>
              </w:rPr>
              <w:t>氘代阻断</w:t>
            </w:r>
            <w:proofErr w:type="gramEnd"/>
            <w:r w:rsidRPr="006353A7">
              <w:rPr>
                <w:rFonts w:ascii="宋体" w:hAnsi="宋体" w:cs="宋体"/>
                <w:color w:val="000000"/>
                <w:kern w:val="0"/>
              </w:rPr>
              <w:t>关键位点 C–H 氧化，大幅减少毒性代谢物，</w:t>
            </w:r>
            <w:r w:rsidR="00DA0709" w:rsidRPr="006353A7">
              <w:rPr>
                <w:rFonts w:ascii="宋体" w:hAnsi="宋体" w:cs="宋体" w:hint="eastAsia"/>
                <w:color w:val="000000"/>
                <w:kern w:val="0"/>
              </w:rPr>
              <w:t>降低药物引起的毒副作用，</w:t>
            </w:r>
            <w:r w:rsidRPr="006353A7">
              <w:rPr>
                <w:rFonts w:ascii="宋体" w:hAnsi="宋体" w:cs="宋体"/>
                <w:color w:val="000000"/>
                <w:kern w:val="0"/>
              </w:rPr>
              <w:t>拓宽治疗窗口。</w:t>
            </w:r>
          </w:p>
          <w:p w14:paraId="742220E1" w14:textId="77777777" w:rsidR="00372685" w:rsidRDefault="00372685" w:rsidP="00D031F0">
            <w:pPr>
              <w:widowControl/>
              <w:spacing w:line="240" w:lineRule="auto"/>
              <w:ind w:firstLine="480"/>
              <w:rPr>
                <w:rFonts w:ascii="宋体" w:hAnsi="宋体" w:cs="宋体"/>
                <w:color w:val="000000"/>
                <w:kern w:val="0"/>
              </w:rPr>
            </w:pPr>
          </w:p>
          <w:p w14:paraId="2A7F4D25" w14:textId="4B53D49F" w:rsidR="00372685" w:rsidRPr="00372685" w:rsidRDefault="00372685" w:rsidP="00D031F0">
            <w:pPr>
              <w:widowControl/>
              <w:spacing w:line="240" w:lineRule="auto"/>
              <w:ind w:firstLine="482"/>
              <w:rPr>
                <w:rFonts w:ascii="宋体" w:hAnsi="宋体" w:cs="宋体"/>
                <w:b/>
                <w:bCs/>
                <w:color w:val="000000"/>
                <w:kern w:val="0"/>
              </w:rPr>
            </w:pPr>
            <w:r w:rsidRPr="00372685">
              <w:rPr>
                <w:rFonts w:ascii="宋体" w:hAnsi="宋体" w:cs="宋体"/>
                <w:b/>
                <w:bCs/>
                <w:color w:val="000000"/>
                <w:kern w:val="0"/>
              </w:rPr>
              <w:t>Q</w:t>
            </w:r>
            <w:r w:rsidR="0064582A">
              <w:rPr>
                <w:rFonts w:ascii="宋体" w:hAnsi="宋体" w:cs="宋体" w:hint="eastAsia"/>
                <w:b/>
                <w:bCs/>
                <w:color w:val="000000"/>
                <w:kern w:val="0"/>
              </w:rPr>
              <w:t>7</w:t>
            </w:r>
            <w:r w:rsidRPr="00372685">
              <w:rPr>
                <w:rFonts w:ascii="宋体" w:hAnsi="宋体" w:cs="宋体"/>
                <w:b/>
                <w:bCs/>
                <w:color w:val="000000"/>
                <w:kern w:val="0"/>
              </w:rPr>
              <w:t>:</w:t>
            </w:r>
            <w:r w:rsidR="0063576E">
              <w:rPr>
                <w:rFonts w:ascii="宋体" w:hAnsi="宋体" w:cs="宋体" w:hint="eastAsia"/>
                <w:b/>
                <w:bCs/>
                <w:color w:val="000000"/>
                <w:kern w:val="0"/>
              </w:rPr>
              <w:t xml:space="preserve"> </w:t>
            </w:r>
            <w:proofErr w:type="gramStart"/>
            <w:r w:rsidRPr="00372685">
              <w:rPr>
                <w:rFonts w:ascii="宋体" w:hAnsi="宋体" w:cs="宋体"/>
                <w:b/>
                <w:bCs/>
                <w:color w:val="000000"/>
                <w:kern w:val="0"/>
              </w:rPr>
              <w:t>氘恩扎</w:t>
            </w:r>
            <w:proofErr w:type="gramEnd"/>
            <w:r w:rsidRPr="00372685">
              <w:rPr>
                <w:rFonts w:ascii="宋体" w:hAnsi="宋体" w:cs="宋体"/>
                <w:b/>
                <w:bCs/>
                <w:color w:val="000000"/>
                <w:kern w:val="0"/>
              </w:rPr>
              <w:t>鲁</w:t>
            </w:r>
            <w:proofErr w:type="gramStart"/>
            <w:r w:rsidRPr="00372685">
              <w:rPr>
                <w:rFonts w:ascii="宋体" w:hAnsi="宋体" w:cs="宋体"/>
                <w:b/>
                <w:bCs/>
                <w:color w:val="000000"/>
                <w:kern w:val="0"/>
              </w:rPr>
              <w:t>胺同竞品比较</w:t>
            </w:r>
            <w:proofErr w:type="gramEnd"/>
            <w:r w:rsidRPr="00372685">
              <w:rPr>
                <w:rFonts w:ascii="宋体" w:hAnsi="宋体" w:cs="宋体"/>
                <w:b/>
                <w:bCs/>
                <w:color w:val="000000"/>
                <w:kern w:val="0"/>
              </w:rPr>
              <w:t>的差异化优势？</w:t>
            </w:r>
          </w:p>
          <w:p w14:paraId="54F50487" w14:textId="77777777" w:rsidR="00372685" w:rsidRDefault="00372685" w:rsidP="00D031F0">
            <w:pPr>
              <w:widowControl/>
              <w:spacing w:line="240" w:lineRule="auto"/>
              <w:ind w:firstLine="480"/>
              <w:rPr>
                <w:rFonts w:ascii="宋体" w:hAnsi="宋体" w:cs="宋体"/>
                <w:color w:val="000000"/>
                <w:kern w:val="0"/>
              </w:rPr>
            </w:pPr>
            <w:proofErr w:type="gramStart"/>
            <w:r w:rsidRPr="00372685">
              <w:rPr>
                <w:rFonts w:ascii="宋体" w:hAnsi="宋体" w:cs="宋体"/>
                <w:color w:val="000000"/>
                <w:kern w:val="0"/>
              </w:rPr>
              <w:t>氘恩扎</w:t>
            </w:r>
            <w:proofErr w:type="gramEnd"/>
            <w:r w:rsidRPr="00372685">
              <w:rPr>
                <w:rFonts w:ascii="宋体" w:hAnsi="宋体" w:cs="宋体"/>
                <w:color w:val="000000"/>
                <w:kern w:val="0"/>
              </w:rPr>
              <w:t>鲁</w:t>
            </w:r>
            <w:proofErr w:type="gramStart"/>
            <w:r w:rsidRPr="00372685">
              <w:rPr>
                <w:rFonts w:ascii="宋体" w:hAnsi="宋体" w:cs="宋体"/>
                <w:color w:val="000000"/>
                <w:kern w:val="0"/>
              </w:rPr>
              <w:t>胺获批用于阿比特龙</w:t>
            </w:r>
            <w:proofErr w:type="gramEnd"/>
            <w:r w:rsidRPr="00372685">
              <w:rPr>
                <w:rFonts w:ascii="宋体" w:hAnsi="宋体" w:cs="宋体"/>
                <w:color w:val="000000"/>
                <w:kern w:val="0"/>
              </w:rPr>
              <w:t>及化疗治疗进展的</w:t>
            </w:r>
            <w:proofErr w:type="spellStart"/>
            <w:r w:rsidRPr="00372685">
              <w:rPr>
                <w:rFonts w:ascii="宋体" w:hAnsi="宋体" w:cs="宋体"/>
                <w:color w:val="000000"/>
                <w:kern w:val="0"/>
              </w:rPr>
              <w:t>mCRPC</w:t>
            </w:r>
            <w:proofErr w:type="spellEnd"/>
            <w:r w:rsidRPr="00372685">
              <w:rPr>
                <w:rFonts w:ascii="宋体" w:hAnsi="宋体" w:cs="宋体"/>
                <w:color w:val="000000"/>
                <w:kern w:val="0"/>
              </w:rPr>
              <w:t>患者。该适应症此前国内无获批药物，</w:t>
            </w:r>
            <w:proofErr w:type="gramStart"/>
            <w:r w:rsidRPr="00372685">
              <w:rPr>
                <w:rFonts w:ascii="宋体" w:hAnsi="宋体" w:cs="宋体"/>
                <w:color w:val="000000"/>
                <w:kern w:val="0"/>
              </w:rPr>
              <w:t>氘恩扎</w:t>
            </w:r>
            <w:proofErr w:type="gramEnd"/>
            <w:r w:rsidRPr="00372685">
              <w:rPr>
                <w:rFonts w:ascii="宋体" w:hAnsi="宋体" w:cs="宋体"/>
                <w:color w:val="000000"/>
                <w:kern w:val="0"/>
              </w:rPr>
              <w:t>鲁胺的获批填补了临床空白。</w:t>
            </w:r>
          </w:p>
          <w:p w14:paraId="486389A0" w14:textId="56BB8BF4" w:rsidR="00D04639" w:rsidRPr="00372685" w:rsidRDefault="00372685" w:rsidP="00D031F0">
            <w:pPr>
              <w:widowControl/>
              <w:spacing w:line="240" w:lineRule="auto"/>
              <w:ind w:firstLine="480"/>
              <w:rPr>
                <w:rFonts w:ascii="宋体" w:hAnsi="宋体" w:cs="宋体"/>
                <w:color w:val="000000"/>
                <w:kern w:val="0"/>
              </w:rPr>
            </w:pPr>
            <w:r w:rsidRPr="00372685">
              <w:rPr>
                <w:rFonts w:ascii="宋体" w:hAnsi="宋体" w:cs="宋体"/>
                <w:color w:val="000000"/>
                <w:kern w:val="0"/>
              </w:rPr>
              <w:t>安全性及疗效优势显著改善主要终点：延长</w:t>
            </w:r>
            <w:proofErr w:type="spellStart"/>
            <w:r w:rsidRPr="00372685">
              <w:rPr>
                <w:rFonts w:ascii="宋体" w:hAnsi="宋体" w:cs="宋体"/>
                <w:color w:val="000000"/>
                <w:kern w:val="0"/>
              </w:rPr>
              <w:t>rPFS</w:t>
            </w:r>
            <w:proofErr w:type="spellEnd"/>
            <w:r w:rsidRPr="00372685">
              <w:rPr>
                <w:rFonts w:ascii="宋体" w:hAnsi="宋体" w:cs="宋体"/>
                <w:color w:val="000000"/>
                <w:kern w:val="0"/>
              </w:rPr>
              <w:t>至5.5个月，影像</w:t>
            </w:r>
            <w:proofErr w:type="gramStart"/>
            <w:r w:rsidRPr="00372685">
              <w:rPr>
                <w:rFonts w:ascii="宋体" w:hAnsi="宋体" w:cs="宋体"/>
                <w:color w:val="000000"/>
                <w:kern w:val="0"/>
              </w:rPr>
              <w:t>学进展</w:t>
            </w:r>
            <w:proofErr w:type="gramEnd"/>
            <w:r w:rsidRPr="00372685">
              <w:rPr>
                <w:rFonts w:ascii="宋体" w:hAnsi="宋体" w:cs="宋体"/>
                <w:color w:val="000000"/>
                <w:kern w:val="0"/>
              </w:rPr>
              <w:t>或死亡风险降低42%；</w:t>
            </w:r>
            <w:proofErr w:type="gramStart"/>
            <w:r w:rsidRPr="00372685">
              <w:rPr>
                <w:rFonts w:ascii="宋体" w:hAnsi="宋体" w:cs="宋体"/>
                <w:color w:val="000000"/>
                <w:kern w:val="0"/>
              </w:rPr>
              <w:t>氘代技术</w:t>
            </w:r>
            <w:proofErr w:type="gramEnd"/>
            <w:r w:rsidRPr="00372685">
              <w:rPr>
                <w:rFonts w:ascii="宋体" w:hAnsi="宋体" w:cs="宋体"/>
                <w:color w:val="000000"/>
                <w:kern w:val="0"/>
              </w:rPr>
              <w:t>带来的安全性优势（降低中枢神经不良反应、跌倒等风险），总体安全性与对照组比无显著差异。试验中没有跌倒、癫痫等，未见显著皮疹、肝功异常、心脑血管等事件，3-4级乏力仅3.6%</w:t>
            </w:r>
            <w:r>
              <w:rPr>
                <w:rFonts w:ascii="宋体" w:hAnsi="宋体" w:cs="宋体" w:hint="eastAsia"/>
                <w:color w:val="000000"/>
                <w:kern w:val="0"/>
              </w:rPr>
              <w:t>。</w:t>
            </w:r>
          </w:p>
          <w:p w14:paraId="548B378F" w14:textId="2BB374E3" w:rsidR="00D360F2" w:rsidRPr="00AB77DC" w:rsidRDefault="00D360F2" w:rsidP="00D031F0">
            <w:pPr>
              <w:spacing w:line="240" w:lineRule="auto"/>
              <w:ind w:firstLineChars="0" w:firstLine="0"/>
              <w:rPr>
                <w:rFonts w:ascii="宋体" w:hAnsi="宋体" w:cs="宋体" w:hint="eastAsia"/>
                <w:color w:val="000000"/>
                <w:kern w:val="0"/>
              </w:rPr>
            </w:pPr>
          </w:p>
        </w:tc>
      </w:tr>
      <w:tr w:rsidR="00A8679F" w:rsidRPr="00BB1B05" w14:paraId="2D08619F" w14:textId="77777777" w:rsidTr="00970BC7">
        <w:trPr>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14:paraId="3DBEE051" w14:textId="77777777" w:rsidR="00A8679F" w:rsidRPr="00BB1B05" w:rsidRDefault="00A8679F" w:rsidP="00970BC7">
            <w:pPr>
              <w:ind w:firstLineChars="0" w:firstLine="0"/>
              <w:rPr>
                <w:rFonts w:ascii="宋体" w:hAnsi="宋体"/>
                <w:bCs/>
                <w:iCs/>
                <w:color w:val="000000"/>
              </w:rPr>
            </w:pPr>
            <w:r w:rsidRPr="00BB1B05">
              <w:rPr>
                <w:rFonts w:ascii="宋体" w:hAnsi="宋体" w:hint="eastAsia"/>
                <w:bCs/>
                <w:iCs/>
                <w:color w:val="000000"/>
              </w:rPr>
              <w:lastRenderedPageBreak/>
              <w:t>附件清单（如有）</w:t>
            </w:r>
          </w:p>
        </w:tc>
        <w:tc>
          <w:tcPr>
            <w:tcW w:w="6614" w:type="dxa"/>
            <w:tcBorders>
              <w:top w:val="single" w:sz="4" w:space="0" w:color="auto"/>
              <w:left w:val="single" w:sz="4" w:space="0" w:color="auto"/>
              <w:bottom w:val="single" w:sz="4" w:space="0" w:color="auto"/>
              <w:right w:val="single" w:sz="4" w:space="0" w:color="auto"/>
            </w:tcBorders>
            <w:shd w:val="clear" w:color="auto" w:fill="auto"/>
          </w:tcPr>
          <w:p w14:paraId="5EB05060" w14:textId="023E7390" w:rsidR="00A8679F" w:rsidRPr="00BB1B05" w:rsidRDefault="00931BB3" w:rsidP="00970BC7">
            <w:pPr>
              <w:spacing w:line="480" w:lineRule="atLeast"/>
              <w:ind w:firstLineChars="0" w:firstLine="0"/>
              <w:rPr>
                <w:rFonts w:ascii="宋体" w:hAnsi="宋体"/>
                <w:bCs/>
                <w:iCs/>
                <w:color w:val="000000"/>
              </w:rPr>
            </w:pPr>
            <w:r>
              <w:rPr>
                <w:rFonts w:ascii="宋体" w:hAnsi="宋体" w:hint="eastAsia"/>
                <w:bCs/>
                <w:iCs/>
                <w:color w:val="000000"/>
              </w:rPr>
              <w:t>无</w:t>
            </w:r>
          </w:p>
        </w:tc>
      </w:tr>
    </w:tbl>
    <w:p w14:paraId="6DD9E873" w14:textId="77777777" w:rsidR="00800501" w:rsidRDefault="00800501">
      <w:pPr>
        <w:ind w:firstLine="480"/>
      </w:pPr>
    </w:p>
    <w:p w14:paraId="1DC1B86F" w14:textId="77777777" w:rsidR="00931BB3" w:rsidRDefault="00931BB3">
      <w:pPr>
        <w:ind w:firstLine="480"/>
      </w:pPr>
    </w:p>
    <w:p w14:paraId="5F86E915" w14:textId="77777777" w:rsidR="00931BB3" w:rsidRDefault="00931BB3">
      <w:pPr>
        <w:ind w:firstLine="480"/>
      </w:pPr>
    </w:p>
    <w:p w14:paraId="455AD77E" w14:textId="77777777" w:rsidR="00931BB3" w:rsidRDefault="00931BB3">
      <w:pPr>
        <w:ind w:firstLine="480"/>
      </w:pPr>
    </w:p>
    <w:sectPr w:rsidR="00931BB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9B7F2" w14:textId="77777777" w:rsidR="00027856" w:rsidRDefault="00027856" w:rsidP="00A8679F">
      <w:pPr>
        <w:spacing w:line="240" w:lineRule="auto"/>
        <w:ind w:firstLine="480"/>
      </w:pPr>
      <w:r>
        <w:separator/>
      </w:r>
    </w:p>
  </w:endnote>
  <w:endnote w:type="continuationSeparator" w:id="0">
    <w:p w14:paraId="42C8F3B7" w14:textId="77777777" w:rsidR="00027856" w:rsidRDefault="00027856" w:rsidP="00A8679F">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Wingdings2">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7EE2" w14:textId="77777777" w:rsidR="00931BB3" w:rsidRDefault="00931BB3">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E9466" w14:textId="77777777" w:rsidR="00931BB3" w:rsidRDefault="00931BB3">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43E68" w14:textId="77777777" w:rsidR="00931BB3" w:rsidRDefault="00931BB3">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8E16E" w14:textId="77777777" w:rsidR="00027856" w:rsidRDefault="00027856" w:rsidP="00A8679F">
      <w:pPr>
        <w:spacing w:line="240" w:lineRule="auto"/>
        <w:ind w:firstLine="480"/>
      </w:pPr>
      <w:r>
        <w:separator/>
      </w:r>
    </w:p>
  </w:footnote>
  <w:footnote w:type="continuationSeparator" w:id="0">
    <w:p w14:paraId="59B9717C" w14:textId="77777777" w:rsidR="00027856" w:rsidRDefault="00027856" w:rsidP="00A8679F">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72552" w14:textId="77777777" w:rsidR="00931BB3" w:rsidRDefault="00931BB3">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7F278" w14:textId="77777777" w:rsidR="00931BB3" w:rsidRDefault="00931BB3">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2A158" w14:textId="77777777" w:rsidR="00931BB3" w:rsidRDefault="00931BB3">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FB4138"/>
    <w:multiLevelType w:val="hybridMultilevel"/>
    <w:tmpl w:val="D4984A24"/>
    <w:lvl w:ilvl="0" w:tplc="50A2D512">
      <w:start w:val="2"/>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630B7A3F"/>
    <w:multiLevelType w:val="multilevel"/>
    <w:tmpl w:val="32BA6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62A85"/>
    <w:rsid w:val="00027856"/>
    <w:rsid w:val="00036F35"/>
    <w:rsid w:val="00055DCB"/>
    <w:rsid w:val="000F0BC1"/>
    <w:rsid w:val="001655F1"/>
    <w:rsid w:val="0018158F"/>
    <w:rsid w:val="00182471"/>
    <w:rsid w:val="00187EF7"/>
    <w:rsid w:val="001C41CB"/>
    <w:rsid w:val="00234653"/>
    <w:rsid w:val="002C7C4A"/>
    <w:rsid w:val="002D12B6"/>
    <w:rsid w:val="0033014A"/>
    <w:rsid w:val="00352902"/>
    <w:rsid w:val="00366B0F"/>
    <w:rsid w:val="00372685"/>
    <w:rsid w:val="004030F2"/>
    <w:rsid w:val="004205D5"/>
    <w:rsid w:val="00430CEB"/>
    <w:rsid w:val="004439CD"/>
    <w:rsid w:val="00445137"/>
    <w:rsid w:val="00482A6C"/>
    <w:rsid w:val="00491C1C"/>
    <w:rsid w:val="004C03B2"/>
    <w:rsid w:val="004F7318"/>
    <w:rsid w:val="005924FD"/>
    <w:rsid w:val="005B0798"/>
    <w:rsid w:val="005F0C63"/>
    <w:rsid w:val="0061632F"/>
    <w:rsid w:val="006353A7"/>
    <w:rsid w:val="0063576E"/>
    <w:rsid w:val="0064582A"/>
    <w:rsid w:val="0064611C"/>
    <w:rsid w:val="00653820"/>
    <w:rsid w:val="00654129"/>
    <w:rsid w:val="006A1730"/>
    <w:rsid w:val="006B2074"/>
    <w:rsid w:val="006D4E49"/>
    <w:rsid w:val="0072144D"/>
    <w:rsid w:val="007370AF"/>
    <w:rsid w:val="00746FED"/>
    <w:rsid w:val="00762E71"/>
    <w:rsid w:val="007E0624"/>
    <w:rsid w:val="00800501"/>
    <w:rsid w:val="00896F50"/>
    <w:rsid w:val="009144F2"/>
    <w:rsid w:val="00931BB3"/>
    <w:rsid w:val="009705D3"/>
    <w:rsid w:val="009E758C"/>
    <w:rsid w:val="00A20E82"/>
    <w:rsid w:val="00A72CC7"/>
    <w:rsid w:val="00A8679F"/>
    <w:rsid w:val="00A975AD"/>
    <w:rsid w:val="00AB77DC"/>
    <w:rsid w:val="00AD1612"/>
    <w:rsid w:val="00AD67E4"/>
    <w:rsid w:val="00AE0434"/>
    <w:rsid w:val="00B62A85"/>
    <w:rsid w:val="00BD3125"/>
    <w:rsid w:val="00C33610"/>
    <w:rsid w:val="00C57509"/>
    <w:rsid w:val="00C641E2"/>
    <w:rsid w:val="00C75C44"/>
    <w:rsid w:val="00CC7043"/>
    <w:rsid w:val="00CD3474"/>
    <w:rsid w:val="00D031F0"/>
    <w:rsid w:val="00D04639"/>
    <w:rsid w:val="00D170EE"/>
    <w:rsid w:val="00D360F2"/>
    <w:rsid w:val="00DA0042"/>
    <w:rsid w:val="00DA0709"/>
    <w:rsid w:val="00DA533B"/>
    <w:rsid w:val="00DB3CBC"/>
    <w:rsid w:val="00E71219"/>
    <w:rsid w:val="00E74716"/>
    <w:rsid w:val="00EB37F2"/>
    <w:rsid w:val="00EC3669"/>
    <w:rsid w:val="00EE4969"/>
    <w:rsid w:val="00F37304"/>
    <w:rsid w:val="00F42818"/>
    <w:rsid w:val="00F96101"/>
    <w:rsid w:val="00FD33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DB74B"/>
  <w15:chartTrackingRefBased/>
  <w15:docId w15:val="{53AF74A4-F8ED-4F6B-A024-11DAA0640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679F"/>
    <w:pPr>
      <w:widowControl w:val="0"/>
      <w:spacing w:line="360" w:lineRule="auto"/>
      <w:ind w:firstLineChars="200" w:firstLine="200"/>
      <w:jc w:val="both"/>
    </w:pPr>
    <w:rPr>
      <w:rFonts w:ascii="Times New Roman" w:eastAsia="宋体"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679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8679F"/>
    <w:rPr>
      <w:sz w:val="18"/>
      <w:szCs w:val="18"/>
    </w:rPr>
  </w:style>
  <w:style w:type="paragraph" w:styleId="a5">
    <w:name w:val="footer"/>
    <w:basedOn w:val="a"/>
    <w:link w:val="a6"/>
    <w:uiPriority w:val="99"/>
    <w:unhideWhenUsed/>
    <w:rsid w:val="00A8679F"/>
    <w:pPr>
      <w:tabs>
        <w:tab w:val="center" w:pos="4153"/>
        <w:tab w:val="right" w:pos="8306"/>
      </w:tabs>
      <w:snapToGrid w:val="0"/>
      <w:jc w:val="left"/>
    </w:pPr>
    <w:rPr>
      <w:sz w:val="18"/>
      <w:szCs w:val="18"/>
    </w:rPr>
  </w:style>
  <w:style w:type="character" w:customStyle="1" w:styleId="a6">
    <w:name w:val="页脚 字符"/>
    <w:basedOn w:val="a0"/>
    <w:link w:val="a5"/>
    <w:uiPriority w:val="99"/>
    <w:rsid w:val="00A8679F"/>
    <w:rPr>
      <w:sz w:val="18"/>
      <w:szCs w:val="18"/>
    </w:rPr>
  </w:style>
  <w:style w:type="character" w:customStyle="1" w:styleId="fontstyle01">
    <w:name w:val="fontstyle01"/>
    <w:basedOn w:val="a0"/>
    <w:rsid w:val="00931BB3"/>
    <w:rPr>
      <w:rFonts w:ascii="Wingdings2" w:hAnsi="Wingdings2" w:hint="default"/>
      <w:b w:val="0"/>
      <w:bCs w:val="0"/>
      <w:i w:val="0"/>
      <w:iCs w:val="0"/>
      <w:color w:val="000000"/>
      <w:sz w:val="24"/>
      <w:szCs w:val="24"/>
    </w:rPr>
  </w:style>
  <w:style w:type="paragraph" w:styleId="a7">
    <w:name w:val="List Paragraph"/>
    <w:basedOn w:val="a"/>
    <w:uiPriority w:val="34"/>
    <w:qFormat/>
    <w:rsid w:val="00D04639"/>
    <w:pPr>
      <w:spacing w:after="160" w:line="278" w:lineRule="auto"/>
      <w:ind w:left="720" w:firstLineChars="0" w:firstLine="0"/>
      <w:contextualSpacing/>
      <w:jc w:val="left"/>
    </w:pPr>
    <w:rPr>
      <w:rFonts w:asciiTheme="minorHAnsi" w:eastAsiaTheme="minorEastAsia"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9635">
      <w:bodyDiv w:val="1"/>
      <w:marLeft w:val="0"/>
      <w:marRight w:val="0"/>
      <w:marTop w:val="0"/>
      <w:marBottom w:val="0"/>
      <w:divBdr>
        <w:top w:val="none" w:sz="0" w:space="0" w:color="auto"/>
        <w:left w:val="none" w:sz="0" w:space="0" w:color="auto"/>
        <w:bottom w:val="none" w:sz="0" w:space="0" w:color="auto"/>
        <w:right w:val="none" w:sz="0" w:space="0" w:color="auto"/>
      </w:divBdr>
      <w:divsChild>
        <w:div w:id="5442594">
          <w:marLeft w:val="0"/>
          <w:marRight w:val="0"/>
          <w:marTop w:val="0"/>
          <w:marBottom w:val="0"/>
          <w:divBdr>
            <w:top w:val="none" w:sz="0" w:space="0" w:color="auto"/>
            <w:left w:val="none" w:sz="0" w:space="0" w:color="auto"/>
            <w:bottom w:val="none" w:sz="0" w:space="0" w:color="auto"/>
            <w:right w:val="none" w:sz="0" w:space="0" w:color="auto"/>
          </w:divBdr>
          <w:divsChild>
            <w:div w:id="59830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633880">
      <w:bodyDiv w:val="1"/>
      <w:marLeft w:val="0"/>
      <w:marRight w:val="0"/>
      <w:marTop w:val="0"/>
      <w:marBottom w:val="0"/>
      <w:divBdr>
        <w:top w:val="none" w:sz="0" w:space="0" w:color="auto"/>
        <w:left w:val="none" w:sz="0" w:space="0" w:color="auto"/>
        <w:bottom w:val="none" w:sz="0" w:space="0" w:color="auto"/>
        <w:right w:val="none" w:sz="0" w:space="0" w:color="auto"/>
      </w:divBdr>
      <w:divsChild>
        <w:div w:id="1117213008">
          <w:marLeft w:val="0"/>
          <w:marRight w:val="0"/>
          <w:marTop w:val="0"/>
          <w:marBottom w:val="0"/>
          <w:divBdr>
            <w:top w:val="none" w:sz="0" w:space="0" w:color="auto"/>
            <w:left w:val="none" w:sz="0" w:space="0" w:color="auto"/>
            <w:bottom w:val="none" w:sz="0" w:space="0" w:color="auto"/>
            <w:right w:val="none" w:sz="0" w:space="0" w:color="auto"/>
          </w:divBdr>
          <w:divsChild>
            <w:div w:id="88613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81997">
      <w:bodyDiv w:val="1"/>
      <w:marLeft w:val="0"/>
      <w:marRight w:val="0"/>
      <w:marTop w:val="0"/>
      <w:marBottom w:val="0"/>
      <w:divBdr>
        <w:top w:val="none" w:sz="0" w:space="0" w:color="auto"/>
        <w:left w:val="none" w:sz="0" w:space="0" w:color="auto"/>
        <w:bottom w:val="none" w:sz="0" w:space="0" w:color="auto"/>
        <w:right w:val="none" w:sz="0" w:space="0" w:color="auto"/>
      </w:divBdr>
      <w:divsChild>
        <w:div w:id="1166363664">
          <w:marLeft w:val="0"/>
          <w:marRight w:val="0"/>
          <w:marTop w:val="0"/>
          <w:marBottom w:val="0"/>
          <w:divBdr>
            <w:top w:val="none" w:sz="0" w:space="0" w:color="auto"/>
            <w:left w:val="none" w:sz="0" w:space="0" w:color="auto"/>
            <w:bottom w:val="none" w:sz="0" w:space="0" w:color="auto"/>
            <w:right w:val="none" w:sz="0" w:space="0" w:color="auto"/>
          </w:divBdr>
          <w:divsChild>
            <w:div w:id="46088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99028">
      <w:bodyDiv w:val="1"/>
      <w:marLeft w:val="0"/>
      <w:marRight w:val="0"/>
      <w:marTop w:val="0"/>
      <w:marBottom w:val="0"/>
      <w:divBdr>
        <w:top w:val="none" w:sz="0" w:space="0" w:color="auto"/>
        <w:left w:val="none" w:sz="0" w:space="0" w:color="auto"/>
        <w:bottom w:val="none" w:sz="0" w:space="0" w:color="auto"/>
        <w:right w:val="none" w:sz="0" w:space="0" w:color="auto"/>
      </w:divBdr>
      <w:divsChild>
        <w:div w:id="1030450751">
          <w:marLeft w:val="0"/>
          <w:marRight w:val="0"/>
          <w:marTop w:val="0"/>
          <w:marBottom w:val="0"/>
          <w:divBdr>
            <w:top w:val="none" w:sz="0" w:space="0" w:color="auto"/>
            <w:left w:val="none" w:sz="0" w:space="0" w:color="auto"/>
            <w:bottom w:val="none" w:sz="0" w:space="0" w:color="auto"/>
            <w:right w:val="none" w:sz="0" w:space="0" w:color="auto"/>
          </w:divBdr>
          <w:divsChild>
            <w:div w:id="202251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016202">
      <w:bodyDiv w:val="1"/>
      <w:marLeft w:val="0"/>
      <w:marRight w:val="0"/>
      <w:marTop w:val="0"/>
      <w:marBottom w:val="0"/>
      <w:divBdr>
        <w:top w:val="none" w:sz="0" w:space="0" w:color="auto"/>
        <w:left w:val="none" w:sz="0" w:space="0" w:color="auto"/>
        <w:bottom w:val="none" w:sz="0" w:space="0" w:color="auto"/>
        <w:right w:val="none" w:sz="0" w:space="0" w:color="auto"/>
      </w:divBdr>
      <w:divsChild>
        <w:div w:id="1281064583">
          <w:marLeft w:val="0"/>
          <w:marRight w:val="0"/>
          <w:marTop w:val="0"/>
          <w:marBottom w:val="0"/>
          <w:divBdr>
            <w:top w:val="none" w:sz="0" w:space="0" w:color="auto"/>
            <w:left w:val="none" w:sz="0" w:space="0" w:color="auto"/>
            <w:bottom w:val="none" w:sz="0" w:space="0" w:color="auto"/>
            <w:right w:val="none" w:sz="0" w:space="0" w:color="auto"/>
          </w:divBdr>
          <w:divsChild>
            <w:div w:id="81746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240662">
      <w:bodyDiv w:val="1"/>
      <w:marLeft w:val="0"/>
      <w:marRight w:val="0"/>
      <w:marTop w:val="0"/>
      <w:marBottom w:val="0"/>
      <w:divBdr>
        <w:top w:val="none" w:sz="0" w:space="0" w:color="auto"/>
        <w:left w:val="none" w:sz="0" w:space="0" w:color="auto"/>
        <w:bottom w:val="none" w:sz="0" w:space="0" w:color="auto"/>
        <w:right w:val="none" w:sz="0" w:space="0" w:color="auto"/>
      </w:divBdr>
      <w:divsChild>
        <w:div w:id="1522931481">
          <w:marLeft w:val="0"/>
          <w:marRight w:val="0"/>
          <w:marTop w:val="0"/>
          <w:marBottom w:val="0"/>
          <w:divBdr>
            <w:top w:val="none" w:sz="0" w:space="0" w:color="auto"/>
            <w:left w:val="none" w:sz="0" w:space="0" w:color="auto"/>
            <w:bottom w:val="none" w:sz="0" w:space="0" w:color="auto"/>
            <w:right w:val="none" w:sz="0" w:space="0" w:color="auto"/>
          </w:divBdr>
          <w:divsChild>
            <w:div w:id="17436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27114">
      <w:bodyDiv w:val="1"/>
      <w:marLeft w:val="0"/>
      <w:marRight w:val="0"/>
      <w:marTop w:val="0"/>
      <w:marBottom w:val="0"/>
      <w:divBdr>
        <w:top w:val="none" w:sz="0" w:space="0" w:color="auto"/>
        <w:left w:val="none" w:sz="0" w:space="0" w:color="auto"/>
        <w:bottom w:val="none" w:sz="0" w:space="0" w:color="auto"/>
        <w:right w:val="none" w:sz="0" w:space="0" w:color="auto"/>
      </w:divBdr>
      <w:divsChild>
        <w:div w:id="1382246846">
          <w:marLeft w:val="0"/>
          <w:marRight w:val="0"/>
          <w:marTop w:val="0"/>
          <w:marBottom w:val="0"/>
          <w:divBdr>
            <w:top w:val="none" w:sz="0" w:space="0" w:color="auto"/>
            <w:left w:val="none" w:sz="0" w:space="0" w:color="auto"/>
            <w:bottom w:val="none" w:sz="0" w:space="0" w:color="auto"/>
            <w:right w:val="none" w:sz="0" w:space="0" w:color="auto"/>
          </w:divBdr>
          <w:divsChild>
            <w:div w:id="30716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330354">
      <w:bodyDiv w:val="1"/>
      <w:marLeft w:val="0"/>
      <w:marRight w:val="0"/>
      <w:marTop w:val="0"/>
      <w:marBottom w:val="0"/>
      <w:divBdr>
        <w:top w:val="none" w:sz="0" w:space="0" w:color="auto"/>
        <w:left w:val="none" w:sz="0" w:space="0" w:color="auto"/>
        <w:bottom w:val="none" w:sz="0" w:space="0" w:color="auto"/>
        <w:right w:val="none" w:sz="0" w:space="0" w:color="auto"/>
      </w:divBdr>
    </w:div>
    <w:div w:id="1559786215">
      <w:bodyDiv w:val="1"/>
      <w:marLeft w:val="0"/>
      <w:marRight w:val="0"/>
      <w:marTop w:val="0"/>
      <w:marBottom w:val="0"/>
      <w:divBdr>
        <w:top w:val="none" w:sz="0" w:space="0" w:color="auto"/>
        <w:left w:val="none" w:sz="0" w:space="0" w:color="auto"/>
        <w:bottom w:val="none" w:sz="0" w:space="0" w:color="auto"/>
        <w:right w:val="none" w:sz="0" w:space="0" w:color="auto"/>
      </w:divBdr>
      <w:divsChild>
        <w:div w:id="181667726">
          <w:marLeft w:val="0"/>
          <w:marRight w:val="0"/>
          <w:marTop w:val="0"/>
          <w:marBottom w:val="0"/>
          <w:divBdr>
            <w:top w:val="none" w:sz="0" w:space="0" w:color="auto"/>
            <w:left w:val="none" w:sz="0" w:space="0" w:color="auto"/>
            <w:bottom w:val="none" w:sz="0" w:space="0" w:color="auto"/>
            <w:right w:val="none" w:sz="0" w:space="0" w:color="auto"/>
          </w:divBdr>
          <w:divsChild>
            <w:div w:id="131217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570690">
      <w:bodyDiv w:val="1"/>
      <w:marLeft w:val="0"/>
      <w:marRight w:val="0"/>
      <w:marTop w:val="0"/>
      <w:marBottom w:val="0"/>
      <w:divBdr>
        <w:top w:val="none" w:sz="0" w:space="0" w:color="auto"/>
        <w:left w:val="none" w:sz="0" w:space="0" w:color="auto"/>
        <w:bottom w:val="none" w:sz="0" w:space="0" w:color="auto"/>
        <w:right w:val="none" w:sz="0" w:space="0" w:color="auto"/>
      </w:divBdr>
      <w:divsChild>
        <w:div w:id="1053891929">
          <w:marLeft w:val="0"/>
          <w:marRight w:val="0"/>
          <w:marTop w:val="0"/>
          <w:marBottom w:val="0"/>
          <w:divBdr>
            <w:top w:val="none" w:sz="0" w:space="0" w:color="auto"/>
            <w:left w:val="none" w:sz="0" w:space="0" w:color="auto"/>
            <w:bottom w:val="none" w:sz="0" w:space="0" w:color="auto"/>
            <w:right w:val="none" w:sz="0" w:space="0" w:color="auto"/>
          </w:divBdr>
          <w:divsChild>
            <w:div w:id="8658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084511">
      <w:bodyDiv w:val="1"/>
      <w:marLeft w:val="0"/>
      <w:marRight w:val="0"/>
      <w:marTop w:val="0"/>
      <w:marBottom w:val="0"/>
      <w:divBdr>
        <w:top w:val="none" w:sz="0" w:space="0" w:color="auto"/>
        <w:left w:val="none" w:sz="0" w:space="0" w:color="auto"/>
        <w:bottom w:val="none" w:sz="0" w:space="0" w:color="auto"/>
        <w:right w:val="none" w:sz="0" w:space="0" w:color="auto"/>
      </w:divBdr>
      <w:divsChild>
        <w:div w:id="126700909">
          <w:marLeft w:val="0"/>
          <w:marRight w:val="0"/>
          <w:marTop w:val="0"/>
          <w:marBottom w:val="0"/>
          <w:divBdr>
            <w:top w:val="none" w:sz="0" w:space="0" w:color="auto"/>
            <w:left w:val="none" w:sz="0" w:space="0" w:color="auto"/>
            <w:bottom w:val="none" w:sz="0" w:space="0" w:color="auto"/>
            <w:right w:val="none" w:sz="0" w:space="0" w:color="auto"/>
          </w:divBdr>
          <w:divsChild>
            <w:div w:id="8639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4</Pages>
  <Words>502</Words>
  <Characters>2863</Characters>
  <Application>Microsoft Office Word</Application>
  <DocSecurity>0</DocSecurity>
  <Lines>23</Lines>
  <Paragraphs>6</Paragraphs>
  <ScaleCrop>false</ScaleCrop>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霞</dc:creator>
  <cp:keywords/>
  <dc:description/>
  <cp:lastModifiedBy>user</cp:lastModifiedBy>
  <cp:revision>30</cp:revision>
  <dcterms:created xsi:type="dcterms:W3CDTF">2022-04-29T03:48:00Z</dcterms:created>
  <dcterms:modified xsi:type="dcterms:W3CDTF">2026-07-15T10:37:00Z</dcterms:modified>
</cp:coreProperties>
</file>