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82D785">
      <w:pPr>
        <w:ind w:firstLine="562" w:firstLineChars="200"/>
        <w:jc w:val="center"/>
        <w:rPr>
          <w:rFonts w:ascii="宋体" w:hAnsi="宋体"/>
          <w:b/>
          <w:bCs/>
          <w:sz w:val="28"/>
          <w:szCs w:val="28"/>
          <w:highlight w:val="none"/>
        </w:rPr>
      </w:pPr>
      <w:r>
        <w:rPr>
          <w:rFonts w:hint="eastAsia" w:ascii="宋体" w:hAnsi="宋体"/>
          <w:b/>
          <w:bCs/>
          <w:sz w:val="28"/>
          <w:szCs w:val="28"/>
          <w:highlight w:val="none"/>
        </w:rPr>
        <w:t>烟台德邦科技股份有限公司</w:t>
      </w:r>
    </w:p>
    <w:p w14:paraId="3C92EBCF">
      <w:pPr>
        <w:ind w:firstLine="562" w:firstLineChars="200"/>
        <w:jc w:val="center"/>
        <w:rPr>
          <w:rFonts w:ascii="宋体" w:hAnsi="宋体"/>
          <w:b/>
          <w:bCs/>
          <w:sz w:val="28"/>
          <w:szCs w:val="28"/>
          <w:highlight w:val="none"/>
        </w:rPr>
      </w:pPr>
      <w:r>
        <w:rPr>
          <w:rFonts w:hint="eastAsia" w:ascii="宋体" w:hAnsi="宋体"/>
          <w:b/>
          <w:bCs/>
          <w:sz w:val="28"/>
          <w:szCs w:val="28"/>
          <w:highlight w:val="none"/>
        </w:rPr>
        <w:t>投资者关系活动记录表</w:t>
      </w:r>
    </w:p>
    <w:p w14:paraId="6B6D484D">
      <w:pPr>
        <w:ind w:firstLine="562" w:firstLineChars="200"/>
        <w:jc w:val="center"/>
        <w:rPr>
          <w:rFonts w:ascii="宋体" w:hAnsi="宋体"/>
          <w:b/>
          <w:bCs/>
          <w:sz w:val="28"/>
          <w:szCs w:val="28"/>
          <w:highlight w:val="none"/>
        </w:rPr>
      </w:pPr>
    </w:p>
    <w:p w14:paraId="5A7BA596">
      <w:pPr>
        <w:ind w:firstLine="482" w:firstLineChars="200"/>
        <w:rPr>
          <w:rFonts w:hint="eastAsia" w:ascii="宋体" w:hAnsi="宋体" w:eastAsia="宋体"/>
          <w:b/>
          <w:bCs/>
          <w:szCs w:val="24"/>
          <w:highlight w:val="none"/>
          <w:lang w:eastAsia="zh-CN"/>
        </w:rPr>
      </w:pPr>
      <w:r>
        <w:rPr>
          <w:rFonts w:hint="eastAsia" w:ascii="宋体" w:hAnsi="宋体"/>
          <w:b/>
          <w:bCs/>
          <w:szCs w:val="24"/>
          <w:highlight w:val="none"/>
        </w:rPr>
        <w:t xml:space="preserve">证券简称：德邦科技 </w:t>
      </w:r>
      <w:r>
        <w:rPr>
          <w:rFonts w:ascii="宋体" w:hAnsi="宋体"/>
          <w:b/>
          <w:bCs/>
          <w:szCs w:val="24"/>
          <w:highlight w:val="none"/>
        </w:rPr>
        <w:t xml:space="preserve">        </w:t>
      </w:r>
      <w:r>
        <w:rPr>
          <w:rFonts w:hint="eastAsia" w:ascii="宋体" w:hAnsi="宋体"/>
          <w:b/>
          <w:bCs/>
          <w:szCs w:val="24"/>
          <w:highlight w:val="none"/>
        </w:rPr>
        <w:t xml:space="preserve">证券代码：688035 </w:t>
      </w:r>
      <w:r>
        <w:rPr>
          <w:rFonts w:ascii="宋体" w:hAnsi="宋体"/>
          <w:b/>
          <w:bCs/>
          <w:szCs w:val="24"/>
          <w:highlight w:val="none"/>
        </w:rPr>
        <w:t xml:space="preserve">       </w:t>
      </w:r>
      <w:r>
        <w:rPr>
          <w:rFonts w:hint="eastAsia" w:ascii="宋体" w:hAnsi="宋体"/>
          <w:b/>
          <w:bCs/>
          <w:szCs w:val="24"/>
          <w:highlight w:val="none"/>
        </w:rPr>
        <w:t>编号：2026</w:t>
      </w:r>
      <w:r>
        <w:rPr>
          <w:rFonts w:ascii="宋体" w:hAnsi="宋体"/>
          <w:b/>
          <w:bCs/>
          <w:szCs w:val="24"/>
          <w:highlight w:val="none"/>
        </w:rPr>
        <w:t>-00</w:t>
      </w:r>
      <w:r>
        <w:rPr>
          <w:rFonts w:hint="eastAsia" w:ascii="宋体" w:hAnsi="宋体"/>
          <w:b/>
          <w:bCs/>
          <w:szCs w:val="24"/>
          <w:highlight w:val="none"/>
          <w:lang w:val="en-US" w:eastAsia="zh-CN"/>
        </w:rPr>
        <w:t>4</w:t>
      </w:r>
    </w:p>
    <w:tbl>
      <w:tblPr>
        <w:tblStyle w:val="10"/>
        <w:tblW w:w="8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6"/>
        <w:gridCol w:w="6772"/>
      </w:tblGrid>
      <w:tr w14:paraId="765D0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6" w:type="dxa"/>
            <w:vAlign w:val="center"/>
          </w:tcPr>
          <w:p w14:paraId="25DF0D72">
            <w:pPr>
              <w:keepNext w:val="0"/>
              <w:keepLines w:val="0"/>
              <w:suppressLineNumbers w:val="0"/>
              <w:spacing w:before="0" w:beforeAutospacing="0" w:after="0" w:afterAutospacing="0"/>
              <w:ind w:left="0" w:right="0"/>
              <w:jc w:val="center"/>
              <w:rPr>
                <w:rFonts w:hint="default" w:ascii="宋体" w:hAnsi="宋体"/>
                <w:b/>
                <w:bCs/>
                <w:szCs w:val="24"/>
                <w:highlight w:val="none"/>
              </w:rPr>
            </w:pPr>
            <w:r>
              <w:rPr>
                <w:rFonts w:hint="eastAsia" w:ascii="宋体" w:hAnsi="宋体"/>
                <w:b/>
                <w:bCs/>
                <w:szCs w:val="24"/>
                <w:highlight w:val="none"/>
              </w:rPr>
              <w:t>投资者关系活动类别</w:t>
            </w:r>
          </w:p>
        </w:tc>
        <w:tc>
          <w:tcPr>
            <w:tcW w:w="6772" w:type="dxa"/>
            <w:vAlign w:val="center"/>
          </w:tcPr>
          <w:p w14:paraId="7913A64D">
            <w:pPr>
              <w:keepNext w:val="0"/>
              <w:keepLines w:val="0"/>
              <w:suppressLineNumbers w:val="0"/>
              <w:spacing w:before="0" w:beforeAutospacing="0" w:after="0" w:afterAutospacing="0" w:line="360" w:lineRule="auto"/>
              <w:ind w:left="0" w:right="0"/>
              <w:rPr>
                <w:rFonts w:hint="default" w:ascii="宋体" w:hAnsi="宋体"/>
                <w:szCs w:val="24"/>
                <w:highlight w:val="none"/>
              </w:rPr>
            </w:pPr>
            <w:r>
              <w:rPr>
                <w:rFonts w:hint="eastAsia" w:ascii="Segoe UI Symbol" w:hAnsi="Segoe UI Symbol" w:cs="Segoe UI Symbol"/>
                <w:kern w:val="0"/>
                <w:szCs w:val="24"/>
                <w:highlight w:val="none"/>
                <w:lang w:eastAsia="zh-CN"/>
              </w:rPr>
              <w:t>☑</w:t>
            </w:r>
            <w:r>
              <w:rPr>
                <w:rFonts w:hint="default" w:ascii="宋体" w:hAnsi="宋体"/>
                <w:szCs w:val="24"/>
                <w:highlight w:val="none"/>
              </w:rPr>
              <w:t xml:space="preserve">特定对象调研       </w:t>
            </w:r>
            <w:r>
              <w:rPr>
                <w:rFonts w:hint="default" w:ascii="宋体" w:hAnsi="宋体"/>
                <w:kern w:val="0"/>
                <w:szCs w:val="24"/>
                <w:highlight w:val="none"/>
              </w:rPr>
              <w:t>□</w:t>
            </w:r>
            <w:r>
              <w:rPr>
                <w:rFonts w:hint="default" w:ascii="宋体" w:hAnsi="宋体"/>
                <w:szCs w:val="24"/>
                <w:highlight w:val="none"/>
              </w:rPr>
              <w:t>分析师会议</w:t>
            </w:r>
          </w:p>
          <w:p w14:paraId="01DFDAA7">
            <w:pPr>
              <w:keepNext w:val="0"/>
              <w:keepLines w:val="0"/>
              <w:suppressLineNumbers w:val="0"/>
              <w:spacing w:before="0" w:beforeAutospacing="0" w:after="0" w:afterAutospacing="0" w:line="360" w:lineRule="auto"/>
              <w:ind w:left="0" w:right="0"/>
              <w:rPr>
                <w:rFonts w:hint="default" w:ascii="宋体" w:hAnsi="宋体"/>
                <w:kern w:val="0"/>
                <w:szCs w:val="24"/>
                <w:highlight w:val="none"/>
              </w:rPr>
            </w:pPr>
            <w:r>
              <w:rPr>
                <w:rFonts w:hint="eastAsia" w:ascii="宋体" w:hAnsi="宋体"/>
                <w:kern w:val="0"/>
                <w:szCs w:val="24"/>
                <w:highlight w:val="none"/>
              </w:rPr>
              <w:t>□</w:t>
            </w:r>
            <w:r>
              <w:rPr>
                <w:rFonts w:hint="default" w:ascii="宋体" w:hAnsi="宋体"/>
                <w:kern w:val="0"/>
                <w:szCs w:val="24"/>
                <w:highlight w:val="none"/>
              </w:rPr>
              <w:t>媒体采访           □业绩说明会</w:t>
            </w:r>
          </w:p>
          <w:p w14:paraId="03D3E3C1">
            <w:pPr>
              <w:keepNext w:val="0"/>
              <w:keepLines w:val="0"/>
              <w:suppressLineNumbers w:val="0"/>
              <w:spacing w:before="0" w:beforeAutospacing="0" w:after="0" w:afterAutospacing="0" w:line="360" w:lineRule="auto"/>
              <w:ind w:left="0" w:right="0"/>
              <w:rPr>
                <w:rFonts w:hint="default" w:ascii="宋体" w:hAnsi="宋体"/>
                <w:kern w:val="0"/>
                <w:szCs w:val="24"/>
                <w:highlight w:val="none"/>
              </w:rPr>
            </w:pPr>
            <w:r>
              <w:rPr>
                <w:rFonts w:hint="eastAsia" w:ascii="宋体" w:hAnsi="宋体"/>
                <w:kern w:val="0"/>
                <w:szCs w:val="24"/>
                <w:highlight w:val="none"/>
              </w:rPr>
              <w:t>□</w:t>
            </w:r>
            <w:r>
              <w:rPr>
                <w:rFonts w:hint="default" w:ascii="宋体" w:hAnsi="宋体"/>
                <w:kern w:val="0"/>
                <w:szCs w:val="24"/>
                <w:highlight w:val="none"/>
              </w:rPr>
              <w:t>新闻发布会         □路演活动</w:t>
            </w:r>
          </w:p>
          <w:p w14:paraId="72D52799">
            <w:pPr>
              <w:keepNext w:val="0"/>
              <w:keepLines w:val="0"/>
              <w:suppressLineNumbers w:val="0"/>
              <w:spacing w:before="0" w:beforeAutospacing="0" w:after="0" w:afterAutospacing="0" w:line="360" w:lineRule="auto"/>
              <w:ind w:left="0" w:right="0"/>
              <w:rPr>
                <w:rFonts w:hint="default" w:ascii="宋体" w:hAnsi="宋体"/>
                <w:szCs w:val="24"/>
                <w:highlight w:val="none"/>
              </w:rPr>
            </w:pPr>
            <w:r>
              <w:rPr>
                <w:rFonts w:hint="eastAsia" w:ascii="宋体" w:hAnsi="宋体"/>
                <w:kern w:val="0"/>
                <w:szCs w:val="24"/>
                <w:highlight w:val="none"/>
                <w:lang w:eastAsia="zh-CN"/>
              </w:rPr>
              <w:t>☑</w:t>
            </w:r>
            <w:r>
              <w:rPr>
                <w:rFonts w:hint="default" w:ascii="宋体" w:hAnsi="宋体"/>
                <w:kern w:val="0"/>
                <w:szCs w:val="24"/>
                <w:highlight w:val="none"/>
              </w:rPr>
              <w:t xml:space="preserve">现场参观           </w:t>
            </w:r>
            <w:r>
              <w:rPr>
                <w:rFonts w:hint="eastAsia" w:ascii="Segoe UI Symbol" w:hAnsi="Segoe UI Symbol" w:cs="Segoe UI Symbol"/>
                <w:kern w:val="0"/>
                <w:szCs w:val="24"/>
                <w:highlight w:val="none"/>
                <w:lang w:eastAsia="zh-CN"/>
              </w:rPr>
              <w:t>□</w:t>
            </w:r>
            <w:r>
              <w:rPr>
                <w:rFonts w:hint="default" w:ascii="宋体" w:hAnsi="宋体"/>
                <w:kern w:val="0"/>
                <w:szCs w:val="24"/>
                <w:highlight w:val="none"/>
              </w:rPr>
              <w:t>其他</w:t>
            </w:r>
          </w:p>
        </w:tc>
      </w:tr>
      <w:tr w14:paraId="2338A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trPr>
        <w:tc>
          <w:tcPr>
            <w:tcW w:w="1736" w:type="dxa"/>
            <w:vAlign w:val="center"/>
          </w:tcPr>
          <w:p w14:paraId="6A5BC60C">
            <w:pPr>
              <w:keepNext w:val="0"/>
              <w:keepLines w:val="0"/>
              <w:suppressLineNumbers w:val="0"/>
              <w:spacing w:before="0" w:beforeAutospacing="0" w:after="0" w:afterAutospacing="0"/>
              <w:ind w:left="0" w:right="0"/>
              <w:jc w:val="center"/>
              <w:rPr>
                <w:rFonts w:hint="default" w:ascii="宋体" w:hAnsi="宋体"/>
                <w:b/>
                <w:bCs/>
                <w:szCs w:val="24"/>
                <w:highlight w:val="none"/>
              </w:rPr>
            </w:pPr>
            <w:r>
              <w:rPr>
                <w:rFonts w:hint="eastAsia" w:ascii="宋体" w:hAnsi="宋体"/>
                <w:b/>
                <w:bCs/>
                <w:szCs w:val="24"/>
                <w:highlight w:val="none"/>
              </w:rPr>
              <w:t>参与单位名称</w:t>
            </w:r>
          </w:p>
          <w:p w14:paraId="5DC99DA3">
            <w:pPr>
              <w:keepNext w:val="0"/>
              <w:keepLines w:val="0"/>
              <w:suppressLineNumbers w:val="0"/>
              <w:spacing w:before="0" w:beforeAutospacing="0" w:after="0" w:afterAutospacing="0"/>
              <w:ind w:left="0" w:right="0"/>
              <w:jc w:val="center"/>
              <w:rPr>
                <w:rFonts w:hint="default" w:ascii="宋体" w:hAnsi="宋体"/>
                <w:b/>
                <w:bCs/>
                <w:szCs w:val="24"/>
                <w:highlight w:val="none"/>
              </w:rPr>
            </w:pPr>
            <w:r>
              <w:rPr>
                <w:rFonts w:hint="eastAsia" w:ascii="宋体" w:hAnsi="宋体"/>
                <w:b/>
                <w:bCs/>
                <w:szCs w:val="24"/>
                <w:highlight w:val="none"/>
              </w:rPr>
              <w:t>及人员姓名</w:t>
            </w:r>
          </w:p>
        </w:tc>
        <w:tc>
          <w:tcPr>
            <w:tcW w:w="6772" w:type="dxa"/>
            <w:vAlign w:val="center"/>
          </w:tcPr>
          <w:p w14:paraId="1AB169E8">
            <w:pPr>
              <w:keepNext w:val="0"/>
              <w:keepLines w:val="0"/>
              <w:suppressLineNumbers w:val="0"/>
              <w:spacing w:before="0" w:beforeAutospacing="0" w:after="0" w:afterAutospacing="0" w:line="360" w:lineRule="auto"/>
              <w:ind w:left="0" w:right="0"/>
              <w:jc w:val="left"/>
              <w:rPr>
                <w:rFonts w:hint="default" w:ascii="宋体" w:hAnsi="宋体" w:eastAsia="宋体"/>
                <w:color w:val="auto"/>
                <w:szCs w:val="24"/>
                <w:highlight w:val="none"/>
                <w:lang w:val="en-US" w:eastAsia="zh-CN"/>
              </w:rPr>
            </w:pPr>
            <w:r>
              <w:rPr>
                <w:rFonts w:hint="eastAsia" w:ascii="宋体" w:hAnsi="宋体"/>
                <w:color w:val="auto"/>
                <w:szCs w:val="24"/>
                <w:highlight w:val="none"/>
                <w:lang w:val="en-US" w:eastAsia="zh-CN"/>
              </w:rPr>
              <w:t>国投证券、清溪投资、南方基金、鹏华基金、趣时资产、国海证券、中金证券、千禧投资、松熙投资、申万菱信基金、宝盈基金、西部证券、长江证券、中庚基金、摩根基金、广发基金、平安基金、中邮证券等</w:t>
            </w:r>
          </w:p>
        </w:tc>
      </w:tr>
      <w:tr w14:paraId="09CE8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736" w:type="dxa"/>
            <w:vAlign w:val="center"/>
          </w:tcPr>
          <w:p w14:paraId="507D7225">
            <w:pPr>
              <w:keepNext w:val="0"/>
              <w:keepLines w:val="0"/>
              <w:suppressLineNumbers w:val="0"/>
              <w:spacing w:before="0" w:beforeAutospacing="0" w:after="0" w:afterAutospacing="0"/>
              <w:ind w:left="0" w:right="0"/>
              <w:jc w:val="center"/>
              <w:rPr>
                <w:rFonts w:hint="default" w:ascii="宋体" w:hAnsi="宋体"/>
                <w:b/>
                <w:bCs/>
                <w:szCs w:val="24"/>
                <w:highlight w:val="none"/>
              </w:rPr>
            </w:pPr>
            <w:r>
              <w:rPr>
                <w:rFonts w:hint="eastAsia" w:ascii="宋体" w:hAnsi="宋体"/>
                <w:b/>
                <w:bCs/>
                <w:szCs w:val="24"/>
                <w:highlight w:val="none"/>
              </w:rPr>
              <w:t>时间</w:t>
            </w:r>
          </w:p>
        </w:tc>
        <w:tc>
          <w:tcPr>
            <w:tcW w:w="6772" w:type="dxa"/>
            <w:vAlign w:val="center"/>
          </w:tcPr>
          <w:p w14:paraId="7790D1D3">
            <w:pPr>
              <w:keepNext w:val="0"/>
              <w:keepLines w:val="0"/>
              <w:suppressLineNumbers w:val="0"/>
              <w:spacing w:before="0" w:beforeAutospacing="0" w:after="0" w:afterAutospacing="0" w:line="360" w:lineRule="auto"/>
              <w:ind w:left="0" w:right="0"/>
              <w:jc w:val="left"/>
              <w:rPr>
                <w:rFonts w:hint="default" w:ascii="宋体" w:hAnsi="宋体"/>
                <w:color w:val="auto"/>
                <w:szCs w:val="24"/>
                <w:highlight w:val="none"/>
              </w:rPr>
            </w:pPr>
            <w:r>
              <w:rPr>
                <w:rFonts w:hint="eastAsia" w:ascii="宋体" w:hAnsi="宋体"/>
                <w:color w:val="auto"/>
                <w:szCs w:val="24"/>
                <w:highlight w:val="none"/>
              </w:rPr>
              <w:t>2026年</w:t>
            </w:r>
            <w:r>
              <w:rPr>
                <w:rFonts w:hint="eastAsia" w:ascii="宋体" w:hAnsi="宋体"/>
                <w:color w:val="auto"/>
                <w:szCs w:val="24"/>
                <w:highlight w:val="none"/>
                <w:lang w:val="en-US" w:eastAsia="zh-CN"/>
              </w:rPr>
              <w:t>7</w:t>
            </w:r>
            <w:r>
              <w:rPr>
                <w:rFonts w:hint="eastAsia" w:ascii="宋体" w:hAnsi="宋体"/>
                <w:color w:val="auto"/>
                <w:szCs w:val="24"/>
                <w:highlight w:val="none"/>
              </w:rPr>
              <w:t>月</w:t>
            </w:r>
            <w:r>
              <w:rPr>
                <w:rFonts w:hint="eastAsia" w:ascii="宋体" w:hAnsi="宋体"/>
                <w:color w:val="auto"/>
                <w:szCs w:val="24"/>
                <w:highlight w:val="none"/>
                <w:lang w:val="en-US" w:eastAsia="zh-CN"/>
              </w:rPr>
              <w:t>1</w:t>
            </w:r>
            <w:r>
              <w:rPr>
                <w:rFonts w:hint="default" w:ascii="宋体" w:hAnsi="宋体"/>
                <w:color w:val="auto"/>
                <w:szCs w:val="24"/>
                <w:highlight w:val="none"/>
              </w:rPr>
              <w:t>日</w:t>
            </w:r>
            <w:r>
              <w:rPr>
                <w:rFonts w:hint="eastAsia" w:ascii="宋体" w:hAnsi="宋体"/>
                <w:color w:val="auto"/>
                <w:szCs w:val="24"/>
                <w:highlight w:val="none"/>
              </w:rPr>
              <w:t>-</w:t>
            </w:r>
            <w:r>
              <w:rPr>
                <w:rFonts w:hint="eastAsia" w:ascii="宋体" w:hAnsi="宋体"/>
                <w:color w:val="auto"/>
                <w:szCs w:val="24"/>
                <w:highlight w:val="none"/>
                <w:lang w:val="en-US" w:eastAsia="zh-CN"/>
              </w:rPr>
              <w:t>7</w:t>
            </w:r>
            <w:r>
              <w:rPr>
                <w:rFonts w:hint="default" w:ascii="宋体" w:hAnsi="宋体"/>
                <w:color w:val="auto"/>
                <w:szCs w:val="24"/>
                <w:highlight w:val="none"/>
              </w:rPr>
              <w:t>月</w:t>
            </w:r>
            <w:r>
              <w:rPr>
                <w:rFonts w:hint="eastAsia" w:ascii="宋体" w:hAnsi="宋体"/>
                <w:color w:val="auto"/>
                <w:szCs w:val="24"/>
                <w:highlight w:val="none"/>
                <w:lang w:val="en-US" w:eastAsia="zh-CN"/>
              </w:rPr>
              <w:t>16</w:t>
            </w:r>
            <w:r>
              <w:rPr>
                <w:rFonts w:hint="eastAsia" w:ascii="宋体" w:hAnsi="宋体"/>
                <w:color w:val="auto"/>
                <w:szCs w:val="24"/>
                <w:highlight w:val="none"/>
              </w:rPr>
              <w:t>日</w:t>
            </w:r>
          </w:p>
        </w:tc>
      </w:tr>
      <w:tr w14:paraId="2F501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6" w:type="dxa"/>
            <w:vAlign w:val="center"/>
          </w:tcPr>
          <w:p w14:paraId="53A184B0">
            <w:pPr>
              <w:keepNext w:val="0"/>
              <w:keepLines w:val="0"/>
              <w:suppressLineNumbers w:val="0"/>
              <w:spacing w:before="0" w:beforeAutospacing="0" w:after="0" w:afterAutospacing="0"/>
              <w:ind w:left="0" w:right="0"/>
              <w:jc w:val="center"/>
              <w:rPr>
                <w:rFonts w:hint="default" w:ascii="宋体" w:hAnsi="宋体"/>
                <w:b/>
                <w:bCs/>
                <w:szCs w:val="24"/>
                <w:highlight w:val="none"/>
              </w:rPr>
            </w:pPr>
            <w:r>
              <w:rPr>
                <w:rFonts w:hint="eastAsia" w:ascii="宋体" w:hAnsi="宋体"/>
                <w:b/>
                <w:bCs/>
                <w:szCs w:val="24"/>
                <w:highlight w:val="none"/>
              </w:rPr>
              <w:t>地点</w:t>
            </w:r>
          </w:p>
        </w:tc>
        <w:tc>
          <w:tcPr>
            <w:tcW w:w="6772" w:type="dxa"/>
            <w:vAlign w:val="center"/>
          </w:tcPr>
          <w:p w14:paraId="766C2EE6">
            <w:pPr>
              <w:keepNext w:val="0"/>
              <w:keepLines w:val="0"/>
              <w:suppressLineNumbers w:val="0"/>
              <w:spacing w:before="0" w:beforeAutospacing="0" w:after="0" w:afterAutospacing="0" w:line="360" w:lineRule="auto"/>
              <w:ind w:left="0" w:right="0"/>
              <w:jc w:val="left"/>
              <w:rPr>
                <w:rFonts w:hint="default" w:ascii="宋体" w:hAnsi="宋体" w:eastAsia="宋体"/>
                <w:szCs w:val="24"/>
                <w:highlight w:val="none"/>
                <w:lang w:val="en-US" w:eastAsia="zh-CN"/>
              </w:rPr>
            </w:pPr>
            <w:r>
              <w:rPr>
                <w:rFonts w:hint="eastAsia" w:ascii="宋体" w:hAnsi="宋体"/>
                <w:szCs w:val="24"/>
                <w:highlight w:val="none"/>
                <w:lang w:val="en-US" w:eastAsia="zh-CN"/>
              </w:rPr>
              <w:t>公司会议室</w:t>
            </w:r>
          </w:p>
        </w:tc>
      </w:tr>
      <w:tr w14:paraId="3AD04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trPr>
        <w:tc>
          <w:tcPr>
            <w:tcW w:w="1736" w:type="dxa"/>
            <w:vAlign w:val="center"/>
          </w:tcPr>
          <w:p w14:paraId="6A8E2B66">
            <w:pPr>
              <w:keepNext w:val="0"/>
              <w:keepLines w:val="0"/>
              <w:suppressLineNumbers w:val="0"/>
              <w:spacing w:before="0" w:beforeAutospacing="0" w:after="0" w:afterAutospacing="0"/>
              <w:ind w:left="0" w:right="0"/>
              <w:jc w:val="center"/>
              <w:rPr>
                <w:rFonts w:hint="default" w:ascii="宋体" w:hAnsi="宋体"/>
                <w:szCs w:val="24"/>
                <w:highlight w:val="none"/>
              </w:rPr>
            </w:pPr>
            <w:r>
              <w:rPr>
                <w:rFonts w:hint="eastAsia" w:ascii="宋体" w:hAnsi="宋体"/>
                <w:b/>
                <w:bCs/>
                <w:szCs w:val="24"/>
                <w:highlight w:val="none"/>
              </w:rPr>
              <w:t>上市公司接待人员姓名</w:t>
            </w:r>
          </w:p>
        </w:tc>
        <w:tc>
          <w:tcPr>
            <w:tcW w:w="6772" w:type="dxa"/>
            <w:vAlign w:val="center"/>
          </w:tcPr>
          <w:p w14:paraId="42903C4D">
            <w:pPr>
              <w:keepNext w:val="0"/>
              <w:keepLines w:val="0"/>
              <w:suppressLineNumbers w:val="0"/>
              <w:spacing w:before="0" w:beforeAutospacing="0" w:after="0" w:afterAutospacing="0" w:line="360" w:lineRule="auto"/>
              <w:ind w:left="0" w:right="0"/>
              <w:jc w:val="left"/>
              <w:rPr>
                <w:rFonts w:hint="default" w:ascii="宋体" w:hAnsi="宋体" w:eastAsia="宋体"/>
                <w:szCs w:val="24"/>
                <w:highlight w:val="none"/>
                <w:lang w:val="en-US" w:eastAsia="zh-CN"/>
              </w:rPr>
            </w:pPr>
            <w:r>
              <w:rPr>
                <w:rFonts w:hint="eastAsia" w:ascii="宋体" w:hAnsi="宋体"/>
                <w:szCs w:val="24"/>
                <w:highlight w:val="none"/>
                <w:lang w:val="en-US" w:eastAsia="zh-CN"/>
              </w:rPr>
              <w:t>董事长：解海华</w:t>
            </w:r>
          </w:p>
          <w:p w14:paraId="6B23C796">
            <w:pPr>
              <w:keepNext w:val="0"/>
              <w:keepLines w:val="0"/>
              <w:suppressLineNumbers w:val="0"/>
              <w:spacing w:before="0" w:beforeAutospacing="0" w:after="0" w:afterAutospacing="0" w:line="360" w:lineRule="auto"/>
              <w:ind w:left="0" w:right="0"/>
              <w:jc w:val="left"/>
              <w:rPr>
                <w:rFonts w:hint="default" w:ascii="宋体" w:hAnsi="宋体"/>
                <w:szCs w:val="24"/>
                <w:highlight w:val="none"/>
              </w:rPr>
            </w:pPr>
            <w:r>
              <w:rPr>
                <w:rFonts w:hint="eastAsia" w:ascii="宋体" w:hAnsi="宋体"/>
                <w:szCs w:val="24"/>
                <w:highlight w:val="none"/>
              </w:rPr>
              <w:t>董事会秘书：于杰</w:t>
            </w:r>
          </w:p>
          <w:p w14:paraId="56ACB609">
            <w:pPr>
              <w:keepNext w:val="0"/>
              <w:keepLines w:val="0"/>
              <w:suppressLineNumbers w:val="0"/>
              <w:spacing w:before="0" w:beforeAutospacing="0" w:after="0" w:afterAutospacing="0" w:line="360" w:lineRule="auto"/>
              <w:ind w:left="0" w:right="0"/>
              <w:jc w:val="left"/>
              <w:rPr>
                <w:rFonts w:hint="default" w:ascii="宋体" w:hAnsi="宋体"/>
                <w:szCs w:val="24"/>
                <w:highlight w:val="none"/>
              </w:rPr>
            </w:pPr>
            <w:r>
              <w:rPr>
                <w:rFonts w:hint="eastAsia" w:ascii="宋体" w:hAnsi="宋体"/>
                <w:szCs w:val="24"/>
                <w:highlight w:val="none"/>
              </w:rPr>
              <w:t>董事会办公室</w:t>
            </w:r>
            <w:r>
              <w:rPr>
                <w:rFonts w:hint="default" w:ascii="宋体" w:hAnsi="宋体"/>
                <w:szCs w:val="24"/>
                <w:highlight w:val="none"/>
              </w:rPr>
              <w:t>总监：战世能</w:t>
            </w:r>
          </w:p>
          <w:p w14:paraId="568F9177">
            <w:pPr>
              <w:keepNext w:val="0"/>
              <w:keepLines w:val="0"/>
              <w:suppressLineNumbers w:val="0"/>
              <w:spacing w:before="0" w:beforeAutospacing="0" w:after="0" w:afterAutospacing="0" w:line="360" w:lineRule="auto"/>
              <w:ind w:left="0" w:right="0"/>
              <w:jc w:val="left"/>
              <w:rPr>
                <w:rFonts w:hint="default" w:ascii="宋体" w:hAnsi="宋体"/>
                <w:szCs w:val="24"/>
                <w:highlight w:val="none"/>
              </w:rPr>
            </w:pPr>
            <w:r>
              <w:rPr>
                <w:rFonts w:hint="eastAsia" w:ascii="宋体" w:hAnsi="宋体"/>
                <w:szCs w:val="24"/>
                <w:highlight w:val="none"/>
              </w:rPr>
              <w:t>证券事务代表：翟丞</w:t>
            </w:r>
          </w:p>
        </w:tc>
      </w:tr>
      <w:tr w14:paraId="5ED57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36" w:type="dxa"/>
            <w:vAlign w:val="center"/>
          </w:tcPr>
          <w:p w14:paraId="3773EC06">
            <w:pPr>
              <w:keepNext w:val="0"/>
              <w:keepLines w:val="0"/>
              <w:suppressLineNumbers w:val="0"/>
              <w:spacing w:before="0" w:beforeAutospacing="0" w:after="0" w:afterAutospacing="0"/>
              <w:ind w:left="0" w:right="0"/>
              <w:jc w:val="center"/>
              <w:rPr>
                <w:rFonts w:hint="eastAsia" w:ascii="宋体" w:hAnsi="宋体"/>
                <w:b/>
                <w:bCs/>
                <w:szCs w:val="24"/>
                <w:highlight w:val="none"/>
              </w:rPr>
            </w:pPr>
            <w:r>
              <w:rPr>
                <w:rFonts w:hint="eastAsia" w:ascii="宋体" w:hAnsi="宋体"/>
                <w:b/>
                <w:bCs/>
                <w:szCs w:val="24"/>
                <w:highlight w:val="none"/>
              </w:rPr>
              <w:t>投资者关系</w:t>
            </w:r>
          </w:p>
          <w:p w14:paraId="6E7604D5">
            <w:pPr>
              <w:keepNext w:val="0"/>
              <w:keepLines w:val="0"/>
              <w:suppressLineNumbers w:val="0"/>
              <w:spacing w:before="0" w:beforeAutospacing="0" w:after="0" w:afterAutospacing="0"/>
              <w:ind w:left="0" w:right="0"/>
              <w:jc w:val="center"/>
              <w:rPr>
                <w:rFonts w:hint="eastAsia" w:ascii="宋体" w:hAnsi="宋体"/>
                <w:b/>
                <w:bCs/>
                <w:szCs w:val="24"/>
                <w:highlight w:val="none"/>
              </w:rPr>
            </w:pPr>
            <w:r>
              <w:rPr>
                <w:rFonts w:hint="eastAsia" w:ascii="宋体" w:hAnsi="宋体"/>
                <w:b/>
                <w:bCs/>
                <w:szCs w:val="24"/>
                <w:highlight w:val="none"/>
              </w:rPr>
              <w:t>活动主要</w:t>
            </w:r>
          </w:p>
          <w:p w14:paraId="63C77C39">
            <w:pPr>
              <w:keepNext w:val="0"/>
              <w:keepLines w:val="0"/>
              <w:suppressLineNumbers w:val="0"/>
              <w:spacing w:before="0" w:beforeAutospacing="0" w:after="0" w:afterAutospacing="0"/>
              <w:ind w:left="0" w:right="0"/>
              <w:jc w:val="center"/>
              <w:rPr>
                <w:rFonts w:hint="default" w:ascii="宋体" w:hAnsi="宋体"/>
                <w:b/>
                <w:bCs/>
                <w:szCs w:val="24"/>
                <w:highlight w:val="none"/>
              </w:rPr>
            </w:pPr>
            <w:r>
              <w:rPr>
                <w:rFonts w:hint="eastAsia" w:ascii="宋体" w:hAnsi="宋体"/>
                <w:b/>
                <w:bCs/>
                <w:szCs w:val="24"/>
                <w:highlight w:val="none"/>
              </w:rPr>
              <w:t>内容介绍</w:t>
            </w:r>
          </w:p>
        </w:tc>
        <w:tc>
          <w:tcPr>
            <w:tcW w:w="6772" w:type="dxa"/>
            <w:vAlign w:val="center"/>
          </w:tcPr>
          <w:p w14:paraId="36E225C4">
            <w:pPr>
              <w:keepNext w:val="0"/>
              <w:keepLines w:val="0"/>
              <w:suppressLineNumbers w:val="0"/>
              <w:spacing w:before="0" w:beforeAutospacing="0" w:after="0" w:afterAutospacing="0" w:line="560" w:lineRule="exact"/>
              <w:ind w:left="0" w:right="0" w:firstLine="482" w:firstLineChars="200"/>
              <w:rPr>
                <w:rFonts w:hint="default" w:ascii="宋体" w:hAnsi="宋体"/>
                <w:b/>
                <w:szCs w:val="24"/>
                <w:highlight w:val="none"/>
              </w:rPr>
            </w:pPr>
            <w:r>
              <w:rPr>
                <w:rFonts w:hint="eastAsia" w:ascii="宋体" w:hAnsi="宋体"/>
                <w:b/>
                <w:bCs/>
                <w:szCs w:val="24"/>
                <w:highlight w:val="none"/>
              </w:rPr>
              <w:t>1、请介绍一下公司各业务板块占比情况</w:t>
            </w:r>
            <w:r>
              <w:rPr>
                <w:rFonts w:hint="eastAsia" w:ascii="宋体" w:hAnsi="宋体"/>
                <w:b/>
                <w:bCs/>
                <w:szCs w:val="24"/>
                <w:highlight w:val="none"/>
                <w:lang w:val="en-US" w:eastAsia="zh-CN"/>
              </w:rPr>
              <w:t>及近期增长趋势</w:t>
            </w:r>
            <w:r>
              <w:rPr>
                <w:rFonts w:hint="eastAsia" w:ascii="宋体" w:hAnsi="宋体"/>
                <w:b/>
                <w:bCs/>
                <w:szCs w:val="24"/>
                <w:highlight w:val="none"/>
              </w:rPr>
              <w:t>？</w:t>
            </w:r>
          </w:p>
          <w:p w14:paraId="52085BDB">
            <w:pPr>
              <w:keepNext w:val="0"/>
              <w:keepLines w:val="0"/>
              <w:suppressLineNumbers w:val="0"/>
              <w:spacing w:before="0" w:beforeAutospacing="0" w:after="0" w:afterAutospacing="0" w:line="360" w:lineRule="auto"/>
              <w:ind w:left="0" w:right="0" w:firstLine="480" w:firstLineChars="200"/>
              <w:rPr>
                <w:rFonts w:hint="eastAsia" w:ascii="宋体" w:hAnsi="宋体" w:cs="宋体"/>
                <w:kern w:val="0"/>
                <w:szCs w:val="24"/>
                <w:highlight w:val="none"/>
                <w:lang w:val="en-US" w:eastAsia="zh-CN"/>
              </w:rPr>
            </w:pPr>
            <w:r>
              <w:rPr>
                <w:rFonts w:hint="eastAsia" w:ascii="宋体" w:hAnsi="宋体"/>
                <w:szCs w:val="24"/>
                <w:highlight w:val="none"/>
              </w:rPr>
              <w:t>答：公司以集成电路封装材料技术为引领，聚焦集成电路封装、智能终端封装、新能源应用、高端装备应用四大应用领域。</w:t>
            </w:r>
            <w:r>
              <w:rPr>
                <w:rFonts w:hint="eastAsia" w:ascii="宋体" w:hAnsi="宋体" w:cs="宋体"/>
                <w:kern w:val="0"/>
                <w:szCs w:val="24"/>
                <w:highlight w:val="none"/>
              </w:rPr>
              <w:t>根据2</w:t>
            </w:r>
            <w:r>
              <w:rPr>
                <w:rFonts w:hint="default" w:ascii="宋体" w:hAnsi="宋体" w:cs="宋体"/>
                <w:kern w:val="0"/>
                <w:szCs w:val="24"/>
                <w:highlight w:val="none"/>
              </w:rPr>
              <w:t>025年度数据，公司</w:t>
            </w:r>
            <w:r>
              <w:rPr>
                <w:rFonts w:hint="eastAsia" w:ascii="宋体" w:hAnsi="宋体" w:cs="宋体"/>
                <w:kern w:val="0"/>
                <w:szCs w:val="24"/>
                <w:highlight w:val="none"/>
              </w:rPr>
              <w:t>各</w:t>
            </w:r>
            <w:r>
              <w:rPr>
                <w:rFonts w:hint="default" w:ascii="宋体" w:hAnsi="宋体" w:cs="宋体"/>
                <w:kern w:val="0"/>
                <w:szCs w:val="24"/>
                <w:highlight w:val="none"/>
              </w:rPr>
              <w:t>业务</w:t>
            </w:r>
            <w:r>
              <w:rPr>
                <w:rFonts w:hint="eastAsia" w:ascii="宋体" w:hAnsi="宋体" w:cs="宋体"/>
                <w:kern w:val="0"/>
                <w:szCs w:val="24"/>
                <w:highlight w:val="none"/>
              </w:rPr>
              <w:t>板块均呈现</w:t>
            </w:r>
            <w:r>
              <w:rPr>
                <w:rFonts w:hint="default" w:ascii="宋体" w:hAnsi="宋体" w:cs="宋体"/>
                <w:kern w:val="0"/>
                <w:szCs w:val="24"/>
                <w:highlight w:val="none"/>
              </w:rPr>
              <w:t>增长态势</w:t>
            </w:r>
            <w:r>
              <w:rPr>
                <w:rFonts w:hint="eastAsia" w:ascii="宋体" w:hAnsi="宋体" w:cs="宋体"/>
                <w:kern w:val="0"/>
                <w:szCs w:val="24"/>
                <w:highlight w:val="none"/>
                <w:lang w:eastAsia="zh-CN"/>
              </w:rPr>
              <w:t>：</w:t>
            </w:r>
            <w:r>
              <w:rPr>
                <w:rFonts w:hint="eastAsia" w:ascii="宋体" w:hAnsi="宋体" w:cs="宋体"/>
                <w:kern w:val="0"/>
                <w:szCs w:val="24"/>
                <w:highlight w:val="none"/>
              </w:rPr>
              <w:t>集成电路</w:t>
            </w:r>
            <w:r>
              <w:rPr>
                <w:rFonts w:hint="eastAsia" w:ascii="宋体" w:hAnsi="宋体" w:cs="宋体"/>
                <w:kern w:val="0"/>
                <w:szCs w:val="24"/>
                <w:highlight w:val="none"/>
                <w:lang w:val="en-US" w:eastAsia="zh-CN"/>
              </w:rPr>
              <w:t>板块呈现持续快速增长的趋势，板块业务占比明显提升；</w:t>
            </w:r>
            <w:r>
              <w:rPr>
                <w:rFonts w:hint="eastAsia" w:ascii="宋体" w:hAnsi="宋体" w:cs="宋体"/>
                <w:kern w:val="0"/>
                <w:szCs w:val="24"/>
                <w:highlight w:val="none"/>
              </w:rPr>
              <w:t>智能终端板块</w:t>
            </w:r>
            <w:r>
              <w:rPr>
                <w:rFonts w:hint="eastAsia" w:ascii="宋体" w:hAnsi="宋体" w:cs="宋体"/>
                <w:kern w:val="0"/>
                <w:szCs w:val="24"/>
                <w:highlight w:val="none"/>
                <w:lang w:val="en-US" w:eastAsia="zh-CN"/>
              </w:rPr>
              <w:t>在新应用场景、新应用点持续突破和放量，板块增速也明显好于公司整体增速；新能源板块始终保持稳定的市场份额，随着行业趋势持续稳定增长。</w:t>
            </w:r>
          </w:p>
          <w:p w14:paraId="05CB977C">
            <w:pPr>
              <w:keepNext w:val="0"/>
              <w:keepLines w:val="0"/>
              <w:suppressLineNumbers w:val="0"/>
              <w:spacing w:before="0" w:beforeAutospacing="0" w:after="0" w:afterAutospacing="0" w:line="560" w:lineRule="exact"/>
              <w:ind w:left="0" w:right="0" w:firstLine="482" w:firstLineChars="200"/>
              <w:rPr>
                <w:rFonts w:hint="default" w:ascii="宋体" w:hAnsi="宋体"/>
                <w:b/>
                <w:bCs/>
                <w:szCs w:val="24"/>
                <w:highlight w:val="none"/>
              </w:rPr>
            </w:pPr>
            <w:r>
              <w:rPr>
                <w:rFonts w:hint="eastAsia" w:ascii="宋体" w:hAnsi="宋体"/>
                <w:b/>
                <w:bCs/>
                <w:szCs w:val="24"/>
                <w:highlight w:val="none"/>
              </w:rPr>
              <w:t>2、请介绍一下公司集成电路业务具体产品情况？</w:t>
            </w:r>
          </w:p>
          <w:p w14:paraId="15DAEB93">
            <w:pPr>
              <w:keepNext w:val="0"/>
              <w:keepLines w:val="0"/>
              <w:suppressLineNumbers w:val="0"/>
              <w:spacing w:before="0" w:beforeAutospacing="0" w:after="0" w:afterAutospacing="0" w:line="360" w:lineRule="auto"/>
              <w:ind w:left="0" w:right="0" w:firstLine="480" w:firstLineChars="200"/>
              <w:rPr>
                <w:rFonts w:hint="eastAsia" w:ascii="宋体" w:hAnsi="宋体" w:cs="宋体"/>
                <w:b/>
                <w:kern w:val="0"/>
                <w:szCs w:val="24"/>
                <w:highlight w:val="none"/>
                <w:lang w:val="en-US" w:eastAsia="zh-CN"/>
              </w:rPr>
            </w:pPr>
            <w:r>
              <w:rPr>
                <w:rFonts w:hint="eastAsia" w:ascii="宋体" w:hAnsi="宋体" w:cs="宋体"/>
                <w:kern w:val="0"/>
                <w:szCs w:val="24"/>
                <w:highlight w:val="none"/>
                <w:lang w:val="en-US" w:eastAsia="zh-CN"/>
              </w:rPr>
              <w:t>答：集成电路封装材料主要包括导热系列（导热垫片、凝胶、相变化材料PCM、液态金属）、固晶系列（DAP、DAF/CDAF膜）、芯片封装薄膜系列（UV减薄膜、UV切割膜）、底部填充材料、Lid框胶（AD胶）及临时键合胶等，</w:t>
            </w:r>
            <w:r>
              <w:rPr>
                <w:rFonts w:hint="eastAsia" w:ascii="宋体" w:hAnsi="宋体"/>
                <w:szCs w:val="24"/>
                <w:highlight w:val="none"/>
              </w:rPr>
              <w:t>主要客户包括国内主流芯片设计公司、封测企业以及组装厂</w:t>
            </w:r>
            <w:r>
              <w:rPr>
                <w:rFonts w:hint="eastAsia" w:ascii="宋体" w:hAnsi="宋体"/>
                <w:szCs w:val="24"/>
                <w:highlight w:val="none"/>
                <w:lang w:val="en-US" w:eastAsia="zh-CN"/>
              </w:rPr>
              <w:t>等。</w:t>
            </w:r>
          </w:p>
          <w:p w14:paraId="25A89C29">
            <w:pPr>
              <w:keepNext w:val="0"/>
              <w:keepLines w:val="0"/>
              <w:suppressLineNumbers w:val="0"/>
              <w:spacing w:before="0" w:beforeAutospacing="0" w:after="0" w:afterAutospacing="0" w:line="360" w:lineRule="auto"/>
              <w:ind w:left="0" w:right="0" w:firstLine="482" w:firstLineChars="200"/>
              <w:rPr>
                <w:rFonts w:hint="default" w:ascii="宋体" w:hAnsi="宋体" w:cs="宋体"/>
                <w:bCs/>
                <w:kern w:val="0"/>
                <w:szCs w:val="24"/>
                <w:highlight w:val="none"/>
              </w:rPr>
            </w:pPr>
            <w:r>
              <w:rPr>
                <w:rFonts w:hint="eastAsia" w:ascii="宋体" w:hAnsi="宋体" w:cs="宋体"/>
                <w:b/>
                <w:kern w:val="0"/>
                <w:szCs w:val="24"/>
                <w:highlight w:val="none"/>
                <w:lang w:val="en-US" w:eastAsia="zh-CN"/>
              </w:rPr>
              <w:t>3</w:t>
            </w:r>
            <w:r>
              <w:rPr>
                <w:rFonts w:hint="eastAsia" w:ascii="宋体" w:hAnsi="宋体" w:cs="宋体"/>
                <w:b/>
                <w:kern w:val="0"/>
                <w:szCs w:val="24"/>
                <w:highlight w:val="none"/>
              </w:rPr>
              <w:t>、请介绍一下公司</w:t>
            </w:r>
            <w:r>
              <w:rPr>
                <w:rFonts w:hint="eastAsia" w:ascii="宋体" w:hAnsi="宋体" w:cs="宋体"/>
                <w:b/>
                <w:kern w:val="0"/>
                <w:szCs w:val="24"/>
                <w:highlight w:val="none"/>
                <w:lang w:val="en-US" w:eastAsia="zh-CN"/>
              </w:rPr>
              <w:t>Tim</w:t>
            </w:r>
            <w:r>
              <w:rPr>
                <w:rFonts w:hint="eastAsia" w:ascii="宋体" w:hAnsi="宋体" w:cs="宋体"/>
                <w:b/>
                <w:kern w:val="0"/>
                <w:szCs w:val="24"/>
                <w:highlight w:val="none"/>
              </w:rPr>
              <w:t>材料</w:t>
            </w:r>
            <w:r>
              <w:rPr>
                <w:rFonts w:hint="eastAsia" w:ascii="宋体" w:hAnsi="宋体" w:cs="宋体"/>
                <w:b/>
                <w:kern w:val="0"/>
                <w:szCs w:val="24"/>
                <w:highlight w:val="none"/>
                <w:lang w:val="en-US" w:eastAsia="zh-CN"/>
              </w:rPr>
              <w:t>下游主要应用领域和场景</w:t>
            </w:r>
            <w:r>
              <w:rPr>
                <w:rFonts w:hint="eastAsia" w:ascii="宋体" w:hAnsi="宋体" w:cs="宋体"/>
                <w:b/>
                <w:kern w:val="0"/>
                <w:szCs w:val="24"/>
                <w:highlight w:val="none"/>
              </w:rPr>
              <w:t>？</w:t>
            </w:r>
          </w:p>
          <w:p w14:paraId="6A1DB288">
            <w:pPr>
              <w:keepNext w:val="0"/>
              <w:keepLines w:val="0"/>
              <w:suppressLineNumbers w:val="0"/>
              <w:spacing w:before="0" w:beforeAutospacing="0" w:after="0" w:afterAutospacing="0" w:line="360" w:lineRule="auto"/>
              <w:ind w:left="0" w:right="0" w:firstLine="480" w:firstLineChars="200"/>
              <w:rPr>
                <w:rFonts w:hint="eastAsia" w:ascii="宋体" w:hAnsi="宋体" w:cs="宋体"/>
                <w:kern w:val="0"/>
                <w:szCs w:val="24"/>
                <w:highlight w:val="none"/>
                <w:lang w:val="en-US" w:eastAsia="zh-CN"/>
              </w:rPr>
            </w:pPr>
            <w:r>
              <w:rPr>
                <w:rFonts w:hint="eastAsia" w:ascii="宋体" w:hAnsi="宋体" w:cs="宋体"/>
                <w:kern w:val="0"/>
                <w:szCs w:val="24"/>
                <w:highlight w:val="none"/>
                <w:lang w:val="en-US" w:eastAsia="zh-CN"/>
              </w:rPr>
              <w:t>答：公司TIM材料主要应用于消费电子、汽车电子、存储、服务器、通讯及新能源等领域。公司TIM材料从应用位置区分包括Tim1、Tim1.5及Tim2产品，其中Tim1.5及Tim2已批量出货，Tim1已通过国内某重要封测厂全套验证。</w:t>
            </w:r>
          </w:p>
          <w:p w14:paraId="32B0C736">
            <w:pPr>
              <w:keepNext w:val="0"/>
              <w:keepLines w:val="0"/>
              <w:suppressLineNumbers w:val="0"/>
              <w:spacing w:before="0" w:beforeAutospacing="0" w:after="0" w:afterAutospacing="0" w:line="560" w:lineRule="exact"/>
              <w:ind w:left="0" w:right="0" w:firstLine="482" w:firstLineChars="200"/>
              <w:rPr>
                <w:rFonts w:hint="default" w:ascii="宋体" w:hAnsi="宋体" w:eastAsia="宋体"/>
                <w:b/>
                <w:bCs/>
                <w:szCs w:val="24"/>
                <w:highlight w:val="none"/>
                <w:lang w:val="en-US" w:eastAsia="zh-CN"/>
              </w:rPr>
            </w:pPr>
            <w:r>
              <w:rPr>
                <w:rFonts w:hint="eastAsia" w:ascii="宋体" w:hAnsi="宋体"/>
                <w:b/>
                <w:bCs/>
                <w:szCs w:val="24"/>
                <w:highlight w:val="none"/>
                <w:lang w:val="en-US" w:eastAsia="zh-CN"/>
              </w:rPr>
              <w:t>4</w:t>
            </w:r>
            <w:r>
              <w:rPr>
                <w:rFonts w:hint="eastAsia" w:ascii="宋体" w:hAnsi="宋体"/>
                <w:b/>
                <w:bCs/>
                <w:szCs w:val="24"/>
                <w:highlight w:val="none"/>
              </w:rPr>
              <w:t>、</w:t>
            </w:r>
            <w:r>
              <w:rPr>
                <w:rFonts w:hint="eastAsia" w:ascii="宋体" w:hAnsi="宋体"/>
                <w:b/>
                <w:bCs/>
                <w:szCs w:val="24"/>
                <w:highlight w:val="none"/>
                <w:lang w:val="en-US" w:eastAsia="zh-CN"/>
              </w:rPr>
              <w:t>请问公司哪些产品能够匹配先进封装工艺，</w:t>
            </w:r>
            <w:r>
              <w:rPr>
                <w:rFonts w:hint="eastAsia" w:ascii="宋体" w:hAnsi="宋体"/>
                <w:b/>
                <w:bCs/>
                <w:szCs w:val="24"/>
                <w:highlight w:val="none"/>
              </w:rPr>
              <w:t>请</w:t>
            </w:r>
            <w:r>
              <w:rPr>
                <w:rFonts w:hint="eastAsia" w:ascii="宋体" w:hAnsi="宋体"/>
                <w:b/>
                <w:bCs/>
                <w:szCs w:val="24"/>
                <w:highlight w:val="none"/>
                <w:lang w:val="en-US" w:eastAsia="zh-CN"/>
              </w:rPr>
              <w:t>具体介绍一下相关产品和应用工艺</w:t>
            </w:r>
            <w:r>
              <w:rPr>
                <w:rFonts w:hint="eastAsia" w:ascii="宋体" w:hAnsi="宋体"/>
                <w:b/>
                <w:bCs/>
                <w:szCs w:val="24"/>
                <w:highlight w:val="none"/>
              </w:rPr>
              <w:t>？</w:t>
            </w:r>
            <w:r>
              <w:rPr>
                <w:rFonts w:hint="eastAsia" w:ascii="宋体" w:hAnsi="宋体"/>
                <w:b/>
                <w:bCs/>
                <w:szCs w:val="24"/>
                <w:highlight w:val="none"/>
                <w:lang w:val="en-US" w:eastAsia="zh-CN"/>
              </w:rPr>
              <w:t>以及竞争格局情况？</w:t>
            </w:r>
          </w:p>
          <w:p w14:paraId="4A9F26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hint="eastAsia" w:ascii="宋体" w:hAnsi="宋体" w:cs="宋体"/>
                <w:kern w:val="0"/>
                <w:szCs w:val="24"/>
                <w:highlight w:val="none"/>
                <w:lang w:val="en-US" w:eastAsia="zh-CN"/>
              </w:rPr>
            </w:pPr>
            <w:r>
              <w:rPr>
                <w:rFonts w:hint="eastAsia" w:ascii="宋体" w:hAnsi="宋体" w:cs="宋体"/>
                <w:kern w:val="0"/>
                <w:szCs w:val="24"/>
                <w:highlight w:val="none"/>
                <w:lang w:val="en-US" w:eastAsia="zh-CN"/>
              </w:rPr>
              <w:t>答：</w:t>
            </w:r>
            <w:r>
              <w:rPr>
                <w:rFonts w:hint="eastAsia" w:ascii="宋体" w:hAnsi="宋体" w:eastAsia="宋体" w:cs="Arial"/>
                <w:sz w:val="24"/>
                <w:szCs w:val="24"/>
                <w:highlight w:val="none"/>
                <w:lang w:val="en-US" w:eastAsia="zh-CN" w:bidi="ar"/>
              </w:rPr>
              <w:t>公司专注于高端电子封装材料研发及产业化，致力于为集成电路封装提供晶圆固定、</w:t>
            </w:r>
            <w:r>
              <w:rPr>
                <w:rFonts w:hint="eastAsia" w:ascii="宋体" w:hAnsi="宋体" w:cs="Arial"/>
                <w:sz w:val="24"/>
                <w:szCs w:val="24"/>
                <w:highlight w:val="none"/>
                <w:lang w:val="en-US" w:eastAsia="zh-CN" w:bidi="ar"/>
              </w:rPr>
              <w:t>切割、减薄、键合、</w:t>
            </w:r>
            <w:r>
              <w:rPr>
                <w:rFonts w:hint="eastAsia" w:ascii="宋体" w:hAnsi="宋体" w:eastAsia="宋体" w:cs="Arial"/>
                <w:sz w:val="24"/>
                <w:szCs w:val="24"/>
                <w:highlight w:val="none"/>
                <w:lang w:val="en-US" w:eastAsia="zh-CN" w:bidi="ar"/>
              </w:rPr>
              <w:t>导电、导热、保护及提高芯片使用可靠性的综合性产品解决方案</w:t>
            </w:r>
            <w:r>
              <w:rPr>
                <w:rFonts w:hint="eastAsia" w:ascii="宋体" w:hAnsi="宋体" w:cs="Arial"/>
                <w:sz w:val="24"/>
                <w:szCs w:val="24"/>
                <w:highlight w:val="none"/>
                <w:lang w:val="en-US" w:eastAsia="zh-CN" w:bidi="ar"/>
              </w:rPr>
              <w:t>。</w:t>
            </w:r>
            <w:r>
              <w:rPr>
                <w:rFonts w:hint="eastAsia" w:ascii="宋体" w:hAnsi="宋体" w:eastAsia="宋体" w:cs="Arial"/>
                <w:sz w:val="24"/>
                <w:szCs w:val="24"/>
                <w:highlight w:val="none"/>
                <w:lang w:val="en-US" w:eastAsia="zh-CN" w:bidi="ar"/>
              </w:rPr>
              <w:t>目前公司多款核心产品可直接适配各类先进封装工艺，主要包括</w:t>
            </w:r>
            <w:r>
              <w:rPr>
                <w:rFonts w:hint="eastAsia" w:ascii="宋体" w:hAnsi="宋体" w:cs="Arial"/>
                <w:sz w:val="24"/>
                <w:szCs w:val="24"/>
                <w:highlight w:val="none"/>
                <w:lang w:val="en-US" w:eastAsia="zh-CN" w:bidi="ar"/>
              </w:rPr>
              <w:t>：UV膜（</w:t>
            </w:r>
            <w:r>
              <w:rPr>
                <w:rFonts w:hint="eastAsia" w:ascii="宋体" w:hAnsi="宋体" w:cs="宋体"/>
                <w:kern w:val="0"/>
                <w:szCs w:val="24"/>
                <w:highlight w:val="none"/>
                <w:lang w:val="en-US" w:eastAsia="zh-CN"/>
              </w:rPr>
              <w:t>UV减薄膜、UV切割膜</w:t>
            </w:r>
            <w:r>
              <w:rPr>
                <w:rFonts w:hint="eastAsia" w:ascii="宋体" w:hAnsi="宋体" w:cs="Arial"/>
                <w:sz w:val="24"/>
                <w:szCs w:val="24"/>
                <w:highlight w:val="none"/>
                <w:lang w:val="en-US" w:eastAsia="zh-CN" w:bidi="ar"/>
              </w:rPr>
              <w:t>）、</w:t>
            </w:r>
            <w:r>
              <w:rPr>
                <w:rFonts w:hint="eastAsia" w:ascii="宋体" w:hAnsi="宋体" w:cs="宋体"/>
                <w:kern w:val="0"/>
                <w:szCs w:val="24"/>
                <w:highlight w:val="none"/>
                <w:lang w:val="en-US" w:eastAsia="zh-CN"/>
              </w:rPr>
              <w:t>临时键合胶、固晶膜（DAF/CDAF）、芯片级底部填充胶、Lid框胶、Tim1等产品。</w:t>
            </w:r>
          </w:p>
          <w:p w14:paraId="52E341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hint="eastAsia" w:ascii="宋体" w:hAnsi="宋体" w:cs="宋体"/>
                <w:kern w:val="0"/>
                <w:szCs w:val="24"/>
                <w:highlight w:val="none"/>
                <w:lang w:val="en-US" w:eastAsia="zh-CN"/>
              </w:rPr>
            </w:pPr>
            <w:r>
              <w:rPr>
                <w:rFonts w:hint="eastAsia" w:ascii="宋体" w:hAnsi="宋体" w:eastAsia="宋体" w:cs="Arial"/>
                <w:kern w:val="2"/>
                <w:sz w:val="24"/>
                <w:szCs w:val="24"/>
                <w:highlight w:val="none"/>
                <w:lang w:val="en-US" w:eastAsia="zh-CN" w:bidi="ar"/>
              </w:rPr>
              <w:t>从行业竞争格局来看，国内高端先进封装材料领域长期由海外头部厂商主导，整体国产化率较低，行业国产替代空间广阔、市场潜力巨大。公司将紧抓半导体材料国产化的行业发展</w:t>
            </w:r>
            <w:r>
              <w:rPr>
                <w:rFonts w:hint="eastAsia" w:ascii="宋体" w:hAnsi="宋体" w:cs="Arial"/>
                <w:kern w:val="2"/>
                <w:sz w:val="24"/>
                <w:szCs w:val="24"/>
                <w:highlight w:val="none"/>
                <w:lang w:val="en-US" w:eastAsia="zh-CN" w:bidi="ar"/>
              </w:rPr>
              <w:t>机遇</w:t>
            </w:r>
            <w:r>
              <w:rPr>
                <w:rFonts w:hint="eastAsia" w:ascii="宋体" w:hAnsi="宋体" w:eastAsia="宋体" w:cs="Arial"/>
                <w:kern w:val="2"/>
                <w:sz w:val="24"/>
                <w:szCs w:val="24"/>
                <w:highlight w:val="none"/>
                <w:lang w:val="en-US" w:eastAsia="zh-CN" w:bidi="ar"/>
              </w:rPr>
              <w:t>，持续深耕先进封装材料赛道，不断迭代优化产品性能、提升产业化能力，全力推动高端封装材料的国产替代进程。</w:t>
            </w:r>
          </w:p>
          <w:p w14:paraId="2414F9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hint="eastAsia" w:ascii="宋体" w:hAnsi="宋体"/>
                <w:szCs w:val="24"/>
                <w:highlight w:val="none"/>
              </w:rPr>
            </w:pPr>
            <w:r>
              <w:rPr>
                <w:rFonts w:hint="eastAsia" w:ascii="宋体" w:hAnsi="宋体" w:cs="宋体"/>
                <w:kern w:val="0"/>
                <w:szCs w:val="24"/>
                <w:highlight w:val="none"/>
                <w:lang w:val="en-US" w:eastAsia="zh-CN"/>
              </w:rPr>
              <w:t>现阶段，公司上述产品目前尚处于小批量交付阶段。</w:t>
            </w:r>
          </w:p>
          <w:p w14:paraId="2D5ACA1B">
            <w:pPr>
              <w:keepNext w:val="0"/>
              <w:keepLines w:val="0"/>
              <w:numPr>
                <w:ilvl w:val="0"/>
                <w:numId w:val="0"/>
              </w:numPr>
              <w:suppressLineNumbers w:val="0"/>
              <w:spacing w:before="0" w:beforeAutospacing="0" w:after="0" w:afterAutospacing="0" w:line="360" w:lineRule="auto"/>
              <w:ind w:left="480" w:leftChars="200" w:right="0"/>
              <w:rPr>
                <w:rFonts w:hint="default" w:ascii="宋体" w:hAnsi="宋体" w:cs="宋体"/>
                <w:b/>
                <w:kern w:val="0"/>
                <w:szCs w:val="24"/>
                <w:highlight w:val="none"/>
                <w:lang w:val="en-US" w:eastAsia="zh-CN"/>
              </w:rPr>
            </w:pPr>
            <w:r>
              <w:rPr>
                <w:rFonts w:hint="eastAsia" w:ascii="宋体" w:hAnsi="宋体" w:cs="宋体"/>
                <w:b/>
                <w:kern w:val="0"/>
                <w:szCs w:val="24"/>
                <w:highlight w:val="none"/>
                <w:lang w:val="en-US" w:eastAsia="zh-CN"/>
              </w:rPr>
              <w:t>5、请介绍一下公司应用于存储领域的产品情况？</w:t>
            </w:r>
          </w:p>
          <w:p w14:paraId="7DB01CD9">
            <w:pPr>
              <w:keepNext w:val="0"/>
              <w:keepLines w:val="0"/>
              <w:numPr>
                <w:ilvl w:val="0"/>
                <w:numId w:val="0"/>
              </w:numPr>
              <w:suppressLineNumbers w:val="0"/>
              <w:spacing w:before="0" w:beforeAutospacing="0" w:after="0" w:afterAutospacing="0" w:line="360" w:lineRule="auto"/>
              <w:ind w:left="0" w:right="0" w:firstLine="480"/>
              <w:rPr>
                <w:rFonts w:hint="default" w:asciiTheme="minorEastAsia" w:hAnsiTheme="minorEastAsia"/>
                <w:color w:val="000000"/>
                <w:sz w:val="24"/>
                <w:highlight w:val="none"/>
                <w:lang w:val="en-US"/>
              </w:rPr>
            </w:pPr>
            <w:r>
              <w:rPr>
                <w:rFonts w:hint="eastAsia" w:ascii="宋体" w:hAnsi="宋体" w:cs="宋体"/>
                <w:b w:val="0"/>
                <w:bCs/>
                <w:kern w:val="0"/>
                <w:szCs w:val="24"/>
                <w:highlight w:val="none"/>
                <w:lang w:val="en-US" w:eastAsia="zh-CN"/>
              </w:rPr>
              <w:t>答：目前公司固晶系列、导热系列等产品均已批量应用于存储领域。其中固晶胶产品目前已批量稳定供货，DAF（固晶膜）产品实现小批量出货；公司高导热界面材料已批量应用于存储领域，且配套国外客户。</w:t>
            </w:r>
          </w:p>
          <w:p w14:paraId="2C5D1EE0">
            <w:pPr>
              <w:keepNext w:val="0"/>
              <w:keepLines w:val="0"/>
              <w:widowControl/>
              <w:suppressLineNumbers w:val="0"/>
              <w:spacing w:before="0" w:beforeAutospacing="0" w:after="0" w:afterAutospacing="0" w:line="360" w:lineRule="auto"/>
              <w:ind w:left="0" w:right="0" w:firstLine="482" w:firstLineChars="200"/>
              <w:rPr>
                <w:rFonts w:hint="default" w:ascii="宋体" w:hAnsi="宋体"/>
                <w:b/>
                <w:szCs w:val="24"/>
                <w:highlight w:val="none"/>
              </w:rPr>
            </w:pPr>
            <w:r>
              <w:rPr>
                <w:rFonts w:hint="eastAsia" w:ascii="宋体" w:hAnsi="宋体"/>
                <w:b/>
                <w:szCs w:val="24"/>
                <w:highlight w:val="none"/>
                <w:lang w:val="en-US" w:eastAsia="zh-CN"/>
              </w:rPr>
              <w:t>6</w:t>
            </w:r>
            <w:r>
              <w:rPr>
                <w:rFonts w:hint="eastAsia" w:ascii="宋体" w:hAnsi="宋体"/>
                <w:b/>
                <w:szCs w:val="24"/>
                <w:highlight w:val="none"/>
              </w:rPr>
              <w:t>、请介绍公司智能终端业务的整体情况？</w:t>
            </w:r>
          </w:p>
          <w:p w14:paraId="2671D691">
            <w:pPr>
              <w:keepNext w:val="0"/>
              <w:keepLines w:val="0"/>
              <w:widowControl/>
              <w:suppressLineNumbers w:val="0"/>
              <w:spacing w:before="0" w:beforeAutospacing="0" w:after="0" w:afterAutospacing="0" w:line="360" w:lineRule="auto"/>
              <w:ind w:left="0" w:right="0" w:firstLine="480" w:firstLineChars="200"/>
              <w:jc w:val="both"/>
              <w:rPr>
                <w:rFonts w:hint="eastAsia" w:ascii="宋体" w:hAnsi="宋体"/>
                <w:szCs w:val="24"/>
                <w:highlight w:val="none"/>
              </w:rPr>
            </w:pPr>
            <w:r>
              <w:rPr>
                <w:rFonts w:hint="eastAsia" w:ascii="宋体" w:hAnsi="宋体"/>
                <w:szCs w:val="24"/>
                <w:highlight w:val="none"/>
              </w:rPr>
              <w:t>答：</w:t>
            </w:r>
            <w:r>
              <w:rPr>
                <w:rFonts w:hint="eastAsia" w:ascii="宋体" w:hAnsi="宋体" w:eastAsia="宋体" w:cs="宋体"/>
                <w:kern w:val="0"/>
                <w:sz w:val="24"/>
                <w:szCs w:val="24"/>
                <w:highlight w:val="none"/>
                <w:lang w:val="en-US" w:eastAsia="zh-CN" w:bidi="ar"/>
              </w:rPr>
              <w:t>公司在多产品、多项目中积极布局</w:t>
            </w:r>
            <w:r>
              <w:rPr>
                <w:rFonts w:hint="eastAsia" w:ascii="宋体" w:hAnsi="宋体" w:cs="宋体"/>
                <w:kern w:val="0"/>
                <w:sz w:val="24"/>
                <w:szCs w:val="24"/>
                <w:highlight w:val="none"/>
                <w:lang w:val="en-US" w:eastAsia="zh-CN" w:bidi="ar"/>
              </w:rPr>
              <w:t>，产品</w:t>
            </w:r>
            <w:r>
              <w:rPr>
                <w:rFonts w:hint="eastAsia" w:ascii="宋体" w:hAnsi="宋体" w:eastAsia="宋体" w:cs="宋体"/>
                <w:kern w:val="0"/>
                <w:sz w:val="24"/>
                <w:szCs w:val="24"/>
                <w:highlight w:val="none"/>
                <w:lang w:val="en-US" w:eastAsia="zh-CN" w:bidi="ar"/>
              </w:rPr>
              <w:t>核心竞争力持续增强，智能终端市场份额稳步提升</w:t>
            </w:r>
            <w:r>
              <w:rPr>
                <w:rFonts w:hint="eastAsia" w:ascii="宋体" w:hAnsi="宋体" w:cs="宋体"/>
                <w:kern w:val="0"/>
                <w:sz w:val="24"/>
                <w:szCs w:val="24"/>
                <w:highlight w:val="none"/>
                <w:lang w:val="en-US" w:eastAsia="zh-CN" w:bidi="ar"/>
              </w:rPr>
              <w:t>，</w:t>
            </w:r>
            <w:r>
              <w:rPr>
                <w:rFonts w:hint="eastAsia" w:ascii="宋体" w:hAnsi="宋体" w:eastAsia="宋体" w:cs="宋体"/>
                <w:kern w:val="0"/>
                <w:sz w:val="24"/>
                <w:szCs w:val="24"/>
                <w:highlight w:val="none"/>
                <w:lang w:val="en-US" w:eastAsia="zh-CN" w:bidi="ar"/>
              </w:rPr>
              <w:t>相关材料可广泛应用于手机、耳机、智能手表、平板电脑、笔记本电脑、车载电子、平板显示等各类智能终端。其中，TWS耳机依托密封与粘接技术优势，顺利进入海内外头部客户供应链；智能手机LIPO超窄边框封装技术加速落地；车载电子多品类批量导入，偏光片业务亦进入快速增长期。</w:t>
            </w:r>
          </w:p>
          <w:p w14:paraId="291CEEF9">
            <w:pPr>
              <w:keepNext w:val="0"/>
              <w:keepLines w:val="0"/>
              <w:widowControl/>
              <w:suppressLineNumbers w:val="0"/>
              <w:spacing w:before="0" w:beforeAutospacing="0" w:after="0" w:afterAutospacing="0" w:line="360" w:lineRule="auto"/>
              <w:ind w:left="0" w:right="0" w:firstLine="482" w:firstLineChars="200"/>
              <w:rPr>
                <w:rFonts w:hint="default" w:ascii="宋体" w:hAnsi="宋体" w:eastAsia="宋体"/>
                <w:szCs w:val="24"/>
                <w:highlight w:val="none"/>
                <w:lang w:val="en-US" w:eastAsia="zh-CN"/>
              </w:rPr>
            </w:pPr>
            <w:r>
              <w:rPr>
                <w:rFonts w:hint="eastAsia" w:ascii="宋体" w:hAnsi="宋体"/>
                <w:b/>
                <w:bCs/>
                <w:szCs w:val="24"/>
                <w:highlight w:val="none"/>
                <w:lang w:val="en-US" w:eastAsia="zh-CN"/>
              </w:rPr>
              <w:t>7、请介绍一下公司新能源业务情况？</w:t>
            </w:r>
          </w:p>
          <w:p w14:paraId="2C933DDC">
            <w:pPr>
              <w:keepNext w:val="0"/>
              <w:keepLines w:val="0"/>
              <w:widowControl/>
              <w:suppressLineNumbers w:val="0"/>
              <w:spacing w:before="0" w:beforeAutospacing="0" w:after="0" w:afterAutospacing="0" w:line="360" w:lineRule="auto"/>
              <w:ind w:left="0" w:right="0" w:firstLine="480" w:firstLineChars="200"/>
              <w:jc w:val="left"/>
              <w:rPr>
                <w:rFonts w:hint="default" w:ascii="宋体" w:hAnsi="宋体"/>
                <w:szCs w:val="24"/>
                <w:highlight w:val="none"/>
              </w:rPr>
            </w:pPr>
            <w:r>
              <w:rPr>
                <w:rFonts w:hint="eastAsia" w:ascii="宋体" w:hAnsi="宋体" w:cs="Times New Roman"/>
                <w:kern w:val="2"/>
                <w:sz w:val="24"/>
                <w:szCs w:val="24"/>
                <w:highlight w:val="none"/>
                <w:lang w:val="en-US" w:eastAsia="zh-CN" w:bidi="ar"/>
              </w:rPr>
              <w:t>答：</w:t>
            </w:r>
            <w:r>
              <w:rPr>
                <w:rFonts w:hint="eastAsia" w:ascii="宋体" w:hAnsi="宋体" w:eastAsia="宋体" w:cs="Times New Roman"/>
                <w:kern w:val="2"/>
                <w:sz w:val="24"/>
                <w:szCs w:val="24"/>
                <w:highlight w:val="none"/>
                <w:lang w:val="en-US" w:eastAsia="zh-CN" w:bidi="ar"/>
              </w:rPr>
              <w:t>公司新能源业务主要涉及锂电和光伏两部分，其中锂电主要涉及材料为应用于动力电池和储能电池电池包内部的结构导热材料，目前该业务公司处于行业领先地位，产品主要供给宁德时代、比亚迪、国轩、</w:t>
            </w:r>
            <w:r>
              <w:rPr>
                <w:rFonts w:hint="eastAsia" w:ascii="宋体" w:hAnsi="宋体" w:cs="Times New Roman"/>
                <w:kern w:val="2"/>
                <w:sz w:val="24"/>
                <w:szCs w:val="24"/>
                <w:highlight w:val="none"/>
                <w:lang w:val="en-US" w:eastAsia="zh-CN" w:bidi="ar"/>
              </w:rPr>
              <w:t>亿纬</w:t>
            </w:r>
            <w:r>
              <w:rPr>
                <w:rFonts w:hint="eastAsia" w:ascii="宋体" w:hAnsi="宋体" w:eastAsia="宋体" w:cs="Times New Roman"/>
                <w:kern w:val="2"/>
                <w:sz w:val="24"/>
                <w:szCs w:val="24"/>
                <w:highlight w:val="none"/>
                <w:lang w:val="en-US" w:eastAsia="zh-CN" w:bidi="ar"/>
              </w:rPr>
              <w:t>等国内头部电池厂商，</w:t>
            </w:r>
            <w:bookmarkStart w:id="0" w:name="_GoBack"/>
            <w:bookmarkEnd w:id="0"/>
            <w:r>
              <w:rPr>
                <w:rFonts w:hint="eastAsia" w:ascii="宋体" w:hAnsi="宋体" w:eastAsia="宋体" w:cs="Times New Roman"/>
                <w:kern w:val="2"/>
                <w:sz w:val="24"/>
                <w:szCs w:val="24"/>
                <w:highlight w:val="none"/>
                <w:lang w:val="en-US" w:eastAsia="zh-CN" w:bidi="ar"/>
              </w:rPr>
              <w:t>光伏业务主要产品为叠瓦导电胶、基于00B技术的UV胶以及少量其他光伏封装材料</w:t>
            </w:r>
            <w:r>
              <w:rPr>
                <w:rFonts w:hint="eastAsia" w:ascii="宋体" w:hAnsi="宋体" w:cs="Times New Roman"/>
                <w:kern w:val="2"/>
                <w:sz w:val="24"/>
                <w:szCs w:val="24"/>
                <w:highlight w:val="none"/>
                <w:lang w:val="en-US" w:eastAsia="zh-CN" w:bidi="ar"/>
              </w:rPr>
              <w:t>，</w:t>
            </w:r>
            <w:r>
              <w:rPr>
                <w:rFonts w:hint="default" w:ascii="宋体" w:hAnsi="宋体" w:eastAsia="宋体" w:cs="宋体"/>
                <w:sz w:val="24"/>
                <w:szCs w:val="24"/>
                <w:highlight w:val="none"/>
              </w:rPr>
              <w:t>产品供应国内外客户。</w:t>
            </w:r>
            <w:r>
              <w:rPr>
                <w:rFonts w:hint="eastAsia" w:ascii="宋体" w:hAnsi="宋体" w:eastAsia="宋体" w:cs="Times New Roman"/>
                <w:kern w:val="2"/>
                <w:sz w:val="24"/>
                <w:szCs w:val="24"/>
                <w:highlight w:val="none"/>
                <w:lang w:val="en-US" w:eastAsia="zh-CN" w:bidi="ar"/>
              </w:rPr>
              <w:t>随着下游新能源汽车产销稳步增长、储能行业加速普及渗透，公司新能源应用材料出货量保持</w:t>
            </w:r>
            <w:r>
              <w:rPr>
                <w:rFonts w:hint="eastAsia" w:ascii="宋体" w:hAnsi="宋体" w:cs="Times New Roman"/>
                <w:kern w:val="2"/>
                <w:sz w:val="24"/>
                <w:szCs w:val="24"/>
                <w:highlight w:val="none"/>
                <w:lang w:val="en-US" w:eastAsia="zh-CN" w:bidi="ar"/>
              </w:rPr>
              <w:t>稳健</w:t>
            </w:r>
            <w:r>
              <w:rPr>
                <w:rFonts w:hint="eastAsia" w:ascii="宋体" w:hAnsi="宋体" w:eastAsia="宋体" w:cs="Times New Roman"/>
                <w:kern w:val="2"/>
                <w:sz w:val="24"/>
                <w:szCs w:val="24"/>
                <w:highlight w:val="none"/>
                <w:lang w:val="en-US" w:eastAsia="zh-CN" w:bidi="ar"/>
              </w:rPr>
              <w:t>增长。</w:t>
            </w:r>
            <w:r>
              <w:rPr>
                <w:rFonts w:hint="default" w:ascii="宋体" w:hAnsi="宋体" w:eastAsia="宋体" w:cs="宋体"/>
                <w:kern w:val="2"/>
                <w:sz w:val="24"/>
                <w:szCs w:val="24"/>
                <w:highlight w:val="none"/>
                <w:lang w:val="en-US" w:eastAsia="zh-CN" w:bidi="ar"/>
              </w:rPr>
              <w:t xml:space="preserve"> </w:t>
            </w:r>
          </w:p>
        </w:tc>
      </w:tr>
      <w:tr w14:paraId="4440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736" w:type="dxa"/>
            <w:vAlign w:val="center"/>
          </w:tcPr>
          <w:p w14:paraId="6AA83004">
            <w:pPr>
              <w:keepNext w:val="0"/>
              <w:keepLines w:val="0"/>
              <w:suppressLineNumbers w:val="0"/>
              <w:spacing w:before="0" w:beforeAutospacing="0" w:after="0" w:afterAutospacing="0"/>
              <w:ind w:left="0" w:right="0"/>
              <w:jc w:val="center"/>
              <w:rPr>
                <w:rFonts w:hint="eastAsia" w:ascii="宋体" w:hAnsi="宋体"/>
                <w:b/>
                <w:bCs/>
                <w:szCs w:val="24"/>
                <w:highlight w:val="none"/>
              </w:rPr>
            </w:pPr>
            <w:r>
              <w:rPr>
                <w:rFonts w:hint="eastAsia" w:ascii="宋体" w:hAnsi="宋体"/>
                <w:b/>
                <w:bCs/>
                <w:szCs w:val="24"/>
                <w:highlight w:val="none"/>
              </w:rPr>
              <w:t>附件清单</w:t>
            </w:r>
          </w:p>
          <w:p w14:paraId="3E0BBE39">
            <w:pPr>
              <w:keepNext w:val="0"/>
              <w:keepLines w:val="0"/>
              <w:suppressLineNumbers w:val="0"/>
              <w:spacing w:before="0" w:beforeAutospacing="0" w:after="0" w:afterAutospacing="0"/>
              <w:ind w:left="0" w:right="0"/>
              <w:jc w:val="center"/>
              <w:rPr>
                <w:rFonts w:hint="default" w:ascii="宋体" w:hAnsi="宋体"/>
                <w:b/>
                <w:bCs/>
                <w:szCs w:val="24"/>
                <w:highlight w:val="none"/>
              </w:rPr>
            </w:pPr>
            <w:r>
              <w:rPr>
                <w:rFonts w:hint="eastAsia" w:ascii="宋体" w:hAnsi="宋体"/>
                <w:b/>
                <w:bCs/>
                <w:szCs w:val="24"/>
                <w:highlight w:val="none"/>
              </w:rPr>
              <w:t>（如有）</w:t>
            </w:r>
          </w:p>
        </w:tc>
        <w:tc>
          <w:tcPr>
            <w:tcW w:w="6772" w:type="dxa"/>
            <w:vAlign w:val="center"/>
          </w:tcPr>
          <w:p w14:paraId="638D714A">
            <w:pPr>
              <w:keepNext w:val="0"/>
              <w:keepLines w:val="0"/>
              <w:suppressLineNumbers w:val="0"/>
              <w:spacing w:before="0" w:beforeAutospacing="0" w:after="0" w:afterAutospacing="0"/>
              <w:ind w:left="0" w:right="0"/>
              <w:jc w:val="left"/>
              <w:rPr>
                <w:rFonts w:hint="default" w:ascii="宋体" w:hAnsi="宋体"/>
                <w:szCs w:val="24"/>
                <w:highlight w:val="none"/>
              </w:rPr>
            </w:pPr>
            <w:r>
              <w:rPr>
                <w:rFonts w:hint="default" w:ascii="宋体" w:hAnsi="宋体"/>
                <w:szCs w:val="24"/>
                <w:highlight w:val="none"/>
              </w:rPr>
              <w:t>无</w:t>
            </w:r>
          </w:p>
        </w:tc>
      </w:tr>
    </w:tbl>
    <w:p w14:paraId="66BBCAF4">
      <w:pPr>
        <w:widowControl/>
        <w:spacing w:line="400" w:lineRule="exact"/>
        <w:jc w:val="left"/>
        <w:rPr>
          <w:rFonts w:ascii="宋体" w:hAnsi="宋体"/>
          <w:sz w:val="21"/>
          <w:szCs w:val="21"/>
          <w:highlight w:val="none"/>
        </w:rPr>
      </w:pPr>
    </w:p>
    <w:sectPr>
      <w:pgSz w:w="11906" w:h="16838"/>
      <w:pgMar w:top="1440" w:right="1800" w:bottom="1440" w:left="1800" w:header="851"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diZWRmYjIyZmVlODU4MjUwMmIyYmRjNTU0MjBlZGYifQ=="/>
  </w:docVars>
  <w:rsids>
    <w:rsidRoot w:val="00DC5E46"/>
    <w:rsid w:val="0000245C"/>
    <w:rsid w:val="00004B20"/>
    <w:rsid w:val="00011187"/>
    <w:rsid w:val="00017DD1"/>
    <w:rsid w:val="0002014A"/>
    <w:rsid w:val="00030DE9"/>
    <w:rsid w:val="0003154F"/>
    <w:rsid w:val="00032633"/>
    <w:rsid w:val="000415F4"/>
    <w:rsid w:val="00041C9D"/>
    <w:rsid w:val="0004467C"/>
    <w:rsid w:val="000459A9"/>
    <w:rsid w:val="00050C04"/>
    <w:rsid w:val="00056AB7"/>
    <w:rsid w:val="00067427"/>
    <w:rsid w:val="000704AF"/>
    <w:rsid w:val="00070D2B"/>
    <w:rsid w:val="00080818"/>
    <w:rsid w:val="00084870"/>
    <w:rsid w:val="00092107"/>
    <w:rsid w:val="000A12C5"/>
    <w:rsid w:val="000A2DB5"/>
    <w:rsid w:val="000A64A8"/>
    <w:rsid w:val="000B4324"/>
    <w:rsid w:val="000B61FC"/>
    <w:rsid w:val="000C53F3"/>
    <w:rsid w:val="000D2872"/>
    <w:rsid w:val="000E1009"/>
    <w:rsid w:val="000E4665"/>
    <w:rsid w:val="000E46ED"/>
    <w:rsid w:val="000F4C75"/>
    <w:rsid w:val="00100005"/>
    <w:rsid w:val="0010080C"/>
    <w:rsid w:val="00111ED8"/>
    <w:rsid w:val="0011359B"/>
    <w:rsid w:val="00115906"/>
    <w:rsid w:val="00117112"/>
    <w:rsid w:val="00122AAA"/>
    <w:rsid w:val="00122CA4"/>
    <w:rsid w:val="001259EE"/>
    <w:rsid w:val="001404DD"/>
    <w:rsid w:val="00140A1B"/>
    <w:rsid w:val="00146FB8"/>
    <w:rsid w:val="00157C01"/>
    <w:rsid w:val="001600CB"/>
    <w:rsid w:val="001609E9"/>
    <w:rsid w:val="00163CA5"/>
    <w:rsid w:val="00167014"/>
    <w:rsid w:val="00171B17"/>
    <w:rsid w:val="001743F1"/>
    <w:rsid w:val="001800F7"/>
    <w:rsid w:val="00180D5D"/>
    <w:rsid w:val="00183228"/>
    <w:rsid w:val="001837A2"/>
    <w:rsid w:val="001956C4"/>
    <w:rsid w:val="001A6640"/>
    <w:rsid w:val="001A774A"/>
    <w:rsid w:val="001C3AD2"/>
    <w:rsid w:val="001D04DD"/>
    <w:rsid w:val="001D2B9C"/>
    <w:rsid w:val="001D4053"/>
    <w:rsid w:val="001E1C23"/>
    <w:rsid w:val="001E1C6F"/>
    <w:rsid w:val="001E3B67"/>
    <w:rsid w:val="001E42FC"/>
    <w:rsid w:val="001E50AD"/>
    <w:rsid w:val="001F0F88"/>
    <w:rsid w:val="001F4458"/>
    <w:rsid w:val="001F6EF2"/>
    <w:rsid w:val="0020500F"/>
    <w:rsid w:val="0020687B"/>
    <w:rsid w:val="002075CC"/>
    <w:rsid w:val="00212C27"/>
    <w:rsid w:val="002143C9"/>
    <w:rsid w:val="00221631"/>
    <w:rsid w:val="00236E2E"/>
    <w:rsid w:val="00246207"/>
    <w:rsid w:val="00246EE0"/>
    <w:rsid w:val="00247FB5"/>
    <w:rsid w:val="0025376E"/>
    <w:rsid w:val="00253A35"/>
    <w:rsid w:val="00254DA5"/>
    <w:rsid w:val="00264304"/>
    <w:rsid w:val="00275016"/>
    <w:rsid w:val="00277618"/>
    <w:rsid w:val="00277AD7"/>
    <w:rsid w:val="00280FC0"/>
    <w:rsid w:val="0028324C"/>
    <w:rsid w:val="00283447"/>
    <w:rsid w:val="002A021D"/>
    <w:rsid w:val="002A3326"/>
    <w:rsid w:val="002B0BDB"/>
    <w:rsid w:val="002B3841"/>
    <w:rsid w:val="002B42E0"/>
    <w:rsid w:val="002B4498"/>
    <w:rsid w:val="002B79CA"/>
    <w:rsid w:val="002C388F"/>
    <w:rsid w:val="002D72FA"/>
    <w:rsid w:val="002E5264"/>
    <w:rsid w:val="002E5293"/>
    <w:rsid w:val="002F5525"/>
    <w:rsid w:val="002F7163"/>
    <w:rsid w:val="003017AE"/>
    <w:rsid w:val="00311DBB"/>
    <w:rsid w:val="00314871"/>
    <w:rsid w:val="003206FD"/>
    <w:rsid w:val="00324C44"/>
    <w:rsid w:val="00326C79"/>
    <w:rsid w:val="00327BCE"/>
    <w:rsid w:val="00334055"/>
    <w:rsid w:val="0033761C"/>
    <w:rsid w:val="00337A19"/>
    <w:rsid w:val="003423B7"/>
    <w:rsid w:val="00362F55"/>
    <w:rsid w:val="0036572D"/>
    <w:rsid w:val="00372B09"/>
    <w:rsid w:val="00393F39"/>
    <w:rsid w:val="0039540B"/>
    <w:rsid w:val="003A0BD1"/>
    <w:rsid w:val="003A3A46"/>
    <w:rsid w:val="003A6113"/>
    <w:rsid w:val="003B5598"/>
    <w:rsid w:val="003B7978"/>
    <w:rsid w:val="003C3B4D"/>
    <w:rsid w:val="003C3F99"/>
    <w:rsid w:val="003C53DB"/>
    <w:rsid w:val="003D1463"/>
    <w:rsid w:val="003E53CF"/>
    <w:rsid w:val="003E5D9C"/>
    <w:rsid w:val="003E610A"/>
    <w:rsid w:val="003F11AD"/>
    <w:rsid w:val="003F12C8"/>
    <w:rsid w:val="003F1E65"/>
    <w:rsid w:val="003F3C92"/>
    <w:rsid w:val="003F489C"/>
    <w:rsid w:val="00400E77"/>
    <w:rsid w:val="00403E58"/>
    <w:rsid w:val="004046D1"/>
    <w:rsid w:val="0040596A"/>
    <w:rsid w:val="00407C94"/>
    <w:rsid w:val="00412655"/>
    <w:rsid w:val="00427D88"/>
    <w:rsid w:val="00430DCC"/>
    <w:rsid w:val="00431E4C"/>
    <w:rsid w:val="00442451"/>
    <w:rsid w:val="0044314E"/>
    <w:rsid w:val="00451E2F"/>
    <w:rsid w:val="004538F4"/>
    <w:rsid w:val="00457653"/>
    <w:rsid w:val="0045786E"/>
    <w:rsid w:val="004638AF"/>
    <w:rsid w:val="00466861"/>
    <w:rsid w:val="004732F9"/>
    <w:rsid w:val="004754E9"/>
    <w:rsid w:val="00483884"/>
    <w:rsid w:val="00495DFF"/>
    <w:rsid w:val="004978E4"/>
    <w:rsid w:val="004A29B3"/>
    <w:rsid w:val="004B2A3F"/>
    <w:rsid w:val="004B4383"/>
    <w:rsid w:val="004C2778"/>
    <w:rsid w:val="004C634C"/>
    <w:rsid w:val="004C6F80"/>
    <w:rsid w:val="004D665E"/>
    <w:rsid w:val="004D7345"/>
    <w:rsid w:val="004E408D"/>
    <w:rsid w:val="004E40CA"/>
    <w:rsid w:val="004E7C20"/>
    <w:rsid w:val="00501FA7"/>
    <w:rsid w:val="00510BB1"/>
    <w:rsid w:val="00511935"/>
    <w:rsid w:val="00513BB5"/>
    <w:rsid w:val="005146E3"/>
    <w:rsid w:val="00524BE4"/>
    <w:rsid w:val="00531E7B"/>
    <w:rsid w:val="00536442"/>
    <w:rsid w:val="005400CA"/>
    <w:rsid w:val="00541D8C"/>
    <w:rsid w:val="00543700"/>
    <w:rsid w:val="00555A3F"/>
    <w:rsid w:val="00557D76"/>
    <w:rsid w:val="005673FA"/>
    <w:rsid w:val="0057267D"/>
    <w:rsid w:val="00572766"/>
    <w:rsid w:val="005727E9"/>
    <w:rsid w:val="00590BA6"/>
    <w:rsid w:val="005A0DED"/>
    <w:rsid w:val="005A2448"/>
    <w:rsid w:val="005A4140"/>
    <w:rsid w:val="005A4181"/>
    <w:rsid w:val="005A6293"/>
    <w:rsid w:val="005A6B74"/>
    <w:rsid w:val="005B065D"/>
    <w:rsid w:val="005B3225"/>
    <w:rsid w:val="005C2212"/>
    <w:rsid w:val="005D05C3"/>
    <w:rsid w:val="005D117F"/>
    <w:rsid w:val="005D4012"/>
    <w:rsid w:val="005E2365"/>
    <w:rsid w:val="005F54BB"/>
    <w:rsid w:val="005F6B7E"/>
    <w:rsid w:val="006002AD"/>
    <w:rsid w:val="006043C4"/>
    <w:rsid w:val="0060633C"/>
    <w:rsid w:val="006076A7"/>
    <w:rsid w:val="00610BC3"/>
    <w:rsid w:val="006237F6"/>
    <w:rsid w:val="00630CCF"/>
    <w:rsid w:val="00650074"/>
    <w:rsid w:val="0065282C"/>
    <w:rsid w:val="0065311E"/>
    <w:rsid w:val="0065397E"/>
    <w:rsid w:val="0066055E"/>
    <w:rsid w:val="00672825"/>
    <w:rsid w:val="00680153"/>
    <w:rsid w:val="006806DF"/>
    <w:rsid w:val="00694B4A"/>
    <w:rsid w:val="006B1ED8"/>
    <w:rsid w:val="006B6D59"/>
    <w:rsid w:val="006D1F99"/>
    <w:rsid w:val="006D3624"/>
    <w:rsid w:val="006E5D09"/>
    <w:rsid w:val="006E62D9"/>
    <w:rsid w:val="006E7FC6"/>
    <w:rsid w:val="006F07B6"/>
    <w:rsid w:val="00700618"/>
    <w:rsid w:val="007050EB"/>
    <w:rsid w:val="00707CA5"/>
    <w:rsid w:val="0071704A"/>
    <w:rsid w:val="00720173"/>
    <w:rsid w:val="00723D9F"/>
    <w:rsid w:val="007338F3"/>
    <w:rsid w:val="00733DCD"/>
    <w:rsid w:val="00746099"/>
    <w:rsid w:val="00747DA6"/>
    <w:rsid w:val="00755204"/>
    <w:rsid w:val="00762A69"/>
    <w:rsid w:val="00765421"/>
    <w:rsid w:val="00773E29"/>
    <w:rsid w:val="007804CA"/>
    <w:rsid w:val="0078434B"/>
    <w:rsid w:val="007846B6"/>
    <w:rsid w:val="007856B2"/>
    <w:rsid w:val="00786B2D"/>
    <w:rsid w:val="007A05A2"/>
    <w:rsid w:val="007A50F1"/>
    <w:rsid w:val="007A5737"/>
    <w:rsid w:val="007B05B5"/>
    <w:rsid w:val="007B1298"/>
    <w:rsid w:val="007B369A"/>
    <w:rsid w:val="007B3D2A"/>
    <w:rsid w:val="007B710B"/>
    <w:rsid w:val="007C067E"/>
    <w:rsid w:val="007C4D3C"/>
    <w:rsid w:val="007C7562"/>
    <w:rsid w:val="007D04EE"/>
    <w:rsid w:val="007D6811"/>
    <w:rsid w:val="007D69ED"/>
    <w:rsid w:val="007F03D8"/>
    <w:rsid w:val="007F0F7C"/>
    <w:rsid w:val="007F2945"/>
    <w:rsid w:val="007F3B4C"/>
    <w:rsid w:val="007F6A1C"/>
    <w:rsid w:val="00803B60"/>
    <w:rsid w:val="00807C02"/>
    <w:rsid w:val="00810BF8"/>
    <w:rsid w:val="00816335"/>
    <w:rsid w:val="00816AF5"/>
    <w:rsid w:val="00821BFA"/>
    <w:rsid w:val="00833E29"/>
    <w:rsid w:val="00836733"/>
    <w:rsid w:val="00840D62"/>
    <w:rsid w:val="008429FC"/>
    <w:rsid w:val="0084424D"/>
    <w:rsid w:val="008479DD"/>
    <w:rsid w:val="00853EBC"/>
    <w:rsid w:val="008617EF"/>
    <w:rsid w:val="008764D9"/>
    <w:rsid w:val="00880942"/>
    <w:rsid w:val="0088594A"/>
    <w:rsid w:val="00885F37"/>
    <w:rsid w:val="00887109"/>
    <w:rsid w:val="00890DE9"/>
    <w:rsid w:val="00893D52"/>
    <w:rsid w:val="008A4E65"/>
    <w:rsid w:val="008A7FAA"/>
    <w:rsid w:val="008C3DFE"/>
    <w:rsid w:val="008C4831"/>
    <w:rsid w:val="008C76CF"/>
    <w:rsid w:val="008D0588"/>
    <w:rsid w:val="008D1E97"/>
    <w:rsid w:val="008E3D93"/>
    <w:rsid w:val="008E50D5"/>
    <w:rsid w:val="008E6760"/>
    <w:rsid w:val="008F3119"/>
    <w:rsid w:val="008F3E89"/>
    <w:rsid w:val="008F4C39"/>
    <w:rsid w:val="008F5F0B"/>
    <w:rsid w:val="0090553B"/>
    <w:rsid w:val="00905A85"/>
    <w:rsid w:val="009121C4"/>
    <w:rsid w:val="00915D33"/>
    <w:rsid w:val="0091640A"/>
    <w:rsid w:val="009178B8"/>
    <w:rsid w:val="00920B5D"/>
    <w:rsid w:val="00922283"/>
    <w:rsid w:val="00924C3F"/>
    <w:rsid w:val="0094154D"/>
    <w:rsid w:val="00943F9D"/>
    <w:rsid w:val="00944897"/>
    <w:rsid w:val="00951801"/>
    <w:rsid w:val="00961F4F"/>
    <w:rsid w:val="00970B27"/>
    <w:rsid w:val="00972096"/>
    <w:rsid w:val="00975C93"/>
    <w:rsid w:val="00976FA4"/>
    <w:rsid w:val="00980FB2"/>
    <w:rsid w:val="0098123D"/>
    <w:rsid w:val="00981263"/>
    <w:rsid w:val="009962D9"/>
    <w:rsid w:val="009A041B"/>
    <w:rsid w:val="009A5352"/>
    <w:rsid w:val="009B4447"/>
    <w:rsid w:val="009B51C4"/>
    <w:rsid w:val="009B7399"/>
    <w:rsid w:val="009C2F44"/>
    <w:rsid w:val="009D458C"/>
    <w:rsid w:val="009D6930"/>
    <w:rsid w:val="009D7279"/>
    <w:rsid w:val="009E68FD"/>
    <w:rsid w:val="009E6B11"/>
    <w:rsid w:val="009F4679"/>
    <w:rsid w:val="00A019D7"/>
    <w:rsid w:val="00A030B7"/>
    <w:rsid w:val="00A05635"/>
    <w:rsid w:val="00A25D3E"/>
    <w:rsid w:val="00A300B7"/>
    <w:rsid w:val="00A30C0D"/>
    <w:rsid w:val="00A341BA"/>
    <w:rsid w:val="00A346B4"/>
    <w:rsid w:val="00A37212"/>
    <w:rsid w:val="00A40315"/>
    <w:rsid w:val="00A47E1A"/>
    <w:rsid w:val="00A54A9D"/>
    <w:rsid w:val="00A61C4B"/>
    <w:rsid w:val="00A650D4"/>
    <w:rsid w:val="00A6696C"/>
    <w:rsid w:val="00A756C7"/>
    <w:rsid w:val="00A96E43"/>
    <w:rsid w:val="00A96FBF"/>
    <w:rsid w:val="00AA397C"/>
    <w:rsid w:val="00AB2F1C"/>
    <w:rsid w:val="00AB7F58"/>
    <w:rsid w:val="00AC30A9"/>
    <w:rsid w:val="00AC7BCF"/>
    <w:rsid w:val="00AD5AE6"/>
    <w:rsid w:val="00AE1F47"/>
    <w:rsid w:val="00AE55B7"/>
    <w:rsid w:val="00AF6290"/>
    <w:rsid w:val="00B048C0"/>
    <w:rsid w:val="00B06539"/>
    <w:rsid w:val="00B06729"/>
    <w:rsid w:val="00B1056C"/>
    <w:rsid w:val="00B11CAB"/>
    <w:rsid w:val="00B17112"/>
    <w:rsid w:val="00B3354B"/>
    <w:rsid w:val="00B37FBC"/>
    <w:rsid w:val="00B525B3"/>
    <w:rsid w:val="00B52BCB"/>
    <w:rsid w:val="00B538BF"/>
    <w:rsid w:val="00B53939"/>
    <w:rsid w:val="00B57F52"/>
    <w:rsid w:val="00B71EE6"/>
    <w:rsid w:val="00B726B4"/>
    <w:rsid w:val="00B7490A"/>
    <w:rsid w:val="00B85999"/>
    <w:rsid w:val="00B91897"/>
    <w:rsid w:val="00B92BAA"/>
    <w:rsid w:val="00B948CE"/>
    <w:rsid w:val="00B961B2"/>
    <w:rsid w:val="00BA17B7"/>
    <w:rsid w:val="00BA203C"/>
    <w:rsid w:val="00BA2215"/>
    <w:rsid w:val="00BA392A"/>
    <w:rsid w:val="00BA50A3"/>
    <w:rsid w:val="00BB0FFA"/>
    <w:rsid w:val="00BB5044"/>
    <w:rsid w:val="00BB6B73"/>
    <w:rsid w:val="00BC0C3C"/>
    <w:rsid w:val="00BD218F"/>
    <w:rsid w:val="00BD7448"/>
    <w:rsid w:val="00BE7616"/>
    <w:rsid w:val="00C00D3C"/>
    <w:rsid w:val="00C023C4"/>
    <w:rsid w:val="00C04CCE"/>
    <w:rsid w:val="00C11531"/>
    <w:rsid w:val="00C12BF8"/>
    <w:rsid w:val="00C12C69"/>
    <w:rsid w:val="00C16397"/>
    <w:rsid w:val="00C20410"/>
    <w:rsid w:val="00C365F3"/>
    <w:rsid w:val="00C44FD4"/>
    <w:rsid w:val="00C47246"/>
    <w:rsid w:val="00C74459"/>
    <w:rsid w:val="00C776DB"/>
    <w:rsid w:val="00C77D1C"/>
    <w:rsid w:val="00C836BA"/>
    <w:rsid w:val="00C86907"/>
    <w:rsid w:val="00CB0968"/>
    <w:rsid w:val="00CB77BD"/>
    <w:rsid w:val="00CC034E"/>
    <w:rsid w:val="00CD45D6"/>
    <w:rsid w:val="00CE7464"/>
    <w:rsid w:val="00CF1FC3"/>
    <w:rsid w:val="00CF36F6"/>
    <w:rsid w:val="00CF52F5"/>
    <w:rsid w:val="00CF630C"/>
    <w:rsid w:val="00D06643"/>
    <w:rsid w:val="00D06D92"/>
    <w:rsid w:val="00D0795C"/>
    <w:rsid w:val="00D1166B"/>
    <w:rsid w:val="00D160E9"/>
    <w:rsid w:val="00D22F4D"/>
    <w:rsid w:val="00D35013"/>
    <w:rsid w:val="00D45316"/>
    <w:rsid w:val="00D46D99"/>
    <w:rsid w:val="00D5719E"/>
    <w:rsid w:val="00D60FAC"/>
    <w:rsid w:val="00D62C6C"/>
    <w:rsid w:val="00D735A7"/>
    <w:rsid w:val="00D86718"/>
    <w:rsid w:val="00D92D8C"/>
    <w:rsid w:val="00D934FF"/>
    <w:rsid w:val="00D94377"/>
    <w:rsid w:val="00DA105B"/>
    <w:rsid w:val="00DA4BC3"/>
    <w:rsid w:val="00DB1118"/>
    <w:rsid w:val="00DB18E5"/>
    <w:rsid w:val="00DB1E4C"/>
    <w:rsid w:val="00DB75D6"/>
    <w:rsid w:val="00DC0644"/>
    <w:rsid w:val="00DC2492"/>
    <w:rsid w:val="00DC3D6F"/>
    <w:rsid w:val="00DC4F83"/>
    <w:rsid w:val="00DC5E46"/>
    <w:rsid w:val="00DC7554"/>
    <w:rsid w:val="00DD341F"/>
    <w:rsid w:val="00DD40ED"/>
    <w:rsid w:val="00DD6319"/>
    <w:rsid w:val="00DD6CF1"/>
    <w:rsid w:val="00DE03D2"/>
    <w:rsid w:val="00DE661B"/>
    <w:rsid w:val="00DE6D51"/>
    <w:rsid w:val="00E02B40"/>
    <w:rsid w:val="00E11069"/>
    <w:rsid w:val="00E15B56"/>
    <w:rsid w:val="00E2026D"/>
    <w:rsid w:val="00E21205"/>
    <w:rsid w:val="00E24839"/>
    <w:rsid w:val="00E4612B"/>
    <w:rsid w:val="00E50D30"/>
    <w:rsid w:val="00E52781"/>
    <w:rsid w:val="00E60EDC"/>
    <w:rsid w:val="00E62E4C"/>
    <w:rsid w:val="00E64F59"/>
    <w:rsid w:val="00E6658D"/>
    <w:rsid w:val="00E74D0A"/>
    <w:rsid w:val="00E87EFF"/>
    <w:rsid w:val="00E9000F"/>
    <w:rsid w:val="00E9322E"/>
    <w:rsid w:val="00E974BA"/>
    <w:rsid w:val="00E97BE6"/>
    <w:rsid w:val="00EA1995"/>
    <w:rsid w:val="00EB4E5E"/>
    <w:rsid w:val="00EC4054"/>
    <w:rsid w:val="00ED398C"/>
    <w:rsid w:val="00ED5004"/>
    <w:rsid w:val="00ED730A"/>
    <w:rsid w:val="00EE580C"/>
    <w:rsid w:val="00EF05D2"/>
    <w:rsid w:val="00EF1FB2"/>
    <w:rsid w:val="00F05EA7"/>
    <w:rsid w:val="00F065A0"/>
    <w:rsid w:val="00F069D4"/>
    <w:rsid w:val="00F175D5"/>
    <w:rsid w:val="00F21084"/>
    <w:rsid w:val="00F21DD1"/>
    <w:rsid w:val="00F44795"/>
    <w:rsid w:val="00F50D2D"/>
    <w:rsid w:val="00F51164"/>
    <w:rsid w:val="00F52347"/>
    <w:rsid w:val="00F55F1C"/>
    <w:rsid w:val="00F56FC4"/>
    <w:rsid w:val="00F70319"/>
    <w:rsid w:val="00F70DF1"/>
    <w:rsid w:val="00F72331"/>
    <w:rsid w:val="00F72D1C"/>
    <w:rsid w:val="00F77606"/>
    <w:rsid w:val="00F9128E"/>
    <w:rsid w:val="00F97D3A"/>
    <w:rsid w:val="00FA5CD0"/>
    <w:rsid w:val="00FB5A55"/>
    <w:rsid w:val="00FC1F32"/>
    <w:rsid w:val="00FC7A5F"/>
    <w:rsid w:val="00FD0551"/>
    <w:rsid w:val="00FD107F"/>
    <w:rsid w:val="00FD6D21"/>
    <w:rsid w:val="00FF13E7"/>
    <w:rsid w:val="00FF2283"/>
    <w:rsid w:val="00FF4C3C"/>
    <w:rsid w:val="02BD2C26"/>
    <w:rsid w:val="03880939"/>
    <w:rsid w:val="054E27FA"/>
    <w:rsid w:val="05F55414"/>
    <w:rsid w:val="07056611"/>
    <w:rsid w:val="08F1563F"/>
    <w:rsid w:val="0A413FA4"/>
    <w:rsid w:val="0A90012D"/>
    <w:rsid w:val="0B855115"/>
    <w:rsid w:val="0BD40F69"/>
    <w:rsid w:val="0C8E6B89"/>
    <w:rsid w:val="11997D58"/>
    <w:rsid w:val="15AA0F54"/>
    <w:rsid w:val="15EB0834"/>
    <w:rsid w:val="1811285F"/>
    <w:rsid w:val="191A7CB6"/>
    <w:rsid w:val="19453EDB"/>
    <w:rsid w:val="19BC0A7B"/>
    <w:rsid w:val="1D6261D0"/>
    <w:rsid w:val="24635C52"/>
    <w:rsid w:val="27EA09D3"/>
    <w:rsid w:val="27FF6AC7"/>
    <w:rsid w:val="28470706"/>
    <w:rsid w:val="2A2C6AAC"/>
    <w:rsid w:val="2A846B58"/>
    <w:rsid w:val="2C872AE5"/>
    <w:rsid w:val="2EA414CB"/>
    <w:rsid w:val="2EE30245"/>
    <w:rsid w:val="31E265E9"/>
    <w:rsid w:val="32EB1476"/>
    <w:rsid w:val="337E5A61"/>
    <w:rsid w:val="35E13004"/>
    <w:rsid w:val="365337CF"/>
    <w:rsid w:val="38A22607"/>
    <w:rsid w:val="3A695D27"/>
    <w:rsid w:val="3D5D4D3B"/>
    <w:rsid w:val="3E661EED"/>
    <w:rsid w:val="3FC80830"/>
    <w:rsid w:val="405344B3"/>
    <w:rsid w:val="40674EB6"/>
    <w:rsid w:val="40E85247"/>
    <w:rsid w:val="434A2E1C"/>
    <w:rsid w:val="44A9641B"/>
    <w:rsid w:val="45FE550D"/>
    <w:rsid w:val="46C11EA8"/>
    <w:rsid w:val="4722229F"/>
    <w:rsid w:val="47443427"/>
    <w:rsid w:val="48662CAB"/>
    <w:rsid w:val="48CB3C89"/>
    <w:rsid w:val="49653F8A"/>
    <w:rsid w:val="4B2A1C61"/>
    <w:rsid w:val="4D910B7E"/>
    <w:rsid w:val="4EAB2E20"/>
    <w:rsid w:val="4EFB61E1"/>
    <w:rsid w:val="4F894A27"/>
    <w:rsid w:val="500A7A3B"/>
    <w:rsid w:val="52391DA6"/>
    <w:rsid w:val="529E1F0D"/>
    <w:rsid w:val="534570F0"/>
    <w:rsid w:val="5485656A"/>
    <w:rsid w:val="56236027"/>
    <w:rsid w:val="572E1597"/>
    <w:rsid w:val="594220AE"/>
    <w:rsid w:val="5AD276B0"/>
    <w:rsid w:val="5C4727FD"/>
    <w:rsid w:val="5D25156E"/>
    <w:rsid w:val="5D4F6922"/>
    <w:rsid w:val="5E5023B7"/>
    <w:rsid w:val="609B00D0"/>
    <w:rsid w:val="61E443CA"/>
    <w:rsid w:val="61E661C0"/>
    <w:rsid w:val="61F03674"/>
    <w:rsid w:val="62647335"/>
    <w:rsid w:val="62B27774"/>
    <w:rsid w:val="645F71E6"/>
    <w:rsid w:val="64E46F3F"/>
    <w:rsid w:val="661A54A1"/>
    <w:rsid w:val="68451CF9"/>
    <w:rsid w:val="6BFE25C4"/>
    <w:rsid w:val="6D8B4CCE"/>
    <w:rsid w:val="6D9C3684"/>
    <w:rsid w:val="6FFB6486"/>
    <w:rsid w:val="76A2279B"/>
    <w:rsid w:val="76AF683D"/>
    <w:rsid w:val="797804D9"/>
    <w:rsid w:val="7C9B4CD8"/>
    <w:rsid w:val="7F2D7B49"/>
    <w:rsid w:val="7F612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4"/>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annotation text"/>
    <w:basedOn w:val="1"/>
    <w:link w:val="21"/>
    <w:semiHidden/>
    <w:unhideWhenUsed/>
    <w:qFormat/>
    <w:uiPriority w:val="99"/>
    <w:pPr>
      <w:jc w:val="left"/>
    </w:pPr>
  </w:style>
  <w:style w:type="paragraph" w:styleId="3">
    <w:name w:val="Body Text"/>
    <w:basedOn w:val="1"/>
    <w:qFormat/>
    <w:uiPriority w:val="0"/>
    <w:pPr>
      <w:spacing w:before="180" w:after="180"/>
    </w:pPr>
  </w:style>
  <w:style w:type="paragraph" w:styleId="4">
    <w:name w:val="Balloon Text"/>
    <w:basedOn w:val="1"/>
    <w:link w:val="15"/>
    <w:semiHidden/>
    <w:unhideWhenUsed/>
    <w:qFormat/>
    <w:uiPriority w:val="99"/>
    <w:rPr>
      <w:sz w:val="18"/>
      <w:szCs w:val="18"/>
    </w:rPr>
  </w:style>
  <w:style w:type="paragraph" w:styleId="5">
    <w:name w:val="footer"/>
    <w:basedOn w:val="1"/>
    <w:link w:val="17"/>
    <w:autoRedefine/>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Cs w:val="24"/>
    </w:rPr>
  </w:style>
  <w:style w:type="paragraph" w:styleId="8">
    <w:name w:val="annotation subject"/>
    <w:basedOn w:val="2"/>
    <w:next w:val="2"/>
    <w:link w:val="22"/>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basedOn w:val="11"/>
    <w:semiHidden/>
    <w:unhideWhenUsed/>
    <w:qFormat/>
    <w:uiPriority w:val="99"/>
    <w:rPr>
      <w:color w:val="0000FF"/>
      <w:u w:val="single"/>
    </w:rPr>
  </w:style>
  <w:style w:type="character" w:styleId="14">
    <w:name w:val="annotation reference"/>
    <w:basedOn w:val="11"/>
    <w:semiHidden/>
    <w:unhideWhenUsed/>
    <w:qFormat/>
    <w:uiPriority w:val="99"/>
    <w:rPr>
      <w:sz w:val="21"/>
      <w:szCs w:val="21"/>
    </w:rPr>
  </w:style>
  <w:style w:type="character" w:customStyle="1" w:styleId="15">
    <w:name w:val="批注框文本 Char"/>
    <w:basedOn w:val="11"/>
    <w:link w:val="4"/>
    <w:semiHidden/>
    <w:qFormat/>
    <w:uiPriority w:val="99"/>
    <w:rPr>
      <w:rFonts w:ascii="Times New Roman" w:hAnsi="Times New Roman" w:eastAsia="宋体"/>
      <w:sz w:val="18"/>
      <w:szCs w:val="18"/>
    </w:rPr>
  </w:style>
  <w:style w:type="character" w:customStyle="1" w:styleId="16">
    <w:name w:val="页眉 Char"/>
    <w:basedOn w:val="11"/>
    <w:link w:val="6"/>
    <w:qFormat/>
    <w:uiPriority w:val="99"/>
    <w:rPr>
      <w:rFonts w:ascii="Times New Roman" w:hAnsi="Times New Roman" w:eastAsia="宋体"/>
      <w:sz w:val="18"/>
      <w:szCs w:val="18"/>
    </w:rPr>
  </w:style>
  <w:style w:type="character" w:customStyle="1" w:styleId="17">
    <w:name w:val="页脚 Char"/>
    <w:basedOn w:val="11"/>
    <w:link w:val="5"/>
    <w:qFormat/>
    <w:uiPriority w:val="99"/>
    <w:rPr>
      <w:rFonts w:ascii="Times New Roman" w:hAnsi="Times New Roman" w:eastAsia="宋体"/>
      <w:sz w:val="18"/>
      <w:szCs w:val="18"/>
    </w:rPr>
  </w:style>
  <w:style w:type="paragraph" w:styleId="18">
    <w:name w:val="List Paragraph"/>
    <w:basedOn w:val="1"/>
    <w:autoRedefine/>
    <w:qFormat/>
    <w:uiPriority w:val="34"/>
    <w:pPr>
      <w:ind w:firstLine="420" w:firstLineChars="200"/>
    </w:pPr>
    <w:rPr>
      <w:rFonts w:asciiTheme="minorHAnsi" w:hAnsiTheme="minorHAnsi" w:eastAsiaTheme="minorEastAsia"/>
      <w:sz w:val="21"/>
    </w:rPr>
  </w:style>
  <w:style w:type="character" w:customStyle="1" w:styleId="19">
    <w:name w:val="insert-data"/>
    <w:basedOn w:val="11"/>
    <w:autoRedefine/>
    <w:qFormat/>
    <w:uiPriority w:val="0"/>
  </w:style>
  <w:style w:type="paragraph" w:styleId="20">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21">
    <w:name w:val="批注文字 Char"/>
    <w:basedOn w:val="11"/>
    <w:link w:val="2"/>
    <w:semiHidden/>
    <w:qFormat/>
    <w:uiPriority w:val="99"/>
    <w:rPr>
      <w:rFonts w:cstheme="minorBidi"/>
      <w:kern w:val="2"/>
      <w:sz w:val="24"/>
      <w:szCs w:val="22"/>
    </w:rPr>
  </w:style>
  <w:style w:type="character" w:customStyle="1" w:styleId="22">
    <w:name w:val="批注主题 Char"/>
    <w:basedOn w:val="21"/>
    <w:link w:val="8"/>
    <w:semiHidden/>
    <w:qFormat/>
    <w:uiPriority w:val="99"/>
    <w:rPr>
      <w:rFonts w:cstheme="minorBidi"/>
      <w:b/>
      <w:bCs/>
      <w:kern w:val="2"/>
      <w:sz w:val="24"/>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8F1C5-AB99-425B-B93F-1E784BE9B773}">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Pages>
  <Words>1607</Words>
  <Characters>1696</Characters>
  <Lines>17</Lines>
  <Paragraphs>5</Paragraphs>
  <TotalTime>43</TotalTime>
  <ScaleCrop>false</ScaleCrop>
  <LinksUpToDate>false</LinksUpToDate>
  <CharactersWithSpaces>1752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2026-03-02T10:19:00Z</dcterms:created>
  <dc:creator>荣大-李雷</dc:creator>
  <cp:lastModifiedBy>小美</cp:lastModifiedBy>
  <cp:lastPrinted>2026-05-12T05:09:00Z</cp:lastPrinted>
  <dcterms:modified xsi:type="dcterms:W3CDTF">2026-07-17T07:52:49Z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4DEB0A48270A416E9F260AA3BD7197B3_13</vt:lpwstr>
  </property>
  <property fmtid="{D5CDD505-2E9C-101B-9397-08002B2CF9AE}" pid="4" name="KSOTemplateDocerSaveRecord">
    <vt:lpwstr>eyJoZGlkIjoiNGEwZTY3MmRhYTQ3OGRlY2ZmODg3ODVlNWNhYzdjOGIiLCJ1c2VySWQiOiIzMDMwODU3MjkifQ==</vt:lpwstr>
  </property>
</Properties>
</file>