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CB28">
      <w:pPr>
        <w:rPr>
          <w:rFonts w:ascii="Times New Roman" w:hAnsi="Times New Roman" w:eastAsia="宋体"/>
          <w:b/>
          <w:bCs/>
          <w:iCs/>
          <w:color w:val="000000"/>
          <w:sz w:val="24"/>
        </w:rPr>
      </w:pPr>
      <w:r>
        <w:rPr>
          <w:rFonts w:ascii="Times New Roman" w:hAnsi="Times New Roman" w:eastAsia="宋体"/>
          <w:bCs/>
          <w:iCs/>
          <w:color w:val="000000"/>
          <w:sz w:val="24"/>
        </w:rPr>
        <w:t>证券代码：</w:t>
      </w:r>
      <w:r>
        <w:rPr>
          <w:rFonts w:ascii="Times New Roman" w:hAnsi="Times New Roman" w:eastAsia="宋体" w:cs="Times New Roman"/>
          <w:bCs/>
          <w:iCs/>
          <w:color w:val="000000"/>
          <w:sz w:val="24"/>
        </w:rPr>
        <w:t xml:space="preserve">688809 </w:t>
      </w:r>
      <w:r>
        <w:rPr>
          <w:rFonts w:ascii="Times New Roman" w:hAnsi="Times New Roman" w:eastAsia="宋体"/>
          <w:bCs/>
          <w:iCs/>
          <w:color w:val="000000"/>
          <w:sz w:val="24"/>
        </w:rPr>
        <w:t xml:space="preserve">                           </w:t>
      </w:r>
      <w:r>
        <w:rPr>
          <w:rFonts w:hint="eastAsia" w:ascii="Times New Roman" w:hAnsi="Times New Roman" w:eastAsia="宋体"/>
          <w:bCs/>
          <w:iCs/>
          <w:color w:val="000000"/>
          <w:sz w:val="24"/>
        </w:rPr>
        <w:t xml:space="preserve">       </w:t>
      </w:r>
      <w:r>
        <w:rPr>
          <w:rFonts w:ascii="Times New Roman" w:hAnsi="Times New Roman" w:eastAsia="宋体"/>
          <w:bCs/>
          <w:iCs/>
          <w:color w:val="000000"/>
          <w:sz w:val="24"/>
        </w:rPr>
        <w:t>证券简称：</w:t>
      </w:r>
      <w:r>
        <w:rPr>
          <w:rFonts w:hint="eastAsia" w:ascii="Times New Roman" w:hAnsi="Times New Roman" w:eastAsia="宋体"/>
          <w:bCs/>
          <w:iCs/>
          <w:color w:val="000000"/>
          <w:sz w:val="24"/>
        </w:rPr>
        <w:t xml:space="preserve">强一股份 </w:t>
      </w:r>
      <w:r>
        <w:rPr>
          <w:rFonts w:ascii="Times New Roman" w:hAnsi="Times New Roman" w:eastAsia="宋体"/>
          <w:bCs/>
          <w:iCs/>
          <w:color w:val="000000"/>
          <w:sz w:val="24"/>
        </w:rPr>
        <w:t xml:space="preserve">  </w:t>
      </w:r>
    </w:p>
    <w:p w14:paraId="4D834DD9">
      <w:pPr>
        <w:ind w:firstLine="482"/>
        <w:jc w:val="center"/>
        <w:rPr>
          <w:rFonts w:ascii="Times New Roman" w:hAnsi="Times New Roman" w:eastAsia="宋体"/>
          <w:b/>
          <w:bCs/>
          <w:iCs/>
          <w:color w:val="000000"/>
          <w:sz w:val="24"/>
        </w:rPr>
      </w:pPr>
    </w:p>
    <w:p w14:paraId="16538838">
      <w:pPr>
        <w:spacing w:line="60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强一半导体（苏州）股份有限公司</w:t>
      </w:r>
    </w:p>
    <w:p w14:paraId="3D9EB5AC">
      <w:pPr>
        <w:jc w:val="center"/>
        <w:rPr>
          <w:rFonts w:hint="eastAsia" w:ascii="黑体" w:hAnsi="黑体" w:eastAsia="黑体" w:cs="黑体"/>
          <w:b/>
          <w:bCs/>
          <w:iCs/>
          <w:color w:val="000000"/>
          <w:sz w:val="36"/>
          <w:szCs w:val="36"/>
        </w:rPr>
      </w:pPr>
      <w:bookmarkStart w:id="0" w:name="OLE_LINK5"/>
      <w:r>
        <w:rPr>
          <w:rFonts w:hint="eastAsia" w:ascii="黑体" w:hAnsi="黑体" w:eastAsia="黑体" w:cs="黑体"/>
          <w:b/>
          <w:bCs/>
          <w:sz w:val="36"/>
          <w:szCs w:val="36"/>
        </w:rPr>
        <w:t>投资者关系活动</w:t>
      </w:r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记录表</w:t>
      </w:r>
    </w:p>
    <w:p w14:paraId="1083EF61">
      <w:pPr>
        <w:spacing w:line="400" w:lineRule="exact"/>
        <w:ind w:firstLine="480"/>
        <w:rPr>
          <w:rFonts w:hint="eastAsia" w:ascii="Times New Roman" w:hAnsi="Times New Roman" w:eastAsia="宋体"/>
          <w:bCs/>
          <w:iCs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宋体"/>
          <w:bCs/>
          <w:iCs/>
          <w:color w:val="000000"/>
          <w:sz w:val="24"/>
        </w:rPr>
        <w:t xml:space="preserve">                                                   编号：</w:t>
      </w:r>
      <w:r>
        <w:rPr>
          <w:rFonts w:ascii="Times New Roman" w:hAnsi="Times New Roman" w:eastAsia="宋体" w:cs="Times New Roman"/>
          <w:bCs/>
          <w:iCs/>
          <w:color w:val="000000"/>
          <w:sz w:val="24"/>
        </w:rPr>
        <w:t>2026-00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lang w:val="en-US" w:eastAsia="zh-CN"/>
        </w:rPr>
        <w:t>3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614"/>
      </w:tblGrid>
      <w:tr w14:paraId="4840F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3191D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E863D">
            <w:pPr>
              <w:spacing w:line="480" w:lineRule="atLeast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☑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特定对象调研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4"/>
              </w:rPr>
              <w:t>分析师会议</w:t>
            </w:r>
          </w:p>
          <w:p w14:paraId="207D3D6C">
            <w:pPr>
              <w:spacing w:line="480" w:lineRule="atLeast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媒体采访    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业绩说明会</w:t>
            </w:r>
          </w:p>
          <w:p w14:paraId="25C95A4B">
            <w:pPr>
              <w:spacing w:line="480" w:lineRule="atLeast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新闻发布会  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路演活动</w:t>
            </w:r>
          </w:p>
          <w:p w14:paraId="6568E05D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现场参观</w:t>
            </w:r>
          </w:p>
          <w:p w14:paraId="160A3C39">
            <w:pPr>
              <w:tabs>
                <w:tab w:val="center" w:pos="3199"/>
              </w:tabs>
              <w:spacing w:line="480" w:lineRule="atLeast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其他 （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>请文字说明其他活动内容）</w:t>
            </w:r>
          </w:p>
        </w:tc>
      </w:tr>
      <w:tr w14:paraId="4D35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82155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参与单位名称（及人员姓名）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7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16"/>
              <w:gridCol w:w="1983"/>
              <w:gridCol w:w="1989"/>
            </w:tblGrid>
            <w:tr w14:paraId="6B7253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5000" w:type="pct"/>
                  <w:gridSpan w:val="3"/>
                  <w:vAlign w:val="center"/>
                </w:tcPr>
                <w:p w14:paraId="50E4F130"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bCs/>
                      <w:color w:val="000000"/>
                      <w:kern w:val="0"/>
                      <w:szCs w:val="21"/>
                    </w:rPr>
                    <w:t>公司名称</w:t>
                  </w:r>
                </w:p>
              </w:tc>
            </w:tr>
            <w:tr w14:paraId="532C59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  <w:vAlign w:val="center"/>
                </w:tcPr>
                <w:p w14:paraId="1BF2966E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中信建投证券</w:t>
                  </w:r>
                </w:p>
              </w:tc>
              <w:tc>
                <w:tcPr>
                  <w:tcW w:w="1552" w:type="pct"/>
                </w:tcPr>
                <w:p w14:paraId="3D96F6FB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广发证券</w:t>
                  </w:r>
                </w:p>
              </w:tc>
              <w:tc>
                <w:tcPr>
                  <w:tcW w:w="1556" w:type="pct"/>
                </w:tcPr>
                <w:p w14:paraId="43C3CC8F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东吴证券</w:t>
                  </w:r>
                </w:p>
              </w:tc>
            </w:tr>
            <w:tr w14:paraId="3F4918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</w:tcPr>
                <w:p w14:paraId="37AF19E4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申万宏源证券</w:t>
                  </w:r>
                </w:p>
              </w:tc>
              <w:tc>
                <w:tcPr>
                  <w:tcW w:w="1552" w:type="pct"/>
                </w:tcPr>
                <w:p w14:paraId="0DD6CA9E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东方证券</w:t>
                  </w:r>
                </w:p>
              </w:tc>
              <w:tc>
                <w:tcPr>
                  <w:tcW w:w="1556" w:type="pct"/>
                </w:tcPr>
                <w:p w14:paraId="424BE174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国海证券</w:t>
                  </w:r>
                </w:p>
              </w:tc>
            </w:tr>
            <w:tr w14:paraId="7AF15F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</w:tcPr>
                <w:p w14:paraId="5AEEB021">
                  <w:pPr>
                    <w:widowControl/>
                    <w:jc w:val="center"/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  <w:t>招商基金</w:t>
                  </w:r>
                </w:p>
              </w:tc>
              <w:tc>
                <w:tcPr>
                  <w:tcW w:w="1552" w:type="pct"/>
                </w:tcPr>
                <w:p w14:paraId="23EA2C3B"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鹏华基金</w:t>
                  </w:r>
                </w:p>
              </w:tc>
              <w:tc>
                <w:tcPr>
                  <w:tcW w:w="1556" w:type="pct"/>
                </w:tcPr>
                <w:p w14:paraId="5C048EC7">
                  <w:pPr>
                    <w:widowControl/>
                    <w:jc w:val="center"/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广发基金</w:t>
                  </w:r>
                </w:p>
              </w:tc>
            </w:tr>
            <w:tr w14:paraId="1FB915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shd w:val="clear" w:color="auto" w:fill="auto"/>
                  <w:noWrap/>
                  <w:vAlign w:val="center"/>
                </w:tcPr>
                <w:p w14:paraId="676368CD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恒越基金</w:t>
                  </w:r>
                </w:p>
              </w:tc>
              <w:tc>
                <w:tcPr>
                  <w:tcW w:w="1552" w:type="pct"/>
                  <w:shd w:val="clear" w:color="auto" w:fill="auto"/>
                  <w:vAlign w:val="top"/>
                </w:tcPr>
                <w:p w14:paraId="1E52F3DC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德邦基金</w:t>
                  </w:r>
                </w:p>
              </w:tc>
              <w:tc>
                <w:tcPr>
                  <w:tcW w:w="1556" w:type="pct"/>
                  <w:shd w:val="clear" w:color="auto" w:fill="auto"/>
                  <w:vAlign w:val="top"/>
                </w:tcPr>
                <w:p w14:paraId="04DEBE48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</w:rPr>
                    <w:t>国联安基金</w:t>
                  </w:r>
                </w:p>
              </w:tc>
            </w:tr>
            <w:tr w14:paraId="4FFF4C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  <w:vAlign w:val="center"/>
                </w:tcPr>
                <w:p w14:paraId="1A7690F2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建信基金</w:t>
                  </w:r>
                </w:p>
              </w:tc>
              <w:tc>
                <w:tcPr>
                  <w:tcW w:w="1552" w:type="pct"/>
                  <w:vAlign w:val="center"/>
                </w:tcPr>
                <w:p w14:paraId="01862707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南方基金</w:t>
                  </w:r>
                </w:p>
              </w:tc>
              <w:tc>
                <w:tcPr>
                  <w:tcW w:w="1556" w:type="pct"/>
                </w:tcPr>
                <w:p w14:paraId="75B83748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国泰基金</w:t>
                  </w:r>
                </w:p>
              </w:tc>
            </w:tr>
            <w:tr w14:paraId="2AA32D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  <w:vAlign w:val="center"/>
                </w:tcPr>
                <w:p w14:paraId="7B9C45E6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永赢基金</w:t>
                  </w:r>
                </w:p>
              </w:tc>
              <w:tc>
                <w:tcPr>
                  <w:tcW w:w="1552" w:type="pct"/>
                  <w:vAlign w:val="center"/>
                </w:tcPr>
                <w:p w14:paraId="0E3F2B69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博时基金</w:t>
                  </w:r>
                </w:p>
              </w:tc>
              <w:tc>
                <w:tcPr>
                  <w:tcW w:w="1556" w:type="pct"/>
                </w:tcPr>
                <w:p w14:paraId="3B47F54E"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color w:val="000000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中欧基金</w:t>
                  </w:r>
                </w:p>
              </w:tc>
            </w:tr>
            <w:tr w14:paraId="0C0A92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  <w:vAlign w:val="center"/>
                </w:tcPr>
                <w:p w14:paraId="6111A063">
                  <w:pPr>
                    <w:widowControl/>
                    <w:jc w:val="center"/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大成基金</w:t>
                  </w:r>
                </w:p>
              </w:tc>
              <w:tc>
                <w:tcPr>
                  <w:tcW w:w="1552" w:type="pct"/>
                  <w:vAlign w:val="center"/>
                </w:tcPr>
                <w:p w14:paraId="256BABAB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万家基金</w:t>
                  </w:r>
                </w:p>
              </w:tc>
              <w:tc>
                <w:tcPr>
                  <w:tcW w:w="1556" w:type="pct"/>
                </w:tcPr>
                <w:p w14:paraId="53A14522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  <w:t>泰康资产</w:t>
                  </w:r>
                </w:p>
              </w:tc>
            </w:tr>
            <w:tr w14:paraId="67E2A9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1891" w:type="pct"/>
                  <w:noWrap/>
                  <w:vAlign w:val="center"/>
                </w:tcPr>
                <w:p w14:paraId="740CBCCD">
                  <w:pPr>
                    <w:widowControl/>
                    <w:jc w:val="center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Cs w:val="21"/>
                      <w:lang w:val="en-US" w:eastAsia="zh-CN"/>
                    </w:rPr>
                    <w:t>兴证全球基金</w:t>
                  </w:r>
                </w:p>
              </w:tc>
              <w:tc>
                <w:tcPr>
                  <w:tcW w:w="1552" w:type="pct"/>
                  <w:vAlign w:val="center"/>
                </w:tcPr>
                <w:p w14:paraId="586ABFFF">
                  <w:pPr>
                    <w:widowControl/>
                    <w:jc w:val="center"/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56" w:type="pct"/>
                </w:tcPr>
                <w:p w14:paraId="1C26485A">
                  <w:pPr>
                    <w:widowControl/>
                    <w:jc w:val="center"/>
                    <w:rPr>
                      <w:rFonts w:hint="eastAsia" w:ascii="Times New Roman" w:hAnsi="Times New Roman" w:eastAsia="宋体" w:cs="Times New Roman"/>
                      <w:color w:val="000000"/>
                      <w:szCs w:val="21"/>
                      <w:lang w:val="en-US" w:eastAsia="zh-CN"/>
                    </w:rPr>
                  </w:pPr>
                </w:p>
              </w:tc>
            </w:tr>
          </w:tbl>
          <w:p w14:paraId="0767507A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共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家机构及其相关人员参与交流。</w:t>
            </w:r>
          </w:p>
        </w:tc>
      </w:tr>
      <w:tr w14:paraId="2A52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5D07C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365A">
            <w:pPr>
              <w:rPr>
                <w:rFonts w:hint="default" w:ascii="Times New Roman" w:hAnsi="Times New Roman" w:eastAsia="宋体"/>
                <w:bCs/>
                <w:iCs/>
                <w:color w:val="000000"/>
                <w:sz w:val="24"/>
                <w:lang w:val="en-US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2026年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6月1日至2026年7月10日</w:t>
            </w:r>
          </w:p>
        </w:tc>
      </w:tr>
      <w:tr w14:paraId="5AA9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B6E67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56EF">
            <w:pP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苏州会议室、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上海、深圳</w:t>
            </w:r>
          </w:p>
        </w:tc>
      </w:tr>
      <w:tr w14:paraId="66BF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B7129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2F565">
            <w:pPr>
              <w:rPr>
                <w:rFonts w:hint="default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董事长 周明先生</w:t>
            </w:r>
          </w:p>
          <w:p w14:paraId="71BAB53F">
            <w:pP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董事会秘书 张子涵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女士</w:t>
            </w:r>
          </w:p>
          <w:p w14:paraId="416003D0">
            <w:pP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投资者关系经理 任缘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女士</w:t>
            </w:r>
          </w:p>
        </w:tc>
      </w:tr>
      <w:tr w14:paraId="0422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FE47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9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Q：南通项目</w:t>
            </w: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</w:rPr>
              <w:t>全自动化产线升级的</w:t>
            </w: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原因？</w:t>
            </w:r>
          </w:p>
          <w:p w14:paraId="0AC8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A：公司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2024年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起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启动全工艺链自动化调研，覆盖光刻、镀膜、刻蚀、电镀等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MEMS探针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制造环节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南通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采用全新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自动化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设备，已提前在供应商端完成长时间联调验证。</w:t>
            </w:r>
          </w:p>
          <w:p w14:paraId="58C99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南通项目主力从8英寸产线向12英寸产线设备跨越。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8英寸全自动设备依赖定制，交付周期长，而12英寸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全自动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设备采购便利，虽单台成本更高，但综合工程适配性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交期可控性及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产量效率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优势显著。</w:t>
            </w:r>
          </w:p>
          <w:p w14:paraId="1DD5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2.5D MEMS和2D MEMS探针卡</w:t>
            </w: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产线设备是否存在共用情形？</w:t>
            </w:r>
          </w:p>
          <w:p w14:paraId="77427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公司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2.5D MEMS和2D MEMS探针卡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的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大多数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环节存在共用产线的情形，主要系相关产品的技术、工艺存在一定相通性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MEMS探针在部分环节的设备上因均涉及匀胶、光刻、研磨等工艺而存在共用的情况，但由于2D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MEMS探针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和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2.5D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MEMS探针存在区别，涉及的工序、步骤以及设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备也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</w:rPr>
              <w:t>存在差异。</w:t>
            </w:r>
          </w:p>
          <w:p w14:paraId="14654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海外是否供应紧张，公司是否跟随海外探针卡厂商涨价？</w:t>
            </w:r>
          </w:p>
          <w:p w14:paraId="23BD2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default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A：海外头部厂商普遍交期拉长，而公司凭借快速响应交付能力承接部分海外溢出订单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公司将市场份额和市场影响力作为更重要的考虑因素，短期没有涨价的计划。</w:t>
            </w:r>
          </w:p>
          <w:p w14:paraId="5D867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玻璃基板布局规划？</w:t>
            </w:r>
          </w:p>
          <w:p w14:paraId="05192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default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A：当前空间转接基板主要采用MLO、MLC，但因算力面积功耗越来越大，ABF的散热、翘曲、速率逐渐到达临界点，陶瓷材料的速率有限，有机材料的散热有缺陷，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公司正积极探索将玻璃基板作为空间转接基板的未来解决方案。在探针卡应用领域，玻璃基板的导入预计尚需3至5年的培育期。</w:t>
            </w:r>
          </w:p>
          <w:p w14:paraId="68996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探针卡国内市场规模和驱动力？</w:t>
            </w:r>
          </w:p>
          <w:p w14:paraId="7FF9C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据QYResearch数据估算，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2025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年中国探针卡市场规模约6.15亿美元，2032年预计达15.92亿美元，市场增量主要来自AI算力基建，数据中心需求是核心驱动力，但存储成本飙升对手机等终端市场需求有压制。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行业长期由海外厂商主导，国内客户转向本土供应商时主要关注其响应速度和交付能力确定性。</w:t>
            </w:r>
          </w:p>
          <w:p w14:paraId="69EDF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公司产能如何？</w:t>
            </w:r>
          </w:p>
          <w:p w14:paraId="665A5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目前公司现有产能（不含南通等未投产项目）预计能够支撑公司至2027年的业务发展目标。鉴于下游订单需求呈现</w:t>
            </w:r>
            <w:r>
              <w:rPr>
                <w:rFonts w:hint="eastAsia" w:ascii="Times New Roman" w:hAnsi="Times New Roman" w:eastAsia="宋体" w:cs="宋体"/>
                <w:bCs/>
                <w:iCs/>
                <w:color w:val="000000"/>
                <w:sz w:val="24"/>
              </w:rPr>
              <w:t>脉冲式、非线性的爆发特征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，且产线人员需经过系统的培训与磨合，公司需保持前瞻性规划，提前进行产能储备。</w:t>
            </w:r>
          </w:p>
          <w:p w14:paraId="71DA8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新产线如何折旧？</w:t>
            </w:r>
          </w:p>
          <w:p w14:paraId="345BD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A：新产线设备折旧年限为5-10年，新厂房折旧年限为20年。</w:t>
            </w:r>
          </w:p>
          <w:p w14:paraId="59C49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2.5D MEMS探针和3D MEMS探针的区别？</w:t>
            </w:r>
          </w:p>
          <w:p w14:paraId="69933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</w:t>
            </w: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两者的技术难点与工艺路径各有侧重：3D MEMS探针的制造难度较高，但其后期组装贴装相对简便；2.5D MEMS探针的制造过程相对简单，但后期的组装贴装工艺较为复杂。目前，公司采用2.5D MEMS探针进行存储芯片测试，已能满足约80%的应用场景需求。</w:t>
            </w:r>
          </w:p>
          <w:p w14:paraId="2FE7C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Cs/>
                <w:color w:val="000000"/>
                <w:sz w:val="24"/>
                <w:lang w:val="en-US" w:eastAsia="zh-CN"/>
              </w:rPr>
              <w:t>Q：</w:t>
            </w:r>
            <w:r>
              <w:rPr>
                <w:rFonts w:hint="eastAsia" w:ascii="Times New Roman" w:hAnsi="Times New Roman" w:eastAsia="宋体" w:cs="宋体"/>
                <w:b/>
                <w:bCs w:val="0"/>
                <w:iCs/>
                <w:color w:val="000000"/>
                <w:sz w:val="24"/>
                <w:lang w:val="en-US" w:eastAsia="zh-CN"/>
              </w:rPr>
              <w:t>公司的出海规划？</w:t>
            </w:r>
          </w:p>
          <w:p w14:paraId="460E6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Times New Roman" w:hAnsi="Times New Roman" w:eastAsia="宋体" w:cs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Cs/>
                <w:color w:val="000000"/>
                <w:sz w:val="24"/>
                <w:lang w:val="en-US" w:eastAsia="zh-CN"/>
              </w:rPr>
              <w:t>A：公司当前重心在国内市场，出海取决于公司产品情况，快速响应能力是公司的核心优势之一，</w:t>
            </w:r>
            <w:r>
              <w:rPr>
                <w:rFonts w:hint="eastAsia" w:ascii="Times New Roman" w:hAnsi="Times New Roman" w:eastAsia="宋体" w:cs="宋体"/>
                <w:bCs/>
                <w:iCs/>
                <w:color w:val="000000"/>
                <w:sz w:val="24"/>
              </w:rPr>
              <w:t>公司目前致力于实现制造自动化</w:t>
            </w:r>
            <w:r>
              <w:rPr>
                <w:rFonts w:hint="eastAsia" w:ascii="Times New Roman" w:hAnsi="Times New Roman" w:eastAsia="宋体" w:cs="宋体"/>
                <w:bCs/>
                <w:iCs/>
                <w:color w:val="000000"/>
                <w:sz w:val="24"/>
                <w:lang w:val="en-US" w:eastAsia="zh-CN"/>
              </w:rPr>
              <w:t>并构建</w:t>
            </w:r>
            <w:r>
              <w:rPr>
                <w:rFonts w:hint="eastAsia" w:ascii="Times New Roman" w:hAnsi="Times New Roman" w:eastAsia="宋体" w:cs="宋体"/>
                <w:bCs/>
                <w:iCs/>
                <w:color w:val="000000"/>
                <w:sz w:val="24"/>
              </w:rPr>
              <w:t>强大的硬件工程能力。</w:t>
            </w:r>
          </w:p>
        </w:tc>
      </w:tr>
      <w:tr w14:paraId="5F0A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52B6C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FD59C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无</w:t>
            </w:r>
          </w:p>
        </w:tc>
      </w:tr>
      <w:tr w14:paraId="6F6D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BE1D1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附件清单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B61A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</w:p>
        </w:tc>
      </w:tr>
      <w:tr w14:paraId="4FCDD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D00FD">
            <w:pP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A9760">
            <w:pP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2026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  <w:t>年07月</w:t>
            </w:r>
          </w:p>
        </w:tc>
      </w:tr>
    </w:tbl>
    <w:p w14:paraId="4F040738">
      <w:pPr>
        <w:rPr>
          <w:rFonts w:ascii="Times New Roman" w:hAnsi="Times New Roman" w:eastAsia="宋体"/>
        </w:rPr>
      </w:pPr>
    </w:p>
    <w:p w14:paraId="2620AA69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13919"/>
    <w:rsid w:val="000E5519"/>
    <w:rsid w:val="00295812"/>
    <w:rsid w:val="00343505"/>
    <w:rsid w:val="00556531"/>
    <w:rsid w:val="005C162E"/>
    <w:rsid w:val="006769D0"/>
    <w:rsid w:val="00681130"/>
    <w:rsid w:val="00776334"/>
    <w:rsid w:val="00793975"/>
    <w:rsid w:val="0085655F"/>
    <w:rsid w:val="00AD7A57"/>
    <w:rsid w:val="00C94BEA"/>
    <w:rsid w:val="00D93E26"/>
    <w:rsid w:val="00E902EA"/>
    <w:rsid w:val="02306473"/>
    <w:rsid w:val="04552A50"/>
    <w:rsid w:val="047712E6"/>
    <w:rsid w:val="05810D93"/>
    <w:rsid w:val="087A4C54"/>
    <w:rsid w:val="09185DB9"/>
    <w:rsid w:val="09A12779"/>
    <w:rsid w:val="09B554AF"/>
    <w:rsid w:val="0AE918B4"/>
    <w:rsid w:val="0BFC77E9"/>
    <w:rsid w:val="0CAE0BBD"/>
    <w:rsid w:val="0D413919"/>
    <w:rsid w:val="0DE16873"/>
    <w:rsid w:val="0E794CFD"/>
    <w:rsid w:val="10CD1330"/>
    <w:rsid w:val="118C0A0B"/>
    <w:rsid w:val="12D93FBD"/>
    <w:rsid w:val="13173D0A"/>
    <w:rsid w:val="139D148E"/>
    <w:rsid w:val="13D33102"/>
    <w:rsid w:val="1532203F"/>
    <w:rsid w:val="176C28C7"/>
    <w:rsid w:val="18B773FA"/>
    <w:rsid w:val="1ABC48F0"/>
    <w:rsid w:val="1B684130"/>
    <w:rsid w:val="1BC17613"/>
    <w:rsid w:val="1C56060B"/>
    <w:rsid w:val="1D181B85"/>
    <w:rsid w:val="21367CA5"/>
    <w:rsid w:val="22BB548D"/>
    <w:rsid w:val="244A57A2"/>
    <w:rsid w:val="24D80E54"/>
    <w:rsid w:val="24E0567E"/>
    <w:rsid w:val="24F160DB"/>
    <w:rsid w:val="24F3632B"/>
    <w:rsid w:val="250E5D48"/>
    <w:rsid w:val="2591677E"/>
    <w:rsid w:val="264F6618"/>
    <w:rsid w:val="273C57F8"/>
    <w:rsid w:val="2743733E"/>
    <w:rsid w:val="28D84447"/>
    <w:rsid w:val="2A263B34"/>
    <w:rsid w:val="2A4333D7"/>
    <w:rsid w:val="2B936FA7"/>
    <w:rsid w:val="2BE011C8"/>
    <w:rsid w:val="2F961084"/>
    <w:rsid w:val="2FF87DFC"/>
    <w:rsid w:val="31F84FD8"/>
    <w:rsid w:val="32265BE1"/>
    <w:rsid w:val="34232E92"/>
    <w:rsid w:val="36032F7B"/>
    <w:rsid w:val="36C070BE"/>
    <w:rsid w:val="38284F1B"/>
    <w:rsid w:val="38D9696E"/>
    <w:rsid w:val="394F7E03"/>
    <w:rsid w:val="3BF22242"/>
    <w:rsid w:val="3C9708C1"/>
    <w:rsid w:val="3CBC3E83"/>
    <w:rsid w:val="3DCE20C0"/>
    <w:rsid w:val="3EC84D62"/>
    <w:rsid w:val="3FF83425"/>
    <w:rsid w:val="41306BEE"/>
    <w:rsid w:val="41FF4BE4"/>
    <w:rsid w:val="44B4700C"/>
    <w:rsid w:val="44DD55D1"/>
    <w:rsid w:val="45570BED"/>
    <w:rsid w:val="455C3F93"/>
    <w:rsid w:val="459736E0"/>
    <w:rsid w:val="45F452FB"/>
    <w:rsid w:val="46110B49"/>
    <w:rsid w:val="47A3011A"/>
    <w:rsid w:val="47B77544"/>
    <w:rsid w:val="49B741E9"/>
    <w:rsid w:val="49E22908"/>
    <w:rsid w:val="4A49401B"/>
    <w:rsid w:val="4B2E2C15"/>
    <w:rsid w:val="4C1A3E27"/>
    <w:rsid w:val="4C242BBD"/>
    <w:rsid w:val="4CA566E2"/>
    <w:rsid w:val="4F39371F"/>
    <w:rsid w:val="4FF7491A"/>
    <w:rsid w:val="5306639B"/>
    <w:rsid w:val="53394028"/>
    <w:rsid w:val="53D77AC9"/>
    <w:rsid w:val="54B80ED9"/>
    <w:rsid w:val="567457B2"/>
    <w:rsid w:val="56A8574D"/>
    <w:rsid w:val="578440A3"/>
    <w:rsid w:val="5C056982"/>
    <w:rsid w:val="5CDB3A5A"/>
    <w:rsid w:val="5DB20C5F"/>
    <w:rsid w:val="5E1105FB"/>
    <w:rsid w:val="60483AFC"/>
    <w:rsid w:val="60E34529"/>
    <w:rsid w:val="61E635CD"/>
    <w:rsid w:val="61ED495B"/>
    <w:rsid w:val="64095351"/>
    <w:rsid w:val="661F0E5C"/>
    <w:rsid w:val="666C678B"/>
    <w:rsid w:val="68A37B22"/>
    <w:rsid w:val="6AE306AA"/>
    <w:rsid w:val="6B7D28AC"/>
    <w:rsid w:val="6D154D66"/>
    <w:rsid w:val="6E832DC4"/>
    <w:rsid w:val="6EA4236F"/>
    <w:rsid w:val="701D5CDC"/>
    <w:rsid w:val="71180999"/>
    <w:rsid w:val="71361A65"/>
    <w:rsid w:val="71D46F9E"/>
    <w:rsid w:val="720A6E02"/>
    <w:rsid w:val="73A93E62"/>
    <w:rsid w:val="73AC7AA8"/>
    <w:rsid w:val="73B9469D"/>
    <w:rsid w:val="74045CDC"/>
    <w:rsid w:val="74EF1262"/>
    <w:rsid w:val="774249AA"/>
    <w:rsid w:val="78113489"/>
    <w:rsid w:val="785C02A9"/>
    <w:rsid w:val="792151BF"/>
    <w:rsid w:val="79865022"/>
    <w:rsid w:val="7B3E36DA"/>
    <w:rsid w:val="7DBF4FA6"/>
    <w:rsid w:val="7E3B08D3"/>
    <w:rsid w:val="7E4E4A7B"/>
    <w:rsid w:val="7EC10E0D"/>
    <w:rsid w:val="7EE051D4"/>
    <w:rsid w:val="7F39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qFormat/>
    <w:uiPriority w:val="0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1433</Words>
  <Characters>1562</Characters>
  <Lines>19</Lines>
  <Paragraphs>5</Paragraphs>
  <TotalTime>19</TotalTime>
  <ScaleCrop>false</ScaleCrop>
  <LinksUpToDate>false</LinksUpToDate>
  <CharactersWithSpaces>1696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2026-05-28T06:55:00Z</dcterms:created>
  <dc:creator>白话文</dc:creator>
  <cp:lastModifiedBy>任缘</cp:lastModifiedBy>
  <cp:lastPrinted>2026-02-12T00:56:00Z</cp:lastPrinted>
  <dcterms:modified xsi:type="dcterms:W3CDTF">2026-07-13T09:04:40Z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4B4859714F414507840D8CE515100116_13</vt:lpwstr>
  </property>
  <property fmtid="{D5CDD505-2E9C-101B-9397-08002B2CF9AE}" pid="4" name="KSOTemplateDocerSaveRecord">
    <vt:lpwstr>eyJoZGlkIjoiMTc1MDk5ZjBkMTY0N2ZjMmVhYjMwZTBiNzE4NTZlNDYiLCJ1c2VySWQiOiIxNDIwMTA1Njg4In0=</vt:lpwstr>
  </property>
</Properties>
</file>