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6C867">
      <w:pPr>
        <w:widowControl/>
        <w:shd w:val="clear" w:color="auto" w:fill="FFFFFF"/>
        <w:spacing w:line="480" w:lineRule="auto"/>
        <w:rPr>
          <w:rFonts w:cs="宋体" w:asciiTheme="minorEastAsia" w:hAnsiTheme="minorEastAsia"/>
          <w:color w:val="000000"/>
          <w:kern w:val="0"/>
          <w:sz w:val="24"/>
          <w:szCs w:val="21"/>
        </w:rPr>
      </w:pPr>
      <w:bookmarkStart w:id="0" w:name="_GoBack"/>
      <w:bookmarkEnd w:id="0"/>
      <w:r>
        <w:rPr>
          <w:rFonts w:cs="宋体" w:asciiTheme="minorEastAsia" w:hAnsiTheme="minorEastAsia"/>
          <w:color w:val="000000"/>
          <w:kern w:val="0"/>
          <w:sz w:val="24"/>
          <w:szCs w:val="21"/>
        </w:rPr>
        <w:t xml:space="preserve">证券代码：688379         </w:t>
      </w:r>
      <w:r>
        <w:rPr>
          <w:rFonts w:hint="eastAsia" w:cs="宋体" w:asciiTheme="minorEastAsia" w:hAnsiTheme="minorEastAsia"/>
          <w:color w:val="000000"/>
          <w:kern w:val="0"/>
          <w:sz w:val="24"/>
          <w:szCs w:val="21"/>
        </w:rPr>
        <w:t xml:space="preserve">    </w:t>
      </w:r>
      <w:r>
        <w:rPr>
          <w:rFonts w:cs="宋体" w:asciiTheme="minorEastAsia" w:hAnsiTheme="minorEastAsia"/>
          <w:color w:val="000000"/>
          <w:kern w:val="0"/>
          <w:sz w:val="24"/>
          <w:szCs w:val="21"/>
        </w:rPr>
        <w:t xml:space="preserve">                      </w:t>
      </w:r>
      <w:r>
        <w:rPr>
          <w:rFonts w:hint="eastAsia" w:cs="宋体" w:asciiTheme="minorEastAsia" w:hAnsiTheme="minorEastAsia"/>
          <w:color w:val="000000"/>
          <w:kern w:val="0"/>
          <w:sz w:val="24"/>
          <w:szCs w:val="21"/>
        </w:rPr>
        <w:t xml:space="preserve">   </w:t>
      </w:r>
      <w:r>
        <w:rPr>
          <w:rFonts w:cs="宋体" w:asciiTheme="minorEastAsia" w:hAnsiTheme="minorEastAsia"/>
          <w:color w:val="000000"/>
          <w:kern w:val="0"/>
          <w:sz w:val="24"/>
          <w:szCs w:val="21"/>
        </w:rPr>
        <w:t>证券简称：华光新材</w:t>
      </w:r>
    </w:p>
    <w:p w14:paraId="3AA2DEFA">
      <w:pPr>
        <w:widowControl/>
        <w:shd w:val="clear" w:color="auto" w:fill="FFFFFF"/>
        <w:spacing w:line="480" w:lineRule="auto"/>
        <w:jc w:val="center"/>
        <w:rPr>
          <w:rFonts w:ascii="Courier New" w:hAnsi="Courier New" w:eastAsia="宋体" w:cs="宋体"/>
          <w:color w:val="000000"/>
          <w:kern w:val="0"/>
          <w:sz w:val="30"/>
          <w:szCs w:val="30"/>
        </w:rPr>
      </w:pPr>
      <w:r>
        <w:rPr>
          <w:rFonts w:ascii="Courier New" w:hAnsi="Courier New" w:eastAsia="宋体" w:cs="宋体"/>
          <w:b/>
          <w:bCs/>
          <w:color w:val="000000"/>
          <w:kern w:val="0"/>
          <w:sz w:val="30"/>
          <w:szCs w:val="30"/>
        </w:rPr>
        <w:t>杭州华光焊接新材料股份有限公司投资者关系活动记录表</w:t>
      </w:r>
    </w:p>
    <w:p w14:paraId="1550E235">
      <w:pPr>
        <w:widowControl/>
        <w:shd w:val="clear" w:color="auto" w:fill="FFFFFF"/>
        <w:spacing w:line="480" w:lineRule="auto"/>
        <w:ind w:firstLine="480" w:firstLineChars="200"/>
        <w:jc w:val="right"/>
        <w:rPr>
          <w:rFonts w:hint="eastAsia" w:cs="宋体" w:asciiTheme="minorEastAsia" w:hAnsiTheme="minorEastAsia" w:eastAsiaTheme="minorEastAsia"/>
          <w:color w:val="000000"/>
          <w:kern w:val="0"/>
          <w:sz w:val="24"/>
          <w:szCs w:val="21"/>
          <w:lang w:eastAsia="zh-CN"/>
        </w:rPr>
      </w:pPr>
      <w:r>
        <w:rPr>
          <w:rFonts w:cs="宋体" w:asciiTheme="minorEastAsia" w:hAnsiTheme="minorEastAsia"/>
          <w:color w:val="000000"/>
          <w:kern w:val="0"/>
          <w:sz w:val="24"/>
          <w:szCs w:val="21"/>
        </w:rPr>
        <w:t>编号：202</w:t>
      </w:r>
      <w:r>
        <w:rPr>
          <w:rFonts w:hint="eastAsia" w:cs="宋体" w:asciiTheme="minorEastAsia" w:hAnsiTheme="minorEastAsia"/>
          <w:color w:val="000000"/>
          <w:kern w:val="0"/>
          <w:sz w:val="24"/>
          <w:szCs w:val="21"/>
        </w:rPr>
        <w:t>6</w:t>
      </w:r>
      <w:r>
        <w:rPr>
          <w:rFonts w:cs="宋体" w:asciiTheme="minorEastAsia" w:hAnsiTheme="minorEastAsia"/>
          <w:color w:val="000000"/>
          <w:kern w:val="0"/>
          <w:sz w:val="24"/>
          <w:szCs w:val="21"/>
        </w:rPr>
        <w:t>-00</w:t>
      </w:r>
      <w:r>
        <w:rPr>
          <w:rFonts w:hint="eastAsia" w:cs="宋体" w:asciiTheme="minorEastAsia" w:hAnsiTheme="minorEastAsia"/>
          <w:color w:val="000000"/>
          <w:kern w:val="0"/>
          <w:sz w:val="24"/>
          <w:szCs w:val="21"/>
          <w:lang w:val="en-US" w:eastAsia="zh-CN"/>
        </w:rPr>
        <w:t>7</w:t>
      </w:r>
    </w:p>
    <w:tbl>
      <w:tblPr>
        <w:tblStyle w:val="9"/>
        <w:tblpPr w:leftFromText="180" w:rightFromText="180" w:vertAnchor="text" w:tblpXSpec="right" w:tblpY="1"/>
        <w:tblOverlap w:val="never"/>
        <w:tblW w:w="9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455"/>
      </w:tblGrid>
      <w:tr w14:paraId="6F7B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5B02C65F">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投资者关系活动类别</w:t>
            </w:r>
          </w:p>
        </w:tc>
        <w:tc>
          <w:tcPr>
            <w:tcW w:w="7455" w:type="dxa"/>
            <w:vAlign w:val="center"/>
          </w:tcPr>
          <w:p w14:paraId="1481106B">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■特定对象调研 □分析师会议</w:t>
            </w:r>
          </w:p>
          <w:p w14:paraId="365F8D8C">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□媒体采访 □业绩说明会</w:t>
            </w:r>
          </w:p>
          <w:p w14:paraId="0AC601F0">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□新闻发布会 □路演活动</w:t>
            </w:r>
          </w:p>
          <w:p w14:paraId="69451200">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■现场参观</w:t>
            </w:r>
            <w:r>
              <w:rPr>
                <w:rFonts w:hint="eastAsia" w:ascii="Times New Roman" w:hAnsi="Times New Roman" w:eastAsia="宋体" w:cs="Times New Roman"/>
                <w:color w:val="000000"/>
                <w:kern w:val="0"/>
                <w:sz w:val="24"/>
                <w:szCs w:val="21"/>
              </w:rPr>
              <w:t xml:space="preserve"> </w:t>
            </w:r>
          </w:p>
          <w:p w14:paraId="19D08496">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□其他</w:t>
            </w:r>
          </w:p>
        </w:tc>
      </w:tr>
      <w:tr w14:paraId="6A96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696" w:type="dxa"/>
            <w:vAlign w:val="center"/>
          </w:tcPr>
          <w:p w14:paraId="62C46DE7">
            <w:pPr>
              <w:widowControl/>
              <w:spacing w:line="3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参与单位名称</w:t>
            </w:r>
          </w:p>
        </w:tc>
        <w:tc>
          <w:tcPr>
            <w:tcW w:w="7455" w:type="dxa"/>
            <w:vAlign w:val="center"/>
          </w:tcPr>
          <w:p w14:paraId="24B90F8F">
            <w:pPr>
              <w:widowControl/>
              <w:spacing w:line="420" w:lineRule="atLeast"/>
              <w:rPr>
                <w:rFonts w:ascii="Times New Roman" w:hAnsi="Times New Roman" w:eastAsia="宋体" w:cs="Times New Roman"/>
                <w:color w:val="000000"/>
                <w:kern w:val="0"/>
                <w:sz w:val="24"/>
                <w:szCs w:val="21"/>
              </w:rPr>
            </w:pPr>
            <w:r>
              <w:rPr>
                <w:rFonts w:hint="eastAsia" w:ascii="Times New Roman" w:hAnsi="Times New Roman" w:eastAsia="宋体" w:cs="Times New Roman"/>
                <w:color w:val="000000"/>
                <w:kern w:val="0"/>
                <w:sz w:val="24"/>
                <w:szCs w:val="21"/>
              </w:rPr>
              <w:t>浙商证券</w:t>
            </w:r>
            <w:r>
              <w:rPr>
                <w:rFonts w:hint="eastAsia" w:ascii="Times New Roman" w:hAnsi="Times New Roman" w:eastAsia="宋体" w:cs="Times New Roman"/>
                <w:color w:val="000000"/>
                <w:kern w:val="0"/>
                <w:sz w:val="24"/>
                <w:szCs w:val="21"/>
                <w:lang w:eastAsia="zh-CN"/>
              </w:rPr>
              <w:t>、宝赢基金、长江证券、太平养老保险、中信建投证券、永赢基金、山西证券、申万菱信</w:t>
            </w:r>
          </w:p>
        </w:tc>
      </w:tr>
      <w:tr w14:paraId="505B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32D950F2">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时间</w:t>
            </w:r>
          </w:p>
        </w:tc>
        <w:tc>
          <w:tcPr>
            <w:tcW w:w="7455" w:type="dxa"/>
            <w:vAlign w:val="center"/>
          </w:tcPr>
          <w:p w14:paraId="56031C25">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202</w:t>
            </w:r>
            <w:r>
              <w:rPr>
                <w:rFonts w:hint="eastAsia" w:ascii="Times New Roman" w:hAnsi="Times New Roman" w:eastAsia="宋体" w:cs="Times New Roman"/>
                <w:color w:val="000000"/>
                <w:kern w:val="0"/>
                <w:sz w:val="24"/>
                <w:szCs w:val="21"/>
              </w:rPr>
              <w:t>6</w:t>
            </w:r>
            <w:r>
              <w:rPr>
                <w:rFonts w:ascii="Times New Roman" w:hAnsi="Times New Roman" w:eastAsia="宋体" w:cs="Times New Roman"/>
                <w:color w:val="000000"/>
                <w:kern w:val="0"/>
                <w:sz w:val="24"/>
                <w:szCs w:val="21"/>
              </w:rPr>
              <w:t>年</w:t>
            </w:r>
            <w:r>
              <w:rPr>
                <w:rFonts w:hint="eastAsia" w:ascii="Times New Roman" w:hAnsi="Times New Roman" w:eastAsia="宋体" w:cs="Times New Roman"/>
                <w:color w:val="000000"/>
                <w:kern w:val="0"/>
                <w:sz w:val="24"/>
                <w:szCs w:val="21"/>
                <w:lang w:val="en-US" w:eastAsia="zh-CN"/>
              </w:rPr>
              <w:t>7</w:t>
            </w:r>
            <w:r>
              <w:rPr>
                <w:rFonts w:ascii="Times New Roman" w:hAnsi="Times New Roman" w:eastAsia="宋体" w:cs="Times New Roman"/>
                <w:color w:val="000000"/>
                <w:kern w:val="0"/>
                <w:sz w:val="24"/>
                <w:szCs w:val="21"/>
              </w:rPr>
              <w:t>月</w:t>
            </w:r>
            <w:r>
              <w:rPr>
                <w:rFonts w:hint="eastAsia" w:ascii="Times New Roman" w:hAnsi="Times New Roman" w:eastAsia="宋体" w:cs="Times New Roman"/>
                <w:color w:val="000000"/>
                <w:kern w:val="0"/>
                <w:sz w:val="24"/>
                <w:szCs w:val="21"/>
                <w:lang w:val="en-US" w:eastAsia="zh-CN"/>
              </w:rPr>
              <w:t>15</w:t>
            </w:r>
            <w:r>
              <w:rPr>
                <w:rFonts w:hint="eastAsia" w:ascii="Times New Roman" w:hAnsi="Times New Roman" w:eastAsia="宋体" w:cs="Times New Roman"/>
                <w:color w:val="000000"/>
                <w:kern w:val="0"/>
                <w:sz w:val="24"/>
                <w:szCs w:val="21"/>
              </w:rPr>
              <w:t>日-2026年</w:t>
            </w:r>
            <w:r>
              <w:rPr>
                <w:rFonts w:hint="eastAsia" w:ascii="Times New Roman" w:hAnsi="Times New Roman" w:eastAsia="宋体" w:cs="Times New Roman"/>
                <w:color w:val="000000"/>
                <w:kern w:val="0"/>
                <w:sz w:val="24"/>
                <w:szCs w:val="21"/>
                <w:lang w:val="en-US" w:eastAsia="zh-CN"/>
              </w:rPr>
              <w:t>7</w:t>
            </w:r>
            <w:r>
              <w:rPr>
                <w:rFonts w:hint="eastAsia" w:ascii="Times New Roman" w:hAnsi="Times New Roman" w:eastAsia="宋体" w:cs="Times New Roman"/>
                <w:color w:val="000000"/>
                <w:kern w:val="0"/>
                <w:sz w:val="24"/>
                <w:szCs w:val="21"/>
              </w:rPr>
              <w:t>月</w:t>
            </w:r>
            <w:r>
              <w:rPr>
                <w:rFonts w:hint="eastAsia" w:ascii="Times New Roman" w:hAnsi="Times New Roman" w:eastAsia="宋体" w:cs="Times New Roman"/>
                <w:color w:val="000000"/>
                <w:kern w:val="0"/>
                <w:sz w:val="24"/>
                <w:szCs w:val="21"/>
                <w:lang w:val="en-US" w:eastAsia="zh-CN"/>
              </w:rPr>
              <w:t>21</w:t>
            </w:r>
            <w:r>
              <w:rPr>
                <w:rFonts w:hint="eastAsia" w:ascii="Times New Roman" w:hAnsi="Times New Roman" w:eastAsia="宋体" w:cs="Times New Roman"/>
                <w:color w:val="000000"/>
                <w:kern w:val="0"/>
                <w:sz w:val="24"/>
                <w:szCs w:val="21"/>
              </w:rPr>
              <w:t>日</w:t>
            </w:r>
          </w:p>
        </w:tc>
      </w:tr>
      <w:tr w14:paraId="3B4F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6476C21A">
            <w:pPr>
              <w:widowControl/>
              <w:spacing w:line="420" w:lineRule="atLeast"/>
              <w:jc w:val="left"/>
              <w:rPr>
                <w:rFonts w:ascii="Times New Roman" w:hAnsi="Times New Roman" w:eastAsia="宋体" w:cs="Times New Roman"/>
                <w:color w:val="000000"/>
                <w:kern w:val="0"/>
                <w:sz w:val="24"/>
                <w:szCs w:val="21"/>
              </w:rPr>
            </w:pPr>
            <w:r>
              <w:rPr>
                <w:rFonts w:hint="eastAsia" w:ascii="Times New Roman" w:hAnsi="Times New Roman" w:eastAsia="宋体" w:cs="Times New Roman"/>
                <w:color w:val="000000"/>
                <w:kern w:val="0"/>
                <w:sz w:val="24"/>
                <w:szCs w:val="21"/>
              </w:rPr>
              <w:t>参会方式</w:t>
            </w:r>
          </w:p>
        </w:tc>
        <w:tc>
          <w:tcPr>
            <w:tcW w:w="7455" w:type="dxa"/>
            <w:vAlign w:val="center"/>
          </w:tcPr>
          <w:p w14:paraId="3B0148B8">
            <w:pPr>
              <w:widowControl/>
              <w:spacing w:line="420" w:lineRule="atLeast"/>
              <w:jc w:val="left"/>
              <w:rPr>
                <w:rFonts w:ascii="Times New Roman" w:hAnsi="Times New Roman" w:cs="Times New Roman"/>
                <w:color w:val="000000"/>
                <w:kern w:val="0"/>
                <w:sz w:val="24"/>
                <w:szCs w:val="21"/>
              </w:rPr>
            </w:pPr>
            <w:r>
              <w:rPr>
                <w:rFonts w:hint="eastAsia" w:ascii="Times New Roman" w:hAnsi="Times New Roman" w:cs="Times New Roman"/>
                <w:color w:val="000000"/>
                <w:sz w:val="24"/>
                <w:szCs w:val="21"/>
                <w:shd w:val="clear" w:color="auto" w:fill="FFFFFF"/>
              </w:rPr>
              <w:t>线上调研、现场调研</w:t>
            </w:r>
          </w:p>
        </w:tc>
      </w:tr>
      <w:tr w14:paraId="456D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7835A1AA">
            <w:pPr>
              <w:widowControl/>
              <w:spacing w:line="3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上市公司接待人员姓名</w:t>
            </w:r>
          </w:p>
        </w:tc>
        <w:tc>
          <w:tcPr>
            <w:tcW w:w="7455" w:type="dxa"/>
            <w:vAlign w:val="center"/>
          </w:tcPr>
          <w:p w14:paraId="3C87EBCC">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董事会秘书胡岭、证券事务代表李美娟</w:t>
            </w:r>
          </w:p>
        </w:tc>
      </w:tr>
      <w:tr w14:paraId="7628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696" w:type="dxa"/>
            <w:vAlign w:val="center"/>
          </w:tcPr>
          <w:p w14:paraId="1E7D300F">
            <w:pPr>
              <w:widowControl/>
              <w:spacing w:line="420" w:lineRule="atLeast"/>
              <w:jc w:val="left"/>
              <w:rPr>
                <w:rFonts w:ascii="Times New Roman" w:hAnsi="Times New Roman" w:eastAsia="宋体" w:cs="Times New Roman"/>
                <w:color w:val="000000"/>
                <w:kern w:val="0"/>
                <w:sz w:val="24"/>
                <w:szCs w:val="21"/>
              </w:rPr>
            </w:pPr>
            <w:r>
              <w:rPr>
                <w:rFonts w:ascii="Times New Roman" w:hAnsi="Times New Roman" w:eastAsia="宋体" w:cs="Times New Roman"/>
                <w:color w:val="000000"/>
                <w:kern w:val="0"/>
                <w:sz w:val="24"/>
                <w:szCs w:val="21"/>
              </w:rPr>
              <w:t>投资者关系活动主要内容介绍</w:t>
            </w:r>
          </w:p>
        </w:tc>
        <w:tc>
          <w:tcPr>
            <w:tcW w:w="7455" w:type="dxa"/>
            <w:vAlign w:val="center"/>
          </w:tcPr>
          <w:p w14:paraId="37E9D9DA">
            <w:pPr>
              <w:pStyle w:val="13"/>
              <w:widowControl/>
              <w:spacing w:line="460" w:lineRule="exact"/>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第一部分 介绍公司相关情况</w:t>
            </w:r>
          </w:p>
          <w:p w14:paraId="022097AC">
            <w:pPr>
              <w:pStyle w:val="13"/>
              <w:widowControl/>
              <w:spacing w:line="460" w:lineRule="exact"/>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内容包括华光新材基本情况、2025年度及2026年第一季度经营状况、未来发展规划。</w:t>
            </w:r>
          </w:p>
          <w:p w14:paraId="4DE8B63E">
            <w:pPr>
              <w:pStyle w:val="13"/>
              <w:widowControl/>
              <w:spacing w:line="460" w:lineRule="exact"/>
              <w:rPr>
                <w:rFonts w:ascii="Times New Roman" w:hAnsi="Times New Roman" w:eastAsia="宋体" w:cs="Times New Roman"/>
                <w:sz w:val="24"/>
                <w:szCs w:val="24"/>
              </w:rPr>
            </w:pPr>
          </w:p>
          <w:p w14:paraId="360B16B7">
            <w:pPr>
              <w:pStyle w:val="13"/>
              <w:widowControl/>
              <w:spacing w:line="460" w:lineRule="exact"/>
              <w:ind w:firstLine="0" w:firstLineChars="0"/>
              <w:rPr>
                <w:rFonts w:ascii="Times New Roman" w:hAnsi="Times New Roman" w:eastAsia="宋体" w:cs="Times New Roman"/>
                <w:sz w:val="24"/>
                <w:szCs w:val="24"/>
              </w:rPr>
            </w:pPr>
            <w:r>
              <w:rPr>
                <w:rFonts w:hint="eastAsia" w:ascii="Times New Roman" w:hAnsi="Times New Roman" w:cs="Times New Roman"/>
                <w:sz w:val="24"/>
                <w:szCs w:val="24"/>
                <w:lang w:eastAsia="zh-CN"/>
              </w:rPr>
              <w:t>第二部分</w:t>
            </w:r>
            <w:r>
              <w:rPr>
                <w:rFonts w:hint="eastAsia" w:ascii="Times New Roman" w:hAnsi="Times New Roman" w:cs="Times New Roman"/>
                <w:sz w:val="24"/>
                <w:szCs w:val="24"/>
                <w:lang w:val="en-US" w:eastAsia="zh-CN"/>
              </w:rPr>
              <w:t xml:space="preserve"> </w:t>
            </w:r>
            <w:r>
              <w:rPr>
                <w:rFonts w:ascii="Times New Roman" w:hAnsi="Times New Roman" w:eastAsia="宋体" w:cs="Times New Roman"/>
                <w:sz w:val="24"/>
                <w:szCs w:val="24"/>
              </w:rPr>
              <w:t>提问回答</w:t>
            </w:r>
          </w:p>
          <w:p w14:paraId="3EA571F9">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firstLine="0" w:firstLineChars="0"/>
              <w:rPr>
                <w:rFonts w:asciiTheme="minorEastAsia" w:hAnsiTheme="minorEastAsia" w:eastAsiaTheme="minorEastAsia" w:cstheme="minorEastAsia"/>
                <w:b/>
                <w:bCs/>
                <w:color w:val="000000"/>
                <w:sz w:val="24"/>
                <w:szCs w:val="24"/>
              </w:rPr>
            </w:pPr>
            <w:r>
              <w:rPr>
                <w:rFonts w:asciiTheme="minorEastAsia" w:hAnsiTheme="minorEastAsia" w:eastAsiaTheme="minorEastAsia" w:cstheme="minorEastAsia"/>
                <w:b/>
                <w:bCs/>
                <w:color w:val="000000"/>
                <w:sz w:val="24"/>
                <w:szCs w:val="24"/>
              </w:rPr>
              <w:t>问题1、公司上半年整体经营业绩情况如何，二季度是否可以延续一季度的增长态势？</w:t>
            </w:r>
          </w:p>
          <w:p w14:paraId="783DD088">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right="0" w:firstLine="0" w:firstLineChars="0"/>
              <w:jc w:val="left"/>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答：公司2026年一季度实现营收10.79亿元，整体经营开局良好，传统优势领域制冷暖通、电力电气业务稳健托底，新赛道领域电子、新能源车等业务营收有较大幅度提升。二季度整体经营业绩继续保持良好态势，具体可关注公司2026年半年度报告。</w:t>
            </w:r>
          </w:p>
          <w:p w14:paraId="27ABB7CD">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right="0"/>
              <w:jc w:val="left"/>
              <w:rPr>
                <w:rFonts w:hint="eastAsia" w:asciiTheme="minorEastAsia" w:hAnsiTheme="minorEastAsia" w:eastAsiaTheme="minorEastAsia" w:cstheme="minorEastAsia"/>
                <w:color w:val="000000"/>
                <w:kern w:val="0"/>
                <w:sz w:val="24"/>
                <w:szCs w:val="24"/>
                <w:lang w:val="en-US" w:eastAsia="zh-CN" w:bidi="ar"/>
              </w:rPr>
            </w:pPr>
          </w:p>
          <w:p w14:paraId="03255C76">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firstLine="0" w:firstLineChars="0"/>
              <w:rPr>
                <w:rFonts w:asciiTheme="minorEastAsia" w:hAnsiTheme="minorEastAsia" w:eastAsiaTheme="minorEastAsia" w:cstheme="minorEastAsia"/>
                <w:b/>
                <w:bCs/>
                <w:color w:val="000000"/>
                <w:sz w:val="24"/>
                <w:szCs w:val="24"/>
              </w:rPr>
            </w:pPr>
            <w:r>
              <w:rPr>
                <w:rFonts w:asciiTheme="minorEastAsia" w:hAnsiTheme="minorEastAsia" w:eastAsiaTheme="minorEastAsia" w:cstheme="minorEastAsia"/>
                <w:b/>
                <w:bCs/>
                <w:color w:val="000000"/>
                <w:sz w:val="24"/>
                <w:szCs w:val="24"/>
              </w:rPr>
              <w:t>问题2、今年一季度公司电子领域业务收入增长近160%，二季度增长情况如何？</w:t>
            </w:r>
          </w:p>
          <w:p w14:paraId="1F7ABB2B">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firstLine="0" w:firstLineChars="0"/>
              <w:jc w:val="left"/>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答：2026年二季度电子领域业务继续呈现较高增长态势，已成为公司第二大业务领域。</w:t>
            </w:r>
          </w:p>
          <w:p w14:paraId="2725D341">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jc w:val="left"/>
              <w:rPr>
                <w:rFonts w:hint="eastAsia" w:asciiTheme="minorEastAsia" w:hAnsiTheme="minorEastAsia" w:eastAsiaTheme="minorEastAsia" w:cstheme="minorEastAsia"/>
                <w:color w:val="000000"/>
                <w:kern w:val="0"/>
                <w:sz w:val="24"/>
                <w:szCs w:val="24"/>
                <w:lang w:val="en-US" w:eastAsia="zh-CN" w:bidi="ar"/>
              </w:rPr>
            </w:pPr>
          </w:p>
          <w:p w14:paraId="278E7A02">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firstLine="0" w:firstLineChars="0"/>
              <w:rPr>
                <w:rFonts w:asciiTheme="minorEastAsia" w:hAnsiTheme="minorEastAsia" w:eastAsiaTheme="minorEastAsia" w:cstheme="minorEastAsia"/>
                <w:b/>
                <w:bCs/>
                <w:color w:val="000000"/>
                <w:sz w:val="24"/>
                <w:szCs w:val="24"/>
              </w:rPr>
            </w:pPr>
            <w:r>
              <w:rPr>
                <w:rFonts w:asciiTheme="minorEastAsia" w:hAnsiTheme="minorEastAsia" w:eastAsiaTheme="minorEastAsia" w:cstheme="minorEastAsia"/>
                <w:b/>
                <w:bCs/>
                <w:color w:val="000000"/>
                <w:sz w:val="24"/>
                <w:szCs w:val="24"/>
              </w:rPr>
              <w:t>问题3、目前公司整体产能布局情况是怎样的？后续是否还有进一步扩产的规划？</w:t>
            </w:r>
          </w:p>
          <w:p w14:paraId="7A90C4F3">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leftChars="0" w:right="0" w:rightChars="0" w:firstLine="0" w:firstLineChars="0"/>
              <w:jc w:val="left"/>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答：目前国内整体产能</w:t>
            </w:r>
            <w:r>
              <w:rPr>
                <w:rFonts w:hint="eastAsia" w:asciiTheme="minorEastAsia" w:hAnsiTheme="minorEastAsia" w:cstheme="minorEastAsia"/>
                <w:color w:val="000000"/>
                <w:sz w:val="24"/>
                <w:szCs w:val="24"/>
                <w:lang w:val="en-US" w:eastAsia="zh-CN"/>
              </w:rPr>
              <w:t>10000吨左右</w:t>
            </w:r>
            <w:r>
              <w:rPr>
                <w:rFonts w:hint="eastAsia" w:asciiTheme="minorEastAsia" w:hAnsiTheme="minorEastAsia" w:cstheme="minorEastAsia"/>
                <w:color w:val="000000"/>
                <w:sz w:val="24"/>
                <w:szCs w:val="24"/>
              </w:rPr>
              <w:t>，产能利用率保持80%以上，同步推进数字化、智能化产线改造升级，高端精密钎料柔性产线持续优化。</w:t>
            </w:r>
            <w:r>
              <w:rPr>
                <w:rStyle w:val="11"/>
                <w:rFonts w:hint="eastAsia" w:asciiTheme="minorEastAsia" w:hAnsiTheme="minorEastAsia" w:cstheme="minorEastAsia"/>
                <w:b w:val="0"/>
                <w:bCs/>
                <w:color w:val="000000"/>
                <w:sz w:val="24"/>
                <w:szCs w:val="24"/>
                <w:lang w:eastAsia="zh-CN"/>
              </w:rPr>
              <w:t>泰国</w:t>
            </w:r>
            <w:r>
              <w:rPr>
                <w:rFonts w:hint="eastAsia" w:asciiTheme="minorEastAsia" w:hAnsiTheme="minorEastAsia" w:cstheme="minorEastAsia"/>
                <w:color w:val="000000"/>
                <w:sz w:val="24"/>
                <w:szCs w:val="24"/>
              </w:rPr>
              <w:t>一期1000吨全品类钎料</w:t>
            </w:r>
            <w:r>
              <w:rPr>
                <w:rFonts w:hint="eastAsia" w:asciiTheme="minorEastAsia" w:hAnsiTheme="minorEastAsia" w:cstheme="minorEastAsia"/>
                <w:color w:val="000000"/>
                <w:sz w:val="24"/>
                <w:szCs w:val="24"/>
                <w:lang w:eastAsia="zh-CN"/>
              </w:rPr>
              <w:t>产线</w:t>
            </w:r>
            <w:r>
              <w:rPr>
                <w:rFonts w:hint="eastAsia" w:asciiTheme="minorEastAsia" w:hAnsiTheme="minorEastAsia" w:cstheme="minorEastAsia"/>
                <w:color w:val="000000"/>
                <w:sz w:val="24"/>
                <w:szCs w:val="24"/>
              </w:rPr>
              <w:t>已于2026年初投产，</w:t>
            </w:r>
            <w:r>
              <w:rPr>
                <w:rFonts w:hint="eastAsia" w:asciiTheme="minorEastAsia" w:hAnsiTheme="minorEastAsia" w:cstheme="minorEastAsia"/>
                <w:color w:val="000000"/>
                <w:sz w:val="24"/>
                <w:szCs w:val="24"/>
                <w:lang w:eastAsia="zh-CN"/>
              </w:rPr>
              <w:t>业务</w:t>
            </w:r>
            <w:r>
              <w:rPr>
                <w:rFonts w:hint="eastAsia" w:asciiTheme="minorEastAsia" w:hAnsiTheme="minorEastAsia" w:cstheme="minorEastAsia"/>
                <w:sz w:val="24"/>
                <w:szCs w:val="24"/>
              </w:rPr>
              <w:t>覆盖</w:t>
            </w:r>
            <w:r>
              <w:rPr>
                <w:rFonts w:hint="eastAsia" w:asciiTheme="minorEastAsia" w:hAnsiTheme="minorEastAsia" w:cstheme="minorEastAsia"/>
                <w:sz w:val="24"/>
                <w:szCs w:val="24"/>
                <w:lang w:eastAsia="zh-CN"/>
              </w:rPr>
              <w:t>海外</w:t>
            </w:r>
            <w:r>
              <w:rPr>
                <w:rFonts w:hint="eastAsia" w:asciiTheme="minorEastAsia" w:hAnsiTheme="minorEastAsia" w:cstheme="minorEastAsia"/>
                <w:sz w:val="24"/>
                <w:szCs w:val="24"/>
              </w:rPr>
              <w:t>市场</w:t>
            </w:r>
            <w:r>
              <w:rPr>
                <w:rFonts w:hint="eastAsia" w:asciiTheme="minorEastAsia" w:hAnsiTheme="minorEastAsia" w:cstheme="minorEastAsia"/>
                <w:sz w:val="24"/>
                <w:szCs w:val="24"/>
                <w:lang w:eastAsia="zh-CN"/>
              </w:rPr>
              <w:t>的制冷暖通、电力电气、电子、新能源汽车等</w:t>
            </w:r>
            <w:r>
              <w:rPr>
                <w:rFonts w:hint="eastAsia" w:asciiTheme="minorEastAsia" w:hAnsiTheme="minorEastAsia" w:cstheme="minorEastAsia"/>
                <w:sz w:val="24"/>
                <w:szCs w:val="24"/>
              </w:rPr>
              <w:t>多个应用领域</w:t>
            </w:r>
            <w:r>
              <w:rPr>
                <w:rFonts w:hint="eastAsia" w:asciiTheme="minorEastAsia" w:hAnsiTheme="minorEastAsia" w:cstheme="minorEastAsia"/>
                <w:color w:val="000000"/>
                <w:sz w:val="24"/>
                <w:szCs w:val="24"/>
              </w:rPr>
              <w:t>。泰国二期项目规划年产3500吨钎焊材料，建设周期约2.5年，达产后</w:t>
            </w:r>
            <w:r>
              <w:rPr>
                <w:rFonts w:hint="eastAsia" w:asciiTheme="minorEastAsia" w:hAnsiTheme="minorEastAsia" w:cstheme="minorEastAsia"/>
                <w:color w:val="000000"/>
                <w:sz w:val="24"/>
                <w:szCs w:val="24"/>
                <w:lang w:eastAsia="zh-CN"/>
              </w:rPr>
              <w:t>将</w:t>
            </w:r>
            <w:r>
              <w:rPr>
                <w:rFonts w:hint="eastAsia" w:asciiTheme="minorEastAsia" w:hAnsiTheme="minorEastAsia" w:cstheme="minorEastAsia"/>
                <w:color w:val="000000"/>
                <w:sz w:val="24"/>
                <w:szCs w:val="24"/>
              </w:rPr>
              <w:t>大幅提升海外交付能力。</w:t>
            </w:r>
          </w:p>
          <w:p w14:paraId="4E2DC8CE">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leftChars="0" w:right="0" w:rightChars="0" w:firstLine="480" w:firstLineChars="200"/>
              <w:jc w:val="left"/>
              <w:rPr>
                <w:rFonts w:hint="eastAsia" w:asciiTheme="minorEastAsia" w:hAnsiTheme="minorEastAsia" w:cstheme="minorEastAsia"/>
                <w:color w:val="000000"/>
                <w:sz w:val="24"/>
                <w:szCs w:val="24"/>
              </w:rPr>
            </w:pPr>
            <w:r>
              <w:rPr>
                <w:rFonts w:hint="eastAsia" w:asciiTheme="minorEastAsia" w:hAnsiTheme="minorEastAsia" w:cstheme="minorEastAsia"/>
                <w:sz w:val="24"/>
                <w:szCs w:val="24"/>
              </w:rPr>
              <w:t>公司将</w:t>
            </w:r>
            <w:r>
              <w:rPr>
                <w:rFonts w:hint="eastAsia" w:asciiTheme="minorEastAsia" w:hAnsiTheme="minorEastAsia" w:cstheme="minorEastAsia"/>
                <w:sz w:val="24"/>
                <w:szCs w:val="24"/>
                <w:lang w:eastAsia="zh-CN"/>
              </w:rPr>
              <w:t>围绕市场需求，</w:t>
            </w:r>
            <w:r>
              <w:rPr>
                <w:rFonts w:hint="eastAsia" w:asciiTheme="minorEastAsia" w:hAnsiTheme="minorEastAsia" w:cstheme="minorEastAsia"/>
                <w:sz w:val="24"/>
                <w:szCs w:val="24"/>
              </w:rPr>
              <w:t>有序推进高端化、精细化、高附加值</w:t>
            </w:r>
            <w:r>
              <w:rPr>
                <w:rFonts w:hint="eastAsia" w:asciiTheme="minorEastAsia" w:hAnsiTheme="minorEastAsia" w:cstheme="minorEastAsia"/>
                <w:sz w:val="24"/>
                <w:szCs w:val="24"/>
                <w:lang w:eastAsia="zh-CN"/>
              </w:rPr>
              <w:t>产品的</w:t>
            </w:r>
            <w:r>
              <w:rPr>
                <w:rFonts w:hint="eastAsia" w:asciiTheme="minorEastAsia" w:hAnsiTheme="minorEastAsia" w:cstheme="minorEastAsia"/>
                <w:sz w:val="24"/>
                <w:szCs w:val="24"/>
              </w:rPr>
              <w:t>产线升级与扩建，围绕“按需扩产、高端扩产、精准扩产”的原则，推动产能与业绩同步增长。</w:t>
            </w:r>
          </w:p>
          <w:p w14:paraId="5228EFD8">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rPr>
                <w:rFonts w:asciiTheme="minorEastAsia" w:hAnsiTheme="minorEastAsia" w:eastAsiaTheme="minorEastAsia" w:cstheme="minorEastAsia"/>
                <w:color w:val="000000"/>
                <w:sz w:val="24"/>
                <w:szCs w:val="24"/>
              </w:rPr>
            </w:pPr>
          </w:p>
          <w:p w14:paraId="66AF0161">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firstLine="0" w:firstLineChars="0"/>
              <w:rPr>
                <w:rFonts w:asciiTheme="minorEastAsia" w:hAnsiTheme="minorEastAsia" w:eastAsiaTheme="minorEastAsia" w:cstheme="minorEastAsia"/>
                <w:b/>
                <w:bCs/>
                <w:color w:val="000000"/>
                <w:sz w:val="24"/>
                <w:szCs w:val="24"/>
              </w:rPr>
            </w:pPr>
            <w:r>
              <w:rPr>
                <w:rFonts w:asciiTheme="minorEastAsia" w:hAnsiTheme="minorEastAsia" w:eastAsiaTheme="minorEastAsia" w:cstheme="minorEastAsia"/>
                <w:b/>
                <w:bCs/>
                <w:color w:val="000000"/>
                <w:sz w:val="24"/>
                <w:szCs w:val="24"/>
              </w:rPr>
              <w:t>问题4、公司上半年海外业务增长情况如何？泰国工厂是否已开始实现收入？</w:t>
            </w:r>
          </w:p>
          <w:p w14:paraId="22ED0FD3">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Chars="0" w:right="0" w:rightChars="0" w:firstLine="0" w:firstLineChars="0"/>
              <w:jc w:val="left"/>
              <w:rPr>
                <w:rFonts w:hint="eastAsia" w:asciiTheme="minorEastAsia" w:hAnsiTheme="minorEastAsia" w:cstheme="minorEastAsia"/>
                <w:color w:val="000000"/>
                <w:sz w:val="24"/>
                <w:szCs w:val="24"/>
                <w:highlight w:val="none"/>
              </w:rPr>
            </w:pPr>
            <w:r>
              <w:rPr>
                <w:rStyle w:val="11"/>
                <w:rFonts w:hint="eastAsia" w:asciiTheme="minorEastAsia" w:hAnsiTheme="minorEastAsia" w:cstheme="minorEastAsia"/>
                <w:b w:val="0"/>
                <w:bCs/>
                <w:color w:val="000000"/>
                <w:sz w:val="24"/>
                <w:szCs w:val="24"/>
                <w:lang w:eastAsia="zh-CN"/>
              </w:rPr>
              <w:t>答：</w:t>
            </w:r>
            <w:r>
              <w:rPr>
                <w:rFonts w:hint="eastAsia" w:asciiTheme="minorEastAsia" w:hAnsiTheme="minorEastAsia" w:cstheme="minorEastAsia"/>
                <w:b w:val="0"/>
                <w:bCs/>
                <w:color w:val="000000"/>
                <w:sz w:val="24"/>
                <w:szCs w:val="24"/>
              </w:rPr>
              <w:t>20</w:t>
            </w:r>
            <w:r>
              <w:rPr>
                <w:rFonts w:hint="eastAsia" w:asciiTheme="minorEastAsia" w:hAnsiTheme="minorEastAsia" w:cstheme="minorEastAsia"/>
                <w:color w:val="000000"/>
                <w:sz w:val="24"/>
                <w:szCs w:val="24"/>
              </w:rPr>
              <w:t>25年公司海外营收同比增长近40%</w:t>
            </w:r>
            <w:r>
              <w:rPr>
                <w:rFonts w:hint="eastAsia" w:asciiTheme="minorEastAsia" w:hAnsiTheme="minorEastAsia" w:cstheme="minorEastAsia"/>
                <w:color w:val="000000"/>
                <w:sz w:val="24"/>
                <w:szCs w:val="24"/>
                <w:lang w:eastAsia="zh-CN"/>
              </w:rPr>
              <w:t>，</w:t>
            </w:r>
            <w:r>
              <w:rPr>
                <w:rFonts w:hint="eastAsia" w:asciiTheme="minorEastAsia" w:hAnsiTheme="minorEastAsia" w:cstheme="minorEastAsia"/>
                <w:color w:val="000000"/>
                <w:sz w:val="24"/>
                <w:szCs w:val="24"/>
              </w:rPr>
              <w:t>2026上半年延续</w:t>
            </w:r>
            <w:r>
              <w:rPr>
                <w:rFonts w:hint="eastAsia" w:asciiTheme="minorEastAsia" w:hAnsiTheme="minorEastAsia" w:cstheme="minorEastAsia"/>
                <w:color w:val="000000"/>
                <w:sz w:val="24"/>
                <w:szCs w:val="24"/>
                <w:lang w:eastAsia="zh-CN"/>
              </w:rPr>
              <w:t>增长</w:t>
            </w:r>
            <w:r>
              <w:rPr>
                <w:rFonts w:hint="eastAsia" w:asciiTheme="minorEastAsia" w:hAnsiTheme="minorEastAsia" w:cstheme="minorEastAsia"/>
                <w:color w:val="000000"/>
                <w:sz w:val="24"/>
                <w:szCs w:val="24"/>
              </w:rPr>
              <w:t>态势，</w:t>
            </w:r>
            <w:r>
              <w:rPr>
                <w:rFonts w:hint="eastAsia" w:asciiTheme="minorEastAsia" w:hAnsiTheme="minorEastAsia" w:cstheme="minorEastAsia"/>
                <w:color w:val="000000"/>
                <w:sz w:val="24"/>
                <w:szCs w:val="24"/>
                <w:highlight w:val="none"/>
                <w:lang w:eastAsia="zh-CN"/>
              </w:rPr>
              <w:t>业务拓展至</w:t>
            </w:r>
            <w:r>
              <w:rPr>
                <w:rFonts w:hint="eastAsia" w:asciiTheme="minorEastAsia" w:hAnsiTheme="minorEastAsia" w:cstheme="minorEastAsia"/>
                <w:color w:val="000000"/>
                <w:sz w:val="24"/>
                <w:szCs w:val="24"/>
                <w:highlight w:val="none"/>
                <w:lang w:val="en-US" w:eastAsia="zh-CN"/>
              </w:rPr>
              <w:t>60个国家和地区，</w:t>
            </w:r>
            <w:r>
              <w:rPr>
                <w:rFonts w:hint="eastAsia" w:asciiTheme="minorEastAsia" w:hAnsiTheme="minorEastAsia" w:cstheme="minorEastAsia"/>
                <w:color w:val="000000"/>
                <w:sz w:val="24"/>
                <w:szCs w:val="24"/>
                <w:highlight w:val="none"/>
              </w:rPr>
              <w:t>国际化战略持续落地。</w:t>
            </w:r>
          </w:p>
          <w:p w14:paraId="330DDAE4">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leftChars="0" w:right="0" w:rightChars="0" w:firstLine="480" w:firstLineChars="200"/>
              <w:jc w:val="left"/>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rPr>
              <w:t>泰国一期</w:t>
            </w:r>
            <w:r>
              <w:rPr>
                <w:rFonts w:hint="eastAsia" w:asciiTheme="minorEastAsia" w:hAnsiTheme="minorEastAsia" w:cstheme="minorEastAsia"/>
                <w:color w:val="000000"/>
                <w:sz w:val="24"/>
                <w:szCs w:val="24"/>
                <w:lang w:eastAsia="zh-CN"/>
              </w:rPr>
              <w:t>工厂</w:t>
            </w:r>
            <w:r>
              <w:rPr>
                <w:rFonts w:hint="eastAsia" w:asciiTheme="minorEastAsia" w:hAnsiTheme="minorEastAsia" w:cstheme="minorEastAsia"/>
                <w:color w:val="000000"/>
                <w:sz w:val="24"/>
                <w:szCs w:val="24"/>
              </w:rPr>
              <w:t>上半年已逐步实现销售收入</w:t>
            </w:r>
            <w:r>
              <w:rPr>
                <w:rFonts w:hint="eastAsia" w:asciiTheme="minorEastAsia" w:hAnsiTheme="minorEastAsia" w:cstheme="minorEastAsia"/>
                <w:color w:val="000000"/>
                <w:sz w:val="24"/>
                <w:szCs w:val="24"/>
                <w:lang w:eastAsia="zh-CN"/>
              </w:rPr>
              <w:t>，</w:t>
            </w:r>
            <w:r>
              <w:rPr>
                <w:rFonts w:hint="eastAsia" w:asciiTheme="minorEastAsia" w:hAnsiTheme="minorEastAsia" w:cstheme="minorEastAsia"/>
                <w:color w:val="000000"/>
                <w:sz w:val="24"/>
                <w:szCs w:val="24"/>
              </w:rPr>
              <w:t>现阶段处于</w:t>
            </w:r>
            <w:r>
              <w:rPr>
                <w:rFonts w:hint="eastAsia" w:asciiTheme="minorEastAsia" w:hAnsiTheme="minorEastAsia" w:cstheme="minorEastAsia"/>
                <w:color w:val="000000"/>
                <w:sz w:val="24"/>
                <w:szCs w:val="24"/>
                <w:lang w:eastAsia="zh-CN"/>
              </w:rPr>
              <w:t>产能</w:t>
            </w:r>
            <w:r>
              <w:rPr>
                <w:rFonts w:hint="eastAsia" w:asciiTheme="minorEastAsia" w:hAnsiTheme="minorEastAsia" w:cstheme="minorEastAsia"/>
                <w:color w:val="000000"/>
                <w:sz w:val="24"/>
                <w:szCs w:val="24"/>
              </w:rPr>
              <w:t>爬坡阶段，下半年</w:t>
            </w:r>
            <w:r>
              <w:rPr>
                <w:rFonts w:hint="eastAsia" w:asciiTheme="minorEastAsia" w:hAnsiTheme="minorEastAsia" w:cstheme="minorEastAsia"/>
                <w:color w:val="000000"/>
                <w:sz w:val="24"/>
                <w:szCs w:val="24"/>
                <w:lang w:eastAsia="zh-CN"/>
              </w:rPr>
              <w:t>销售</w:t>
            </w:r>
            <w:r>
              <w:rPr>
                <w:rFonts w:hint="eastAsia" w:asciiTheme="minorEastAsia" w:hAnsiTheme="minorEastAsia" w:cstheme="minorEastAsia"/>
                <w:color w:val="000000"/>
                <w:sz w:val="24"/>
                <w:szCs w:val="24"/>
              </w:rPr>
              <w:t>规模将持续提升。</w:t>
            </w:r>
          </w:p>
          <w:p w14:paraId="4933D89F">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360" w:leftChars="0" w:right="0" w:rightChars="0"/>
              <w:jc w:val="left"/>
              <w:rPr>
                <w:rFonts w:hint="eastAsia" w:asciiTheme="minorEastAsia" w:hAnsiTheme="minorEastAsia" w:cstheme="minorEastAsia"/>
                <w:color w:val="000000"/>
                <w:sz w:val="24"/>
                <w:szCs w:val="24"/>
              </w:rPr>
            </w:pPr>
          </w:p>
          <w:p w14:paraId="17CC5080">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360" w:lineRule="auto"/>
              <w:ind w:left="0" w:right="0" w:firstLine="0" w:firstLineChars="0"/>
              <w:rPr>
                <w:rFonts w:asciiTheme="minorEastAsia" w:hAnsiTheme="minorEastAsia" w:eastAsiaTheme="minorEastAsia" w:cstheme="minorEastAsia"/>
                <w:b/>
                <w:bCs/>
                <w:color w:val="000000"/>
                <w:sz w:val="24"/>
                <w:szCs w:val="24"/>
              </w:rPr>
            </w:pPr>
            <w:r>
              <w:rPr>
                <w:rFonts w:asciiTheme="minorEastAsia" w:hAnsiTheme="minorEastAsia" w:eastAsiaTheme="minorEastAsia" w:cstheme="minorEastAsia"/>
                <w:b/>
                <w:bCs/>
                <w:color w:val="000000"/>
                <w:sz w:val="24"/>
                <w:szCs w:val="24"/>
              </w:rPr>
              <w:t>问题5、今年上半年公司液冷</w:t>
            </w:r>
            <w:r>
              <w:rPr>
                <w:rFonts w:hint="eastAsia" w:asciiTheme="minorEastAsia" w:hAnsiTheme="minorEastAsia" w:eastAsiaTheme="minorEastAsia" w:cstheme="minorEastAsia"/>
                <w:b/>
                <w:bCs/>
                <w:color w:val="000000"/>
                <w:sz w:val="24"/>
                <w:szCs w:val="24"/>
                <w:lang w:eastAsia="zh-CN"/>
              </w:rPr>
              <w:t>钎焊材料</w:t>
            </w:r>
            <w:r>
              <w:rPr>
                <w:rFonts w:asciiTheme="minorEastAsia" w:hAnsiTheme="minorEastAsia" w:eastAsiaTheme="minorEastAsia" w:cstheme="minorEastAsia"/>
                <w:b/>
                <w:bCs/>
                <w:color w:val="000000"/>
                <w:sz w:val="24"/>
                <w:szCs w:val="24"/>
              </w:rPr>
              <w:t>业务进展情况如何？</w:t>
            </w:r>
          </w:p>
          <w:p w14:paraId="0A111142">
            <w:pPr>
              <w:keepNext w:val="0"/>
              <w:keepLines w:val="0"/>
              <w:widowControl/>
              <w:suppressLineNumbers w:val="0"/>
              <w:pBdr>
                <w:top w:val="none" w:color="auto" w:sz="0" w:space="0"/>
                <w:left w:val="none" w:color="auto" w:sz="0" w:space="0"/>
                <w:right w:val="none" w:color="auto" w:sz="0" w:space="0"/>
              </w:pBdr>
              <w:spacing w:before="0" w:beforeAutospacing="0" w:after="0" w:afterAutospacing="0" w:line="360" w:lineRule="auto"/>
              <w:ind w:left="0" w:right="0" w:firstLineChar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kern w:val="0"/>
                <w:sz w:val="24"/>
                <w:szCs w:val="24"/>
                <w:lang w:val="en-US" w:eastAsia="zh-CN" w:bidi="ar"/>
              </w:rPr>
              <w:t>答：液冷</w:t>
            </w:r>
            <w:r>
              <w:rPr>
                <w:rFonts w:hint="eastAsia" w:asciiTheme="minorEastAsia" w:hAnsiTheme="minorEastAsia" w:cstheme="minorEastAsia"/>
                <w:color w:val="000000"/>
                <w:kern w:val="0"/>
                <w:sz w:val="24"/>
                <w:szCs w:val="24"/>
                <w:lang w:val="en-US" w:eastAsia="zh-CN" w:bidi="ar"/>
              </w:rPr>
              <w:t>用钎焊材料</w:t>
            </w:r>
            <w:r>
              <w:rPr>
                <w:rFonts w:hint="eastAsia" w:asciiTheme="minorEastAsia" w:hAnsiTheme="minorEastAsia" w:eastAsiaTheme="minorEastAsia" w:cstheme="minorEastAsia"/>
                <w:color w:val="000000"/>
                <w:kern w:val="0"/>
                <w:sz w:val="24"/>
                <w:szCs w:val="24"/>
                <w:lang w:val="en-US" w:eastAsia="zh-CN" w:bidi="ar"/>
              </w:rPr>
              <w:t>是公司主要的高增长新赛道</w:t>
            </w:r>
            <w:r>
              <w:rPr>
                <w:rFonts w:hint="eastAsia" w:asciiTheme="minorEastAsia" w:hAnsiTheme="minorEastAsia" w:cstheme="minorEastAsia"/>
                <w:color w:val="000000"/>
                <w:kern w:val="0"/>
                <w:sz w:val="24"/>
                <w:szCs w:val="24"/>
                <w:lang w:val="en-US" w:eastAsia="zh-CN" w:bidi="ar"/>
              </w:rPr>
              <w:t>之一</w:t>
            </w:r>
            <w:r>
              <w:rPr>
                <w:rFonts w:hint="eastAsia" w:asciiTheme="minorEastAsia" w:hAnsiTheme="minorEastAsia" w:eastAsiaTheme="minorEastAsia" w:cstheme="minorEastAsia"/>
                <w:color w:val="000000"/>
                <w:kern w:val="0"/>
                <w:sz w:val="24"/>
                <w:szCs w:val="24"/>
                <w:lang w:val="en-US" w:eastAsia="zh-CN" w:bidi="ar"/>
              </w:rPr>
              <w:t>，2025年</w:t>
            </w:r>
            <w:r>
              <w:rPr>
                <w:rFonts w:hint="eastAsia" w:asciiTheme="minorEastAsia" w:hAnsiTheme="minorEastAsia" w:cstheme="minorEastAsia"/>
                <w:color w:val="000000"/>
                <w:kern w:val="0"/>
                <w:sz w:val="24"/>
                <w:szCs w:val="24"/>
                <w:lang w:val="en-US" w:eastAsia="zh-CN" w:bidi="ar"/>
              </w:rPr>
              <w:t>该领域业务</w:t>
            </w:r>
            <w:r>
              <w:rPr>
                <w:rFonts w:hint="eastAsia" w:asciiTheme="minorEastAsia" w:hAnsiTheme="minorEastAsia" w:eastAsiaTheme="minorEastAsia" w:cstheme="minorEastAsia"/>
                <w:color w:val="000000"/>
                <w:kern w:val="0"/>
                <w:sz w:val="24"/>
                <w:szCs w:val="24"/>
                <w:lang w:val="en-US" w:eastAsia="zh-CN" w:bidi="ar"/>
              </w:rPr>
              <w:t>收入超1.3亿元，2026年一季度收入近1亿元，</w:t>
            </w:r>
            <w:r>
              <w:rPr>
                <w:rFonts w:hint="eastAsia" w:asciiTheme="minorEastAsia" w:hAnsiTheme="minorEastAsia" w:cstheme="minorEastAsia"/>
                <w:color w:val="000000"/>
                <w:sz w:val="24"/>
                <w:szCs w:val="24"/>
              </w:rPr>
              <w:t>二季度</w:t>
            </w:r>
            <w:r>
              <w:rPr>
                <w:rFonts w:hint="eastAsia" w:asciiTheme="minorEastAsia" w:hAnsiTheme="minorEastAsia" w:cstheme="minorEastAsia"/>
                <w:color w:val="000000"/>
                <w:sz w:val="24"/>
                <w:szCs w:val="24"/>
                <w:lang w:eastAsia="zh-CN"/>
              </w:rPr>
              <w:t>继续</w:t>
            </w:r>
            <w:r>
              <w:rPr>
                <w:rFonts w:hint="eastAsia" w:asciiTheme="minorEastAsia" w:hAnsiTheme="minorEastAsia" w:eastAsiaTheme="minorEastAsia" w:cstheme="minorEastAsia"/>
                <w:color w:val="000000"/>
                <w:kern w:val="0"/>
                <w:sz w:val="24"/>
                <w:szCs w:val="24"/>
                <w:lang w:val="en-US" w:eastAsia="zh-CN" w:bidi="ar"/>
              </w:rPr>
              <w:t>保持良好的增长态势</w:t>
            </w:r>
            <w:r>
              <w:rPr>
                <w:rFonts w:hint="eastAsia" w:asciiTheme="minorEastAsia" w:hAnsiTheme="minorEastAsia" w:cstheme="minorEastAsia"/>
                <w:color w:val="000000"/>
                <w:sz w:val="24"/>
                <w:szCs w:val="24"/>
                <w:lang w:eastAsia="zh-CN"/>
              </w:rPr>
              <w:t>，具体情况可关注公司后续发布的定期报告。</w:t>
            </w:r>
          </w:p>
          <w:p w14:paraId="7DDADBF4">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rPr>
                <w:rFonts w:asciiTheme="minorEastAsia" w:hAnsiTheme="minorEastAsia" w:eastAsiaTheme="minorEastAsia" w:cstheme="minorEastAsia"/>
                <w:color w:val="000000"/>
                <w:sz w:val="24"/>
                <w:szCs w:val="24"/>
              </w:rPr>
            </w:pPr>
          </w:p>
          <w:p w14:paraId="1985BFE2">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firstLine="0" w:firstLineChars="0"/>
              <w:rPr>
                <w:rFonts w:asciiTheme="minorEastAsia" w:hAnsiTheme="minorEastAsia" w:eastAsiaTheme="minorEastAsia" w:cstheme="minorEastAsia"/>
                <w:b/>
                <w:bCs/>
                <w:color w:val="000000"/>
                <w:sz w:val="24"/>
                <w:szCs w:val="24"/>
              </w:rPr>
            </w:pPr>
            <w:r>
              <w:rPr>
                <w:rFonts w:asciiTheme="minorEastAsia" w:hAnsiTheme="minorEastAsia" w:eastAsiaTheme="minorEastAsia" w:cstheme="minorEastAsia"/>
                <w:b/>
                <w:bCs/>
                <w:color w:val="000000"/>
                <w:sz w:val="24"/>
                <w:szCs w:val="24"/>
              </w:rPr>
              <w:t>问题6、公司锡膏业务是否有新的突破，未来增长规划？</w:t>
            </w:r>
          </w:p>
          <w:p w14:paraId="27303F70">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Chars="0" w:right="0" w:rightChars="0" w:firstLine="0" w:firstLineChars="0"/>
              <w:jc w:val="left"/>
              <w:rPr>
                <w:rFonts w:hint="eastAsia" w:asciiTheme="minorEastAsia" w:hAnsiTheme="minorEastAsia" w:cstheme="minorEastAsia"/>
                <w:color w:val="000000"/>
                <w:sz w:val="24"/>
                <w:szCs w:val="24"/>
              </w:rPr>
            </w:pPr>
            <w:r>
              <w:rPr>
                <w:rFonts w:hint="eastAsia" w:asciiTheme="minorEastAsia" w:hAnsiTheme="minorEastAsia" w:eastAsiaTheme="minorEastAsia" w:cstheme="minorEastAsia"/>
                <w:color w:val="000000"/>
                <w:kern w:val="0"/>
                <w:sz w:val="24"/>
                <w:szCs w:val="24"/>
                <w:lang w:val="en-US" w:eastAsia="zh-CN" w:bidi="ar"/>
              </w:rPr>
              <w:t>答：锡膏为公司电子领域核心产品，目前覆盖</w:t>
            </w:r>
            <w:r>
              <w:rPr>
                <w:rFonts w:hint="eastAsia" w:asciiTheme="minorEastAsia" w:hAnsiTheme="minorEastAsia" w:cstheme="minorEastAsia"/>
                <w:b w:val="0"/>
                <w:bCs w:val="0"/>
                <w:sz w:val="24"/>
                <w:szCs w:val="24"/>
              </w:rPr>
              <w:t>智能家居、安防、通信、电源、汽车电子、PCBA</w:t>
            </w:r>
            <w:r>
              <w:rPr>
                <w:rFonts w:hint="eastAsia" w:asciiTheme="minorEastAsia" w:hAnsiTheme="minorEastAsia" w:eastAsiaTheme="minorEastAsia" w:cstheme="minorEastAsia"/>
                <w:color w:val="000000"/>
                <w:kern w:val="0"/>
                <w:sz w:val="24"/>
                <w:szCs w:val="24"/>
                <w:lang w:val="en-US" w:eastAsia="zh-CN" w:bidi="ar"/>
              </w:rPr>
              <w:t>等领域，今年上半年锡膏业务收入同比实现较高增长，</w:t>
            </w:r>
            <w:r>
              <w:rPr>
                <w:rFonts w:hint="eastAsia" w:asciiTheme="minorEastAsia" w:hAnsiTheme="minorEastAsia" w:cstheme="minorEastAsia"/>
                <w:color w:val="000000"/>
                <w:sz w:val="24"/>
                <w:szCs w:val="24"/>
              </w:rPr>
              <w:t>受行业验证周期较长影响，当前锡膏整体营收基数较低。</w:t>
            </w:r>
            <w:r>
              <w:rPr>
                <w:rFonts w:hint="eastAsia" w:asciiTheme="minorEastAsia" w:hAnsiTheme="minorEastAsia" w:cstheme="minorEastAsia"/>
                <w:color w:val="000000"/>
                <w:sz w:val="24"/>
                <w:szCs w:val="24"/>
                <w:lang w:eastAsia="zh-CN"/>
              </w:rPr>
              <w:t>后续公司将进一步</w:t>
            </w:r>
            <w:r>
              <w:rPr>
                <w:rFonts w:hint="eastAsia" w:asciiTheme="minorEastAsia" w:hAnsiTheme="minorEastAsia" w:cstheme="minorEastAsia"/>
                <w:color w:val="000000"/>
                <w:sz w:val="24"/>
                <w:szCs w:val="24"/>
              </w:rPr>
              <w:t>加大锡膏</w:t>
            </w:r>
            <w:r>
              <w:rPr>
                <w:rFonts w:hint="eastAsia" w:asciiTheme="minorEastAsia" w:hAnsiTheme="minorEastAsia" w:cstheme="minorEastAsia"/>
                <w:color w:val="000000"/>
                <w:sz w:val="24"/>
                <w:szCs w:val="24"/>
                <w:lang w:eastAsia="zh-CN"/>
              </w:rPr>
              <w:t>产品</w:t>
            </w:r>
            <w:r>
              <w:rPr>
                <w:rFonts w:hint="eastAsia" w:asciiTheme="minorEastAsia" w:hAnsiTheme="minorEastAsia" w:cstheme="minorEastAsia"/>
                <w:color w:val="000000"/>
                <w:sz w:val="24"/>
                <w:szCs w:val="24"/>
              </w:rPr>
              <w:t>研发，加快国内外</w:t>
            </w:r>
            <w:r>
              <w:rPr>
                <w:rFonts w:hint="eastAsia" w:asciiTheme="minorEastAsia" w:hAnsiTheme="minorEastAsia" w:cstheme="minorEastAsia"/>
                <w:color w:val="000000"/>
                <w:sz w:val="24"/>
                <w:szCs w:val="24"/>
                <w:lang w:eastAsia="zh-CN"/>
              </w:rPr>
              <w:t>新</w:t>
            </w:r>
            <w:r>
              <w:rPr>
                <w:rFonts w:hint="eastAsia" w:asciiTheme="minorEastAsia" w:hAnsiTheme="minorEastAsia" w:cstheme="minorEastAsia"/>
                <w:color w:val="000000"/>
                <w:sz w:val="24"/>
                <w:szCs w:val="24"/>
              </w:rPr>
              <w:t>客户验证导入，持续提升锡膏业务营收规模。</w:t>
            </w:r>
          </w:p>
          <w:p w14:paraId="41864A0C">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360" w:leftChars="0" w:right="0" w:rightChars="0"/>
              <w:jc w:val="left"/>
              <w:rPr>
                <w:rFonts w:hint="eastAsia" w:asciiTheme="minorEastAsia" w:hAnsiTheme="minorEastAsia" w:cstheme="minorEastAsia"/>
                <w:color w:val="000000"/>
                <w:sz w:val="24"/>
                <w:szCs w:val="24"/>
              </w:rPr>
            </w:pPr>
          </w:p>
          <w:p w14:paraId="73D66196">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firstLine="0" w:firstLineChars="0"/>
              <w:rPr>
                <w:rFonts w:asciiTheme="minorEastAsia" w:hAnsiTheme="minorEastAsia" w:eastAsiaTheme="minorEastAsia" w:cstheme="minorEastAsia"/>
                <w:b/>
                <w:bCs/>
                <w:color w:val="000000"/>
                <w:sz w:val="24"/>
                <w:szCs w:val="24"/>
              </w:rPr>
            </w:pPr>
            <w:r>
              <w:rPr>
                <w:rFonts w:asciiTheme="minorEastAsia" w:hAnsiTheme="minorEastAsia" w:eastAsiaTheme="minorEastAsia" w:cstheme="minorEastAsia"/>
                <w:b/>
                <w:bCs/>
                <w:color w:val="000000"/>
                <w:sz w:val="24"/>
                <w:szCs w:val="24"/>
              </w:rPr>
              <w:t>问题7、公司有实施股权激励的规划吗？</w:t>
            </w:r>
          </w:p>
          <w:p w14:paraId="35BD5D1F">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firstLine="0" w:firstLineChars="0"/>
              <w:jc w:val="left"/>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答：公司上市后已先后推出限制性股票激励计划、员工持股计划，覆盖中高层管理人员、核心技术研发人员、核心业务骨干，有效提升团队凝聚力与创新力，支撑近年来业绩保持持续增长。公司将结合发展战略、经营业绩、人才建设需求，适时推出新一轮股权激励或员工持股计划，持续完善长效激励机制。具体方案会根据监管要求和董事会、股东会审议流程，及时对外进行披露。</w:t>
            </w:r>
          </w:p>
          <w:p w14:paraId="2F95B280">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jc w:val="left"/>
              <w:rPr>
                <w:rFonts w:hint="eastAsia" w:asciiTheme="minorEastAsia" w:hAnsiTheme="minorEastAsia" w:eastAsiaTheme="minorEastAsia" w:cstheme="minorEastAsia"/>
                <w:color w:val="000000"/>
                <w:kern w:val="0"/>
                <w:sz w:val="24"/>
                <w:szCs w:val="24"/>
                <w:lang w:val="en-US" w:eastAsia="zh-CN" w:bidi="ar"/>
              </w:rPr>
            </w:pPr>
          </w:p>
          <w:p w14:paraId="538FC214">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right="0" w:firstLine="0" w:firstLineChars="0"/>
              <w:rPr>
                <w:rFonts w:asciiTheme="minorEastAsia" w:hAnsiTheme="minorEastAsia" w:eastAsiaTheme="minorEastAsia" w:cstheme="minorEastAsia"/>
                <w:b/>
                <w:bCs/>
                <w:color w:val="000000"/>
                <w:sz w:val="24"/>
                <w:szCs w:val="24"/>
              </w:rPr>
            </w:pPr>
            <w:r>
              <w:rPr>
                <w:rFonts w:asciiTheme="minorEastAsia" w:hAnsiTheme="minorEastAsia" w:eastAsiaTheme="minorEastAsia" w:cstheme="minorEastAsia"/>
                <w:b/>
                <w:bCs/>
                <w:color w:val="000000"/>
                <w:sz w:val="24"/>
                <w:szCs w:val="24"/>
              </w:rPr>
              <w:t>问题8、公司围绕业务发展是否有兼并购计划？</w:t>
            </w:r>
          </w:p>
          <w:p w14:paraId="449869D1">
            <w:pPr>
              <w:pStyle w:val="13"/>
              <w:keepNext w:val="0"/>
              <w:keepLines w:val="0"/>
              <w:widowControl/>
              <w:suppressLineNumbers w:val="0"/>
              <w:pBdr>
                <w:top w:val="none" w:color="auto" w:sz="0" w:space="0"/>
                <w:left w:val="none" w:color="auto" w:sz="0" w:space="0"/>
                <w:right w:val="none" w:color="auto" w:sz="0" w:space="0"/>
              </w:pBdr>
              <w:spacing w:before="0" w:beforeAutospacing="0" w:after="0" w:afterAutospacing="0" w:line="460" w:lineRule="exact"/>
              <w:ind w:left="0" w:leftChars="0" w:right="0" w:rightChars="0" w:firstLine="0" w:firstLineChars="0"/>
              <w:jc w:val="left"/>
              <w:rPr>
                <w:rFonts w:hint="eastAsia" w:asciiTheme="minorEastAsia" w:hAnsiTheme="minorEastAsia" w:cstheme="minorEastAsia"/>
                <w:color w:val="000000"/>
                <w:sz w:val="24"/>
                <w:szCs w:val="24"/>
              </w:rPr>
            </w:pPr>
            <w:r>
              <w:rPr>
                <w:rFonts w:hint="eastAsia" w:asciiTheme="minorEastAsia" w:hAnsiTheme="minorEastAsia" w:cstheme="minorEastAsia"/>
                <w:b w:val="0"/>
                <w:bCs w:val="0"/>
                <w:color w:val="000000"/>
                <w:sz w:val="24"/>
                <w:szCs w:val="24"/>
                <w:lang w:eastAsia="zh-CN"/>
              </w:rPr>
              <w:t>答：</w:t>
            </w:r>
            <w:r>
              <w:rPr>
                <w:rFonts w:hint="eastAsia" w:asciiTheme="minorEastAsia" w:hAnsiTheme="minorEastAsia" w:cstheme="minorEastAsia"/>
                <w:b w:val="0"/>
                <w:bCs w:val="0"/>
                <w:sz w:val="24"/>
                <w:szCs w:val="24"/>
              </w:rPr>
              <w:t>公司</w:t>
            </w:r>
            <w:r>
              <w:rPr>
                <w:rFonts w:hint="eastAsia" w:asciiTheme="minorEastAsia" w:hAnsiTheme="minorEastAsia" w:cstheme="minorEastAsia"/>
                <w:b w:val="0"/>
                <w:bCs w:val="0"/>
                <w:sz w:val="24"/>
                <w:szCs w:val="24"/>
                <w:lang w:eastAsia="zh-CN"/>
              </w:rPr>
              <w:t>围绕战略目标</w:t>
            </w:r>
            <w:r>
              <w:rPr>
                <w:rFonts w:hint="eastAsia" w:asciiTheme="minorEastAsia" w:hAnsiTheme="minorEastAsia" w:eastAsiaTheme="minorEastAsia" w:cstheme="minorEastAsia"/>
                <w:b w:val="0"/>
                <w:bCs w:val="0"/>
                <w:color w:val="000000"/>
                <w:kern w:val="0"/>
                <w:sz w:val="24"/>
                <w:szCs w:val="24"/>
                <w:lang w:val="en-US" w:eastAsia="zh-CN" w:bidi="ar"/>
              </w:rPr>
              <w:t>坚持内生增长+外延拓展双轮驱动发展思路，</w:t>
            </w:r>
            <w:r>
              <w:rPr>
                <w:rFonts w:hint="eastAsia" w:asciiTheme="minorEastAsia" w:hAnsiTheme="minorEastAsia" w:cstheme="minorEastAsia"/>
                <w:b w:val="0"/>
                <w:bCs w:val="0"/>
                <w:sz w:val="24"/>
                <w:szCs w:val="24"/>
              </w:rPr>
              <w:t>在加大技术研发及市场拓展的同时，从产品技术横向延伸与上下游纵向拓展这两个维度洞察产业投资机会，</w:t>
            </w:r>
            <w:r>
              <w:rPr>
                <w:rFonts w:hint="eastAsia" w:asciiTheme="minorEastAsia" w:hAnsiTheme="minorEastAsia" w:cstheme="minorEastAsia"/>
                <w:b w:val="0"/>
                <w:bCs w:val="0"/>
                <w:sz w:val="24"/>
                <w:szCs w:val="24"/>
                <w:lang w:eastAsia="zh-CN"/>
              </w:rPr>
              <w:t>逐步</w:t>
            </w:r>
            <w:r>
              <w:rPr>
                <w:rFonts w:hint="eastAsia" w:asciiTheme="minorEastAsia" w:hAnsiTheme="minorEastAsia" w:cstheme="minorEastAsia"/>
                <w:color w:val="000000"/>
                <w:sz w:val="24"/>
                <w:szCs w:val="24"/>
              </w:rPr>
              <w:t>完善“材料</w:t>
            </w:r>
            <w:r>
              <w:rPr>
                <w:rFonts w:hint="eastAsia" w:asciiTheme="minorEastAsia" w:hAnsiTheme="minorEastAsia" w:cstheme="minorEastAsia"/>
                <w:color w:val="000000"/>
                <w:sz w:val="24"/>
                <w:szCs w:val="24"/>
                <w:lang w:val="en-US" w:eastAsia="zh-CN"/>
              </w:rPr>
              <w:t>+</w:t>
            </w:r>
            <w:r>
              <w:rPr>
                <w:rFonts w:hint="eastAsia" w:asciiTheme="minorEastAsia" w:hAnsiTheme="minorEastAsia" w:cstheme="minorEastAsia"/>
                <w:color w:val="000000"/>
                <w:sz w:val="24"/>
                <w:szCs w:val="24"/>
                <w:lang w:eastAsia="zh-CN"/>
              </w:rPr>
              <w:t>装备</w:t>
            </w:r>
            <w:r>
              <w:rPr>
                <w:rFonts w:hint="eastAsia" w:asciiTheme="minorEastAsia" w:hAnsiTheme="minorEastAsia" w:cstheme="minorEastAsia"/>
                <w:color w:val="000000"/>
                <w:sz w:val="24"/>
                <w:szCs w:val="24"/>
              </w:rPr>
              <w:t>+解决方案”一体化能力。</w:t>
            </w:r>
          </w:p>
          <w:p w14:paraId="3BF2B63F">
            <w:pPr>
              <w:pStyle w:val="13"/>
              <w:spacing w:line="460" w:lineRule="exact"/>
              <w:rPr>
                <w:rFonts w:ascii="宋体" w:hAnsi="宋体" w:eastAsia="宋体" w:cs="Times New Roman"/>
                <w:sz w:val="24"/>
                <w:szCs w:val="24"/>
              </w:rPr>
            </w:pPr>
          </w:p>
          <w:p w14:paraId="213DF73A">
            <w:pPr>
              <w:pStyle w:val="13"/>
              <w:spacing w:line="460" w:lineRule="exact"/>
              <w:ind w:firstLine="0" w:firstLineChars="0"/>
              <w:rPr>
                <w:rFonts w:ascii="宋体" w:hAnsi="宋体" w:cs="宋体"/>
                <w:sz w:val="24"/>
                <w:szCs w:val="24"/>
              </w:rPr>
            </w:pPr>
          </w:p>
          <w:p w14:paraId="651DCF9F">
            <w:pPr>
              <w:pStyle w:val="13"/>
              <w:spacing w:line="460" w:lineRule="exact"/>
              <w:ind w:firstLine="480" w:firstLineChars="200"/>
              <w:rPr>
                <w:rFonts w:ascii="Times New Roman" w:hAnsi="Times New Roman" w:eastAsia="宋体" w:cs="Times New Roman"/>
                <w:sz w:val="24"/>
              </w:rPr>
            </w:pPr>
            <w:r>
              <w:rPr>
                <w:rFonts w:ascii="宋体" w:hAnsi="宋体" w:eastAsia="宋体" w:cs="Times New Roman"/>
                <w:sz w:val="24"/>
                <w:szCs w:val="24"/>
              </w:rPr>
              <w:t>接待过程中，公司与投资者进行了充分的交流与沟通，并严格遵守有关法律法规及公司《信息披露管理制度》等要求，</w:t>
            </w:r>
            <w:r>
              <w:rPr>
                <w:rFonts w:hint="eastAsia" w:ascii="宋体" w:hAnsi="宋体" w:eastAsia="宋体" w:cs="Times New Roman"/>
                <w:sz w:val="24"/>
                <w:szCs w:val="24"/>
              </w:rPr>
              <w:t>确保</w:t>
            </w:r>
            <w:r>
              <w:rPr>
                <w:rFonts w:ascii="宋体" w:hAnsi="宋体" w:eastAsia="宋体" w:cs="Times New Roman"/>
                <w:sz w:val="24"/>
                <w:szCs w:val="24"/>
              </w:rPr>
              <w:t>信息披露的真实、准确、完整、及时、公平。</w:t>
            </w:r>
          </w:p>
        </w:tc>
      </w:tr>
    </w:tbl>
    <w:p w14:paraId="00924CE7"/>
    <w:p w14:paraId="66DE16F7"/>
    <w:sectPr>
      <w:pgSz w:w="11906" w:h="16838"/>
      <w:pgMar w:top="1134" w:right="1418"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019"/>
    <w:rsid w:val="000C024B"/>
    <w:rsid w:val="00135019"/>
    <w:rsid w:val="00186E5D"/>
    <w:rsid w:val="004A0CFC"/>
    <w:rsid w:val="00587FE9"/>
    <w:rsid w:val="005F3E69"/>
    <w:rsid w:val="00616EBB"/>
    <w:rsid w:val="00C07970"/>
    <w:rsid w:val="00C56F41"/>
    <w:rsid w:val="00EA4335"/>
    <w:rsid w:val="00FA4AF8"/>
    <w:rsid w:val="01531AA2"/>
    <w:rsid w:val="0232079E"/>
    <w:rsid w:val="049067AC"/>
    <w:rsid w:val="07635FE9"/>
    <w:rsid w:val="08031F33"/>
    <w:rsid w:val="0AA11E30"/>
    <w:rsid w:val="0C663271"/>
    <w:rsid w:val="0FF9556D"/>
    <w:rsid w:val="1682314E"/>
    <w:rsid w:val="192045E2"/>
    <w:rsid w:val="19EB5EAF"/>
    <w:rsid w:val="1F3C4541"/>
    <w:rsid w:val="1F8660A0"/>
    <w:rsid w:val="25667D35"/>
    <w:rsid w:val="26B57D5D"/>
    <w:rsid w:val="2B8B5E68"/>
    <w:rsid w:val="2BFD1B41"/>
    <w:rsid w:val="2FB63E2D"/>
    <w:rsid w:val="309175CE"/>
    <w:rsid w:val="32543208"/>
    <w:rsid w:val="328B38AD"/>
    <w:rsid w:val="34183724"/>
    <w:rsid w:val="34982C18"/>
    <w:rsid w:val="382872B8"/>
    <w:rsid w:val="3849593E"/>
    <w:rsid w:val="3C94676F"/>
    <w:rsid w:val="3CA16CEE"/>
    <w:rsid w:val="3CD427B4"/>
    <w:rsid w:val="41F53A9C"/>
    <w:rsid w:val="42EA2285"/>
    <w:rsid w:val="43DA4301"/>
    <w:rsid w:val="4AD62257"/>
    <w:rsid w:val="4BF81337"/>
    <w:rsid w:val="4CE90385"/>
    <w:rsid w:val="4FB5139E"/>
    <w:rsid w:val="50824463"/>
    <w:rsid w:val="50FC43CE"/>
    <w:rsid w:val="519F231B"/>
    <w:rsid w:val="549F3B48"/>
    <w:rsid w:val="56A142C6"/>
    <w:rsid w:val="5B573045"/>
    <w:rsid w:val="5EF83509"/>
    <w:rsid w:val="5F881BCB"/>
    <w:rsid w:val="6014041E"/>
    <w:rsid w:val="615117B2"/>
    <w:rsid w:val="61FA48E2"/>
    <w:rsid w:val="64375FEA"/>
    <w:rsid w:val="64580CB0"/>
    <w:rsid w:val="660E63DF"/>
    <w:rsid w:val="6B3B4F08"/>
    <w:rsid w:val="787550FD"/>
    <w:rsid w:val="79A05AEA"/>
    <w:rsid w:val="7F1B5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pPr>
      <w:jc w:val="left"/>
    </w:pPr>
  </w:style>
  <w:style w:type="paragraph" w:styleId="4">
    <w:name w:val="Balloon Text"/>
    <w:basedOn w:val="1"/>
    <w:link w:val="18"/>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7"/>
    <w:qFormat/>
    <w:uiPriority w:val="0"/>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annotation reference"/>
    <w:basedOn w:val="10"/>
    <w:qFormat/>
    <w:uiPriority w:val="0"/>
    <w:rPr>
      <w:sz w:val="21"/>
      <w:szCs w:val="21"/>
    </w:rPr>
  </w:style>
  <w:style w:type="paragraph" w:customStyle="1" w:styleId="13">
    <w:name w:val="_Style 6"/>
    <w:basedOn w:val="1"/>
    <w:autoRedefine/>
    <w:qFormat/>
    <w:uiPriority w:val="34"/>
    <w:pPr>
      <w:ind w:firstLine="420" w:firstLineChars="200"/>
    </w:pPr>
    <w:rPr>
      <w:rFonts w:ascii="Calibri" w:hAnsi="Calibri" w:eastAsia="宋体" w:cs="Times New Roman"/>
    </w:rPr>
  </w:style>
  <w:style w:type="character" w:customStyle="1" w:styleId="14">
    <w:name w:val="页眉 Char"/>
    <w:basedOn w:val="10"/>
    <w:link w:val="6"/>
    <w:qFormat/>
    <w:uiPriority w:val="0"/>
    <w:rPr>
      <w:kern w:val="2"/>
      <w:sz w:val="18"/>
      <w:szCs w:val="18"/>
    </w:rPr>
  </w:style>
  <w:style w:type="character" w:customStyle="1" w:styleId="15">
    <w:name w:val="页脚 Char"/>
    <w:basedOn w:val="10"/>
    <w:link w:val="5"/>
    <w:qFormat/>
    <w:uiPriority w:val="0"/>
    <w:rPr>
      <w:kern w:val="2"/>
      <w:sz w:val="18"/>
      <w:szCs w:val="18"/>
    </w:rPr>
  </w:style>
  <w:style w:type="character" w:customStyle="1" w:styleId="16">
    <w:name w:val="批注文字 Char"/>
    <w:basedOn w:val="10"/>
    <w:link w:val="3"/>
    <w:qFormat/>
    <w:uiPriority w:val="0"/>
    <w:rPr>
      <w:kern w:val="2"/>
      <w:sz w:val="21"/>
      <w:szCs w:val="22"/>
    </w:rPr>
  </w:style>
  <w:style w:type="character" w:customStyle="1" w:styleId="17">
    <w:name w:val="批注主题 Char"/>
    <w:basedOn w:val="16"/>
    <w:link w:val="7"/>
    <w:qFormat/>
    <w:uiPriority w:val="0"/>
    <w:rPr>
      <w:b/>
      <w:bCs/>
      <w:kern w:val="2"/>
      <w:sz w:val="21"/>
      <w:szCs w:val="22"/>
    </w:rPr>
  </w:style>
  <w:style w:type="character" w:customStyle="1" w:styleId="18">
    <w:name w:val="批注框文本 Char"/>
    <w:basedOn w:val="10"/>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1520</Words>
  <Characters>1600</Characters>
  <Lines>19</Lines>
  <Paragraphs>5</Paragraphs>
  <TotalTime>876</TotalTime>
  <ScaleCrop>false</ScaleCrop>
  <LinksUpToDate>false</LinksUpToDate>
  <CharactersWithSpaces>1644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2026-04-15T13:06:00Z</dcterms:created>
  <dc:creator>limeijuan</dc:creator>
  <cp:lastModifiedBy>小包子</cp:lastModifiedBy>
  <dcterms:modified xsi:type="dcterms:W3CDTF">2026-07-22T09:28:55Z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6F0CF00C89744B2FB4C6E1736115B398_13</vt:lpwstr>
  </property>
  <property fmtid="{D5CDD505-2E9C-101B-9397-08002B2CF9AE}" pid="4" name="KSOTemplateDocerSaveRecord">
    <vt:lpwstr>eyJoZGlkIjoiZTc1MTlkZmRjNjMzODkzYTQ5Y2Y2MTQ2YmJkODBlMWEiLCJ1c2VySWQiOiI1NTkwMTI2MjIifQ==</vt:lpwstr>
  </property>
</Properties>
</file>