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A1EE4" w14:textId="2C94810F" w:rsidR="001D5CDA" w:rsidRDefault="00FA1EBC">
      <w:pPr>
        <w:spacing w:line="288" w:lineRule="auto"/>
        <w:rPr>
          <w:rFonts w:ascii="宋体" w:eastAsia="宋体" w:hAnsi="宋体" w:cs="宋体"/>
          <w:sz w:val="24"/>
        </w:rPr>
      </w:pPr>
      <w:r>
        <w:rPr>
          <w:rFonts w:ascii="宋体" w:eastAsia="宋体" w:hAnsi="宋体" w:cs="宋体" w:hint="eastAsia"/>
          <w:sz w:val="24"/>
        </w:rPr>
        <w:t>证券代码：68</w:t>
      </w:r>
      <w:r w:rsidR="00636C2B">
        <w:rPr>
          <w:rFonts w:ascii="宋体" w:eastAsia="宋体" w:hAnsi="宋体" w:cs="宋体"/>
          <w:sz w:val="24"/>
        </w:rPr>
        <w:t>8386</w:t>
      </w:r>
      <w:r>
        <w:rPr>
          <w:rFonts w:ascii="宋体" w:eastAsia="宋体" w:hAnsi="宋体" w:cs="宋体" w:hint="eastAsia"/>
          <w:sz w:val="24"/>
        </w:rPr>
        <w:t xml:space="preserve">                                证券简称：</w:t>
      </w:r>
      <w:r w:rsidR="00636C2B">
        <w:rPr>
          <w:rFonts w:ascii="宋体" w:eastAsia="宋体" w:hAnsi="宋体" w:cs="宋体" w:hint="eastAsia"/>
          <w:sz w:val="24"/>
        </w:rPr>
        <w:t>泛亚微透</w:t>
      </w:r>
    </w:p>
    <w:p w14:paraId="5E4FDBC1" w14:textId="46B766C4" w:rsidR="001D5CDA" w:rsidRDefault="00636C2B">
      <w:pPr>
        <w:spacing w:beforeLines="50" w:before="156" w:afterLines="50" w:after="156"/>
        <w:jc w:val="center"/>
        <w:rPr>
          <w:rFonts w:asciiTheme="minorEastAsia" w:hAnsiTheme="minorEastAsia" w:cstheme="minorEastAsia"/>
          <w:b/>
          <w:bCs/>
          <w:sz w:val="36"/>
          <w:szCs w:val="36"/>
        </w:rPr>
      </w:pPr>
      <w:r>
        <w:rPr>
          <w:rFonts w:asciiTheme="minorEastAsia" w:hAnsiTheme="minorEastAsia" w:cstheme="minorEastAsia" w:hint="eastAsia"/>
          <w:b/>
          <w:bCs/>
          <w:sz w:val="36"/>
          <w:szCs w:val="36"/>
        </w:rPr>
        <w:t>江苏泛亚微透科技</w:t>
      </w:r>
      <w:r w:rsidR="00FA1EBC">
        <w:rPr>
          <w:rFonts w:asciiTheme="minorEastAsia" w:hAnsiTheme="minorEastAsia" w:cstheme="minorEastAsia" w:hint="eastAsia"/>
          <w:b/>
          <w:bCs/>
          <w:sz w:val="36"/>
          <w:szCs w:val="36"/>
        </w:rPr>
        <w:t>股份有限公司</w:t>
      </w:r>
    </w:p>
    <w:p w14:paraId="38AE6D88" w14:textId="77777777" w:rsidR="001D5CDA" w:rsidRDefault="00FA1EBC">
      <w:pPr>
        <w:spacing w:beforeLines="50" w:before="156" w:afterLines="50" w:after="156"/>
        <w:jc w:val="center"/>
        <w:rPr>
          <w:rFonts w:asciiTheme="minorEastAsia" w:hAnsiTheme="minorEastAsia" w:cstheme="minorEastAsia"/>
          <w:b/>
          <w:bCs/>
          <w:sz w:val="36"/>
          <w:szCs w:val="36"/>
        </w:rPr>
      </w:pPr>
      <w:r>
        <w:rPr>
          <w:rFonts w:asciiTheme="minorEastAsia" w:hAnsiTheme="minorEastAsia" w:cstheme="minorEastAsia" w:hint="eastAsia"/>
          <w:b/>
          <w:bCs/>
          <w:sz w:val="36"/>
          <w:szCs w:val="36"/>
        </w:rPr>
        <w:t>投资者关系活动记录表</w:t>
      </w:r>
    </w:p>
    <w:p w14:paraId="16ACBBE5" w14:textId="41B59EDC" w:rsidR="001D5CDA" w:rsidRDefault="00FA1EBC">
      <w:pPr>
        <w:spacing w:line="288" w:lineRule="auto"/>
        <w:jc w:val="right"/>
        <w:rPr>
          <w:rFonts w:ascii="宋体" w:eastAsia="宋体" w:hAnsi="宋体" w:cs="宋体"/>
          <w:sz w:val="24"/>
        </w:rPr>
      </w:pPr>
      <w:r>
        <w:rPr>
          <w:rFonts w:ascii="宋体" w:eastAsia="宋体" w:hAnsi="宋体" w:cs="宋体"/>
          <w:sz w:val="24"/>
        </w:rPr>
        <w:t>编号：202</w:t>
      </w:r>
      <w:r w:rsidR="00E334B6">
        <w:rPr>
          <w:rFonts w:ascii="宋体" w:eastAsia="宋体" w:hAnsi="宋体" w:cs="宋体" w:hint="eastAsia"/>
          <w:sz w:val="24"/>
        </w:rPr>
        <w:t>6</w:t>
      </w:r>
      <w:r>
        <w:rPr>
          <w:rFonts w:ascii="宋体" w:eastAsia="宋体" w:hAnsi="宋体" w:cs="宋体" w:hint="eastAsia"/>
          <w:sz w:val="24"/>
        </w:rPr>
        <w:t>-</w:t>
      </w:r>
      <w:r w:rsidR="00C36C41" w:rsidRPr="004D69C4">
        <w:rPr>
          <w:rFonts w:ascii="宋体" w:eastAsia="宋体" w:hAnsi="宋体" w:cs="宋体" w:hint="eastAsia"/>
          <w:sz w:val="24"/>
        </w:rPr>
        <w:t>0</w:t>
      </w:r>
      <w:r w:rsidR="002B1C01" w:rsidRPr="004D69C4">
        <w:rPr>
          <w:rFonts w:ascii="宋体" w:eastAsia="宋体" w:hAnsi="宋体" w:cs="宋体" w:hint="eastAsia"/>
          <w:sz w:val="24"/>
        </w:rPr>
        <w:t>0</w:t>
      </w:r>
      <w:r w:rsidR="00636C2B">
        <w:rPr>
          <w:rFonts w:ascii="宋体" w:eastAsia="宋体" w:hAnsi="宋体" w:cs="宋体"/>
          <w:sz w:val="24"/>
        </w:rPr>
        <w:t>1</w:t>
      </w:r>
    </w:p>
    <w:tbl>
      <w:tblPr>
        <w:tblStyle w:val="a5"/>
        <w:tblW w:w="0" w:type="auto"/>
        <w:tblLook w:val="04A0" w:firstRow="1" w:lastRow="0" w:firstColumn="1" w:lastColumn="0" w:noHBand="0" w:noVBand="1"/>
      </w:tblPr>
      <w:tblGrid>
        <w:gridCol w:w="2326"/>
        <w:gridCol w:w="5970"/>
      </w:tblGrid>
      <w:tr w:rsidR="004D69C4" w14:paraId="68DDF505" w14:textId="77777777" w:rsidTr="00A179CC">
        <w:trPr>
          <w:trHeight w:val="2223"/>
        </w:trPr>
        <w:tc>
          <w:tcPr>
            <w:tcW w:w="2326" w:type="dxa"/>
            <w:vAlign w:val="center"/>
          </w:tcPr>
          <w:p w14:paraId="7BB11096" w14:textId="77777777" w:rsidR="001D5CDA" w:rsidRDefault="00FA1EBC">
            <w:pPr>
              <w:spacing w:line="360" w:lineRule="auto"/>
              <w:rPr>
                <w:rFonts w:ascii="宋体" w:eastAsia="宋体" w:hAnsi="宋体" w:cs="宋体"/>
                <w:b/>
                <w:bCs/>
                <w:sz w:val="24"/>
              </w:rPr>
            </w:pPr>
            <w:r>
              <w:rPr>
                <w:rFonts w:ascii="宋体" w:eastAsia="宋体" w:hAnsi="宋体" w:cs="宋体"/>
                <w:b/>
                <w:bCs/>
                <w:sz w:val="24"/>
              </w:rPr>
              <w:t>投资者关系</w:t>
            </w:r>
          </w:p>
          <w:p w14:paraId="52D646DF" w14:textId="77777777" w:rsidR="001D5CDA" w:rsidRDefault="00FA1EBC">
            <w:pPr>
              <w:spacing w:line="360" w:lineRule="auto"/>
              <w:rPr>
                <w:rFonts w:ascii="宋体" w:eastAsia="宋体" w:hAnsi="宋体" w:cs="宋体"/>
                <w:sz w:val="24"/>
              </w:rPr>
            </w:pPr>
            <w:r>
              <w:rPr>
                <w:rFonts w:ascii="宋体" w:eastAsia="宋体" w:hAnsi="宋体" w:cs="宋体"/>
                <w:b/>
                <w:bCs/>
                <w:sz w:val="24"/>
              </w:rPr>
              <w:t>活动类别</w:t>
            </w:r>
          </w:p>
        </w:tc>
        <w:tc>
          <w:tcPr>
            <w:tcW w:w="5970" w:type="dxa"/>
            <w:vAlign w:val="center"/>
          </w:tcPr>
          <w:p w14:paraId="0169C6F0" w14:textId="6AC0B283" w:rsidR="001D5CDA" w:rsidRDefault="00636C2B">
            <w:pPr>
              <w:spacing w:line="360" w:lineRule="auto"/>
              <w:rPr>
                <w:rFonts w:ascii="宋体" w:eastAsia="宋体" w:hAnsi="宋体" w:cs="宋体"/>
                <w:sz w:val="24"/>
              </w:rPr>
            </w:pPr>
            <w:r>
              <w:rPr>
                <w:rFonts w:ascii="宋体" w:eastAsia="宋体" w:hAnsi="宋体" w:cs="宋体" w:hint="eastAsia"/>
                <w:sz w:val="24"/>
              </w:rPr>
              <w:t>□</w:t>
            </w:r>
            <w:r w:rsidR="00FA1EBC">
              <w:rPr>
                <w:rFonts w:ascii="宋体" w:eastAsia="宋体" w:hAnsi="宋体" w:cs="宋体"/>
                <w:sz w:val="24"/>
              </w:rPr>
              <w:t xml:space="preserve">特定对象调研 </w:t>
            </w:r>
            <w:r w:rsidR="00FA1EBC">
              <w:rPr>
                <w:rFonts w:ascii="宋体" w:eastAsia="宋体" w:hAnsi="宋体" w:cs="宋体" w:hint="eastAsia"/>
                <w:sz w:val="24"/>
              </w:rPr>
              <w:t xml:space="preserve">  </w:t>
            </w:r>
            <w:r w:rsidR="008F72FE">
              <w:rPr>
                <w:rFonts w:ascii="宋体" w:eastAsia="宋体" w:hAnsi="宋体" w:cs="宋体" w:hint="eastAsia"/>
                <w:sz w:val="24"/>
              </w:rPr>
              <w:t>□</w:t>
            </w:r>
            <w:r w:rsidR="00FA1EBC">
              <w:rPr>
                <w:rFonts w:ascii="宋体" w:eastAsia="宋体" w:hAnsi="宋体" w:cs="宋体"/>
                <w:sz w:val="24"/>
              </w:rPr>
              <w:t>分析师会议</w:t>
            </w:r>
          </w:p>
          <w:p w14:paraId="52018435" w14:textId="77777777" w:rsidR="001D5CDA" w:rsidRDefault="00FA1EBC">
            <w:pPr>
              <w:spacing w:line="360" w:lineRule="auto"/>
              <w:rPr>
                <w:rFonts w:ascii="宋体" w:eastAsia="宋体" w:hAnsi="宋体" w:cs="宋体"/>
                <w:sz w:val="24"/>
              </w:rPr>
            </w:pPr>
            <w:r>
              <w:rPr>
                <w:rFonts w:ascii="宋体" w:eastAsia="宋体" w:hAnsi="宋体" w:cs="宋体" w:hint="eastAsia"/>
                <w:sz w:val="24"/>
              </w:rPr>
              <w:t>□</w:t>
            </w:r>
            <w:r>
              <w:rPr>
                <w:rFonts w:ascii="宋体" w:eastAsia="宋体" w:hAnsi="宋体" w:cs="宋体"/>
                <w:sz w:val="24"/>
              </w:rPr>
              <w:t xml:space="preserve">媒体采访 </w:t>
            </w:r>
            <w:r>
              <w:rPr>
                <w:rFonts w:ascii="宋体" w:eastAsia="宋体" w:hAnsi="宋体" w:cs="宋体" w:hint="eastAsia"/>
                <w:sz w:val="24"/>
              </w:rPr>
              <w:t xml:space="preserve">      </w:t>
            </w:r>
            <w:r w:rsidR="00BA1E03">
              <w:rPr>
                <w:rFonts w:ascii="宋体" w:eastAsia="宋体" w:hAnsi="宋体" w:cs="宋体" w:hint="eastAsia"/>
                <w:sz w:val="24"/>
              </w:rPr>
              <w:t>□</w:t>
            </w:r>
            <w:r>
              <w:rPr>
                <w:rFonts w:ascii="宋体" w:eastAsia="宋体" w:hAnsi="宋体" w:cs="宋体"/>
                <w:sz w:val="24"/>
              </w:rPr>
              <w:t>业绩说明会</w:t>
            </w:r>
          </w:p>
          <w:p w14:paraId="1F39C6BD" w14:textId="77777777" w:rsidR="001D5CDA" w:rsidRDefault="00FA1EBC">
            <w:pPr>
              <w:spacing w:line="360" w:lineRule="auto"/>
              <w:rPr>
                <w:rFonts w:ascii="宋体" w:eastAsia="宋体" w:hAnsi="宋体" w:cs="宋体"/>
                <w:sz w:val="24"/>
              </w:rPr>
            </w:pPr>
            <w:r>
              <w:rPr>
                <w:rFonts w:ascii="宋体" w:eastAsia="宋体" w:hAnsi="宋体" w:cs="宋体"/>
                <w:sz w:val="24"/>
              </w:rPr>
              <w:t xml:space="preserve">□新闻发布会 </w:t>
            </w:r>
            <w:r>
              <w:rPr>
                <w:rFonts w:ascii="宋体" w:eastAsia="宋体" w:hAnsi="宋体" w:cs="宋体" w:hint="eastAsia"/>
                <w:sz w:val="24"/>
              </w:rPr>
              <w:t xml:space="preserve">    □</w:t>
            </w:r>
            <w:r>
              <w:rPr>
                <w:rFonts w:ascii="宋体" w:eastAsia="宋体" w:hAnsi="宋体" w:cs="宋体"/>
                <w:sz w:val="24"/>
              </w:rPr>
              <w:t>路演活动</w:t>
            </w:r>
          </w:p>
          <w:p w14:paraId="068A0BAB" w14:textId="799F2E50" w:rsidR="001D5CDA" w:rsidRDefault="00FE575F">
            <w:pPr>
              <w:spacing w:line="360" w:lineRule="auto"/>
              <w:rPr>
                <w:rFonts w:ascii="宋体" w:eastAsia="宋体" w:hAnsi="宋体" w:cs="宋体"/>
                <w:sz w:val="24"/>
              </w:rPr>
            </w:pPr>
            <w:r>
              <w:rPr>
                <w:rFonts w:ascii="宋体" w:eastAsia="宋体" w:hAnsi="宋体" w:cs="宋体" w:hint="eastAsia"/>
                <w:sz w:val="24"/>
              </w:rPr>
              <w:t>□</w:t>
            </w:r>
            <w:r w:rsidR="00FA1EBC">
              <w:rPr>
                <w:rFonts w:ascii="宋体" w:eastAsia="宋体" w:hAnsi="宋体" w:cs="宋体"/>
                <w:sz w:val="24"/>
              </w:rPr>
              <w:t xml:space="preserve">现场参观 </w:t>
            </w:r>
            <w:r w:rsidR="00614B51">
              <w:rPr>
                <w:rFonts w:ascii="宋体" w:eastAsia="宋体" w:hAnsi="宋体" w:cs="宋体" w:hint="eastAsia"/>
                <w:sz w:val="24"/>
              </w:rPr>
              <w:t xml:space="preserve">  </w:t>
            </w:r>
            <w:r w:rsidR="00FA1EBC">
              <w:rPr>
                <w:rFonts w:ascii="宋体" w:eastAsia="宋体" w:hAnsi="宋体" w:cs="宋体" w:hint="eastAsia"/>
                <w:sz w:val="24"/>
              </w:rPr>
              <w:t xml:space="preserve">   </w:t>
            </w:r>
            <w:r w:rsidR="00583EB6">
              <w:rPr>
                <w:rFonts w:ascii="宋体" w:eastAsia="宋体" w:hAnsi="宋体" w:cs="宋体"/>
                <w:sz w:val="24"/>
              </w:rPr>
              <w:t xml:space="preserve"> </w:t>
            </w:r>
            <w:r w:rsidR="00636C2B">
              <w:rPr>
                <w:rFonts w:ascii="宋体" w:eastAsia="宋体" w:hAnsi="宋体" w:cs="宋体" w:hint="eastAsia"/>
                <w:sz w:val="24"/>
              </w:rPr>
              <w:sym w:font="Wingdings 2" w:char="F052"/>
            </w:r>
            <w:r w:rsidR="00FA1EBC">
              <w:rPr>
                <w:rFonts w:ascii="宋体" w:eastAsia="宋体" w:hAnsi="宋体" w:cs="宋体"/>
                <w:sz w:val="24"/>
              </w:rPr>
              <w:t>电话会议</w:t>
            </w:r>
          </w:p>
          <w:p w14:paraId="78EE4BC6" w14:textId="77777777" w:rsidR="001D5CDA" w:rsidRDefault="00FA1EBC" w:rsidP="004D69C4">
            <w:pPr>
              <w:spacing w:line="360" w:lineRule="auto"/>
              <w:rPr>
                <w:rFonts w:ascii="宋体" w:eastAsia="宋体" w:hAnsi="宋体" w:cs="宋体"/>
                <w:sz w:val="24"/>
              </w:rPr>
            </w:pPr>
            <w:r>
              <w:rPr>
                <w:rFonts w:ascii="宋体" w:eastAsia="宋体" w:hAnsi="宋体" w:cs="宋体"/>
                <w:sz w:val="24"/>
              </w:rPr>
              <w:t>□其他</w:t>
            </w:r>
          </w:p>
        </w:tc>
      </w:tr>
      <w:tr w:rsidR="004D69C4" w14:paraId="1D3BDE78" w14:textId="77777777" w:rsidTr="00A179CC">
        <w:trPr>
          <w:trHeight w:val="1132"/>
        </w:trPr>
        <w:tc>
          <w:tcPr>
            <w:tcW w:w="2326" w:type="dxa"/>
            <w:vAlign w:val="center"/>
          </w:tcPr>
          <w:p w14:paraId="260DB807" w14:textId="77777777" w:rsidR="001D5CDA" w:rsidRDefault="00FA1EBC">
            <w:pPr>
              <w:spacing w:line="360" w:lineRule="auto"/>
              <w:rPr>
                <w:rFonts w:ascii="宋体" w:eastAsia="宋体" w:hAnsi="宋体" w:cs="宋体"/>
                <w:sz w:val="24"/>
              </w:rPr>
            </w:pPr>
            <w:r>
              <w:rPr>
                <w:rFonts w:ascii="宋体" w:eastAsia="宋体" w:hAnsi="宋体" w:cs="宋体"/>
                <w:b/>
                <w:bCs/>
                <w:sz w:val="24"/>
              </w:rPr>
              <w:t>参与单位名称</w:t>
            </w:r>
            <w:r>
              <w:rPr>
                <w:rFonts w:ascii="宋体" w:eastAsia="宋体" w:hAnsi="宋体" w:cs="宋体"/>
                <w:sz w:val="24"/>
              </w:rPr>
              <w:t>：</w:t>
            </w:r>
          </w:p>
        </w:tc>
        <w:tc>
          <w:tcPr>
            <w:tcW w:w="5970" w:type="dxa"/>
            <w:vAlign w:val="center"/>
          </w:tcPr>
          <w:p w14:paraId="5280409E" w14:textId="1B402A8F" w:rsidR="001D5CDA" w:rsidRPr="003065CA" w:rsidRDefault="00636C2B" w:rsidP="00733F49">
            <w:pPr>
              <w:spacing w:line="360" w:lineRule="auto"/>
              <w:rPr>
                <w:rFonts w:ascii="宋体" w:eastAsia="宋体" w:hAnsi="宋体" w:cs="宋体"/>
                <w:sz w:val="24"/>
              </w:rPr>
            </w:pPr>
            <w:r w:rsidRPr="00636C2B">
              <w:rPr>
                <w:rFonts w:ascii="宋体" w:eastAsia="宋体" w:hAnsi="宋体" w:cs="宋体" w:hint="eastAsia"/>
                <w:sz w:val="24"/>
              </w:rPr>
              <w:t>兴全基金</w:t>
            </w:r>
            <w:r>
              <w:rPr>
                <w:rFonts w:ascii="宋体" w:eastAsia="宋体" w:hAnsi="宋体" w:cs="宋体" w:hint="eastAsia"/>
                <w:sz w:val="24"/>
              </w:rPr>
              <w:t>、</w:t>
            </w:r>
            <w:r w:rsidRPr="00636C2B">
              <w:rPr>
                <w:rFonts w:ascii="宋体" w:eastAsia="宋体" w:hAnsi="宋体" w:cs="宋体" w:hint="eastAsia"/>
                <w:sz w:val="24"/>
              </w:rPr>
              <w:t>交银施罗德基金</w:t>
            </w:r>
            <w:r>
              <w:rPr>
                <w:rFonts w:ascii="宋体" w:eastAsia="宋体" w:hAnsi="宋体" w:cs="宋体" w:hint="eastAsia"/>
                <w:sz w:val="24"/>
              </w:rPr>
              <w:t>、</w:t>
            </w:r>
            <w:r w:rsidRPr="00636C2B">
              <w:rPr>
                <w:rFonts w:ascii="宋体" w:eastAsia="宋体" w:hAnsi="宋体" w:cs="宋体" w:hint="eastAsia"/>
                <w:sz w:val="24"/>
              </w:rPr>
              <w:t>圆信永丰基金</w:t>
            </w:r>
            <w:r>
              <w:rPr>
                <w:rFonts w:ascii="宋体" w:eastAsia="宋体" w:hAnsi="宋体" w:cs="宋体" w:hint="eastAsia"/>
                <w:sz w:val="24"/>
              </w:rPr>
              <w:t>、</w:t>
            </w:r>
            <w:r w:rsidRPr="00636C2B">
              <w:rPr>
                <w:rFonts w:ascii="宋体" w:eastAsia="宋体" w:hAnsi="宋体" w:cs="宋体" w:hint="eastAsia"/>
                <w:sz w:val="24"/>
              </w:rPr>
              <w:t>景顺长城基金</w:t>
            </w:r>
            <w:r>
              <w:rPr>
                <w:rFonts w:ascii="宋体" w:eastAsia="宋体" w:hAnsi="宋体" w:cs="宋体" w:hint="eastAsia"/>
                <w:sz w:val="24"/>
              </w:rPr>
              <w:t>、</w:t>
            </w:r>
            <w:r w:rsidRPr="00636C2B">
              <w:rPr>
                <w:rFonts w:ascii="宋体" w:eastAsia="宋体" w:hAnsi="宋体" w:cs="宋体" w:hint="eastAsia"/>
                <w:sz w:val="24"/>
              </w:rPr>
              <w:t>华夏基金</w:t>
            </w:r>
            <w:r>
              <w:rPr>
                <w:rFonts w:ascii="宋体" w:eastAsia="宋体" w:hAnsi="宋体" w:cs="宋体" w:hint="eastAsia"/>
                <w:sz w:val="24"/>
              </w:rPr>
              <w:t>、</w:t>
            </w:r>
            <w:r w:rsidRPr="00636C2B">
              <w:rPr>
                <w:rFonts w:ascii="宋体" w:eastAsia="宋体" w:hAnsi="宋体" w:cs="宋体" w:hint="eastAsia"/>
                <w:sz w:val="24"/>
              </w:rPr>
              <w:t>银河基金</w:t>
            </w:r>
            <w:r>
              <w:rPr>
                <w:rFonts w:ascii="宋体" w:eastAsia="宋体" w:hAnsi="宋体" w:cs="宋体" w:hint="eastAsia"/>
                <w:sz w:val="24"/>
              </w:rPr>
              <w:t>、</w:t>
            </w:r>
            <w:r w:rsidRPr="00636C2B">
              <w:rPr>
                <w:rFonts w:ascii="宋体" w:eastAsia="宋体" w:hAnsi="宋体" w:cs="宋体" w:hint="eastAsia"/>
                <w:sz w:val="24"/>
              </w:rPr>
              <w:t>招银理财</w:t>
            </w:r>
            <w:r>
              <w:rPr>
                <w:rFonts w:ascii="宋体" w:eastAsia="宋体" w:hAnsi="宋体" w:cs="宋体" w:hint="eastAsia"/>
                <w:sz w:val="24"/>
              </w:rPr>
              <w:t>、</w:t>
            </w:r>
            <w:r w:rsidRPr="00636C2B">
              <w:rPr>
                <w:rFonts w:ascii="宋体" w:eastAsia="宋体" w:hAnsi="宋体" w:cs="宋体" w:hint="eastAsia"/>
                <w:sz w:val="24"/>
              </w:rPr>
              <w:t>中金基金</w:t>
            </w:r>
            <w:r>
              <w:rPr>
                <w:rFonts w:ascii="宋体" w:eastAsia="宋体" w:hAnsi="宋体" w:cs="宋体" w:hint="eastAsia"/>
                <w:sz w:val="24"/>
              </w:rPr>
              <w:t>、</w:t>
            </w:r>
            <w:r w:rsidRPr="00636C2B">
              <w:rPr>
                <w:rFonts w:ascii="宋体" w:eastAsia="宋体" w:hAnsi="宋体" w:cs="宋体" w:hint="eastAsia"/>
                <w:sz w:val="24"/>
              </w:rPr>
              <w:t>富安达基金</w:t>
            </w:r>
            <w:r>
              <w:rPr>
                <w:rFonts w:ascii="宋体" w:eastAsia="宋体" w:hAnsi="宋体" w:cs="宋体" w:hint="eastAsia"/>
                <w:sz w:val="24"/>
              </w:rPr>
              <w:t>、</w:t>
            </w:r>
            <w:r w:rsidRPr="00636C2B">
              <w:rPr>
                <w:rFonts w:ascii="宋体" w:eastAsia="宋体" w:hAnsi="宋体" w:cs="宋体" w:hint="eastAsia"/>
                <w:sz w:val="24"/>
              </w:rPr>
              <w:t>农银汇理基金</w:t>
            </w:r>
            <w:r>
              <w:rPr>
                <w:rFonts w:ascii="宋体" w:eastAsia="宋体" w:hAnsi="宋体" w:cs="宋体" w:hint="eastAsia"/>
                <w:sz w:val="24"/>
              </w:rPr>
              <w:t>、</w:t>
            </w:r>
            <w:r w:rsidRPr="00636C2B">
              <w:rPr>
                <w:rFonts w:ascii="宋体" w:eastAsia="宋体" w:hAnsi="宋体" w:cs="宋体" w:hint="eastAsia"/>
                <w:sz w:val="24"/>
              </w:rPr>
              <w:t>中信建投基金</w:t>
            </w:r>
            <w:r>
              <w:rPr>
                <w:rFonts w:ascii="宋体" w:eastAsia="宋体" w:hAnsi="宋体" w:cs="宋体" w:hint="eastAsia"/>
                <w:sz w:val="24"/>
              </w:rPr>
              <w:t>、</w:t>
            </w:r>
            <w:r w:rsidRPr="00636C2B">
              <w:rPr>
                <w:rFonts w:ascii="宋体" w:eastAsia="宋体" w:hAnsi="宋体" w:cs="宋体" w:hint="eastAsia"/>
                <w:sz w:val="24"/>
              </w:rPr>
              <w:t>东吴基金</w:t>
            </w:r>
            <w:r>
              <w:rPr>
                <w:rFonts w:ascii="宋体" w:eastAsia="宋体" w:hAnsi="宋体" w:cs="宋体" w:hint="eastAsia"/>
                <w:sz w:val="24"/>
              </w:rPr>
              <w:t>、</w:t>
            </w:r>
            <w:r w:rsidRPr="00636C2B">
              <w:rPr>
                <w:rFonts w:ascii="宋体" w:eastAsia="宋体" w:hAnsi="宋体" w:cs="宋体" w:hint="eastAsia"/>
                <w:sz w:val="24"/>
              </w:rPr>
              <w:t>睿远基金</w:t>
            </w:r>
            <w:r>
              <w:rPr>
                <w:rFonts w:ascii="宋体" w:eastAsia="宋体" w:hAnsi="宋体" w:cs="宋体" w:hint="eastAsia"/>
                <w:sz w:val="24"/>
              </w:rPr>
              <w:t>、</w:t>
            </w:r>
            <w:r w:rsidRPr="00636C2B">
              <w:rPr>
                <w:rFonts w:ascii="宋体" w:eastAsia="宋体" w:hAnsi="宋体" w:cs="宋体" w:hint="eastAsia"/>
                <w:sz w:val="24"/>
              </w:rPr>
              <w:t>光大保德信</w:t>
            </w:r>
            <w:r>
              <w:rPr>
                <w:rFonts w:ascii="宋体" w:eastAsia="宋体" w:hAnsi="宋体" w:cs="宋体" w:hint="eastAsia"/>
                <w:sz w:val="24"/>
              </w:rPr>
              <w:t>、</w:t>
            </w:r>
            <w:r w:rsidRPr="00636C2B">
              <w:rPr>
                <w:rFonts w:ascii="宋体" w:eastAsia="宋体" w:hAnsi="宋体" w:cs="宋体" w:hint="eastAsia"/>
                <w:sz w:val="24"/>
              </w:rPr>
              <w:t>平安基金</w:t>
            </w:r>
            <w:r>
              <w:rPr>
                <w:rFonts w:ascii="宋体" w:eastAsia="宋体" w:hAnsi="宋体" w:cs="宋体" w:hint="eastAsia"/>
                <w:sz w:val="24"/>
              </w:rPr>
              <w:t>、</w:t>
            </w:r>
            <w:r w:rsidRPr="00636C2B">
              <w:rPr>
                <w:rFonts w:ascii="宋体" w:eastAsia="宋体" w:hAnsi="宋体" w:cs="宋体" w:hint="eastAsia"/>
                <w:sz w:val="24"/>
              </w:rPr>
              <w:t>华安财保</w:t>
            </w:r>
            <w:r>
              <w:rPr>
                <w:rFonts w:ascii="宋体" w:eastAsia="宋体" w:hAnsi="宋体" w:cs="宋体" w:hint="eastAsia"/>
                <w:sz w:val="24"/>
              </w:rPr>
              <w:t>、</w:t>
            </w:r>
            <w:r w:rsidRPr="00636C2B">
              <w:rPr>
                <w:rFonts w:ascii="宋体" w:eastAsia="宋体" w:hAnsi="宋体" w:cs="宋体" w:hint="eastAsia"/>
                <w:sz w:val="24"/>
              </w:rPr>
              <w:t>银河基金</w:t>
            </w:r>
            <w:r>
              <w:rPr>
                <w:rFonts w:ascii="宋体" w:eastAsia="宋体" w:hAnsi="宋体" w:cs="宋体" w:hint="eastAsia"/>
                <w:sz w:val="24"/>
              </w:rPr>
              <w:t>、</w:t>
            </w:r>
            <w:r w:rsidRPr="00636C2B">
              <w:rPr>
                <w:rFonts w:ascii="宋体" w:eastAsia="宋体" w:hAnsi="宋体" w:cs="宋体" w:hint="eastAsia"/>
                <w:sz w:val="24"/>
              </w:rPr>
              <w:t>南方基金</w:t>
            </w:r>
            <w:r>
              <w:rPr>
                <w:rFonts w:ascii="宋体" w:eastAsia="宋体" w:hAnsi="宋体" w:cs="宋体" w:hint="eastAsia"/>
                <w:sz w:val="24"/>
              </w:rPr>
              <w:t>、</w:t>
            </w:r>
            <w:r w:rsidRPr="00636C2B">
              <w:rPr>
                <w:rFonts w:ascii="宋体" w:eastAsia="宋体" w:hAnsi="宋体" w:cs="宋体" w:hint="eastAsia"/>
                <w:sz w:val="24"/>
              </w:rPr>
              <w:t>国泰基金</w:t>
            </w:r>
            <w:r>
              <w:rPr>
                <w:rFonts w:ascii="宋体" w:eastAsia="宋体" w:hAnsi="宋体" w:cs="宋体" w:hint="eastAsia"/>
                <w:sz w:val="24"/>
              </w:rPr>
              <w:t>、</w:t>
            </w:r>
            <w:r w:rsidRPr="00636C2B">
              <w:rPr>
                <w:rFonts w:ascii="宋体" w:eastAsia="宋体" w:hAnsi="宋体" w:cs="宋体" w:hint="eastAsia"/>
                <w:sz w:val="24"/>
              </w:rPr>
              <w:t>诺安基金</w:t>
            </w:r>
            <w:r>
              <w:rPr>
                <w:rFonts w:ascii="宋体" w:eastAsia="宋体" w:hAnsi="宋体" w:cs="宋体" w:hint="eastAsia"/>
                <w:sz w:val="24"/>
              </w:rPr>
              <w:t>、</w:t>
            </w:r>
            <w:r w:rsidRPr="00636C2B">
              <w:rPr>
                <w:rFonts w:ascii="宋体" w:eastAsia="宋体" w:hAnsi="宋体" w:cs="宋体" w:hint="eastAsia"/>
                <w:sz w:val="24"/>
              </w:rPr>
              <w:t>万家基金</w:t>
            </w:r>
            <w:r>
              <w:rPr>
                <w:rFonts w:ascii="宋体" w:eastAsia="宋体" w:hAnsi="宋体" w:cs="宋体" w:hint="eastAsia"/>
                <w:sz w:val="24"/>
              </w:rPr>
              <w:t>、</w:t>
            </w:r>
            <w:r w:rsidRPr="00636C2B">
              <w:rPr>
                <w:rFonts w:ascii="宋体" w:eastAsia="宋体" w:hAnsi="宋体" w:cs="宋体" w:hint="eastAsia"/>
                <w:sz w:val="24"/>
              </w:rPr>
              <w:t>华源证券</w:t>
            </w:r>
            <w:r>
              <w:rPr>
                <w:rFonts w:ascii="宋体" w:eastAsia="宋体" w:hAnsi="宋体" w:cs="宋体" w:hint="eastAsia"/>
                <w:sz w:val="24"/>
              </w:rPr>
              <w:t>、</w:t>
            </w:r>
            <w:r w:rsidRPr="00636C2B">
              <w:rPr>
                <w:rFonts w:ascii="宋体" w:eastAsia="宋体" w:hAnsi="宋体" w:cs="宋体" w:hint="eastAsia"/>
                <w:sz w:val="24"/>
              </w:rPr>
              <w:t>华创证券</w:t>
            </w:r>
            <w:r>
              <w:rPr>
                <w:rFonts w:ascii="宋体" w:eastAsia="宋体" w:hAnsi="宋体" w:cs="宋体" w:hint="eastAsia"/>
                <w:sz w:val="24"/>
              </w:rPr>
              <w:t>、</w:t>
            </w:r>
            <w:r w:rsidRPr="00636C2B">
              <w:rPr>
                <w:rFonts w:ascii="宋体" w:eastAsia="宋体" w:hAnsi="宋体" w:cs="宋体" w:hint="eastAsia"/>
                <w:sz w:val="24"/>
              </w:rPr>
              <w:t>华鑫证券</w:t>
            </w:r>
            <w:r>
              <w:rPr>
                <w:rFonts w:ascii="宋体" w:eastAsia="宋体" w:hAnsi="宋体" w:cs="宋体" w:hint="eastAsia"/>
                <w:sz w:val="24"/>
              </w:rPr>
              <w:t>、</w:t>
            </w:r>
            <w:r w:rsidRPr="00636C2B">
              <w:rPr>
                <w:rFonts w:ascii="宋体" w:eastAsia="宋体" w:hAnsi="宋体" w:cs="宋体" w:hint="eastAsia"/>
                <w:sz w:val="24"/>
              </w:rPr>
              <w:t>金元证券</w:t>
            </w:r>
            <w:r>
              <w:rPr>
                <w:rFonts w:ascii="宋体" w:eastAsia="宋体" w:hAnsi="宋体" w:cs="宋体" w:hint="eastAsia"/>
                <w:sz w:val="24"/>
              </w:rPr>
              <w:t>、</w:t>
            </w:r>
            <w:r w:rsidRPr="00636C2B">
              <w:rPr>
                <w:rFonts w:ascii="宋体" w:eastAsia="宋体" w:hAnsi="宋体" w:cs="宋体" w:hint="eastAsia"/>
                <w:sz w:val="24"/>
              </w:rPr>
              <w:t>招商证券</w:t>
            </w:r>
            <w:r w:rsidR="00CD5A2D">
              <w:rPr>
                <w:rFonts w:ascii="宋体" w:eastAsia="宋体" w:hAnsi="宋体" w:cs="宋体" w:hint="eastAsia"/>
                <w:sz w:val="24"/>
              </w:rPr>
              <w:t>、</w:t>
            </w:r>
            <w:r w:rsidRPr="00636C2B">
              <w:rPr>
                <w:rFonts w:ascii="宋体" w:eastAsia="宋体" w:hAnsi="宋体" w:cs="宋体" w:hint="eastAsia"/>
                <w:sz w:val="24"/>
              </w:rPr>
              <w:t>广州银鲨投资</w:t>
            </w:r>
            <w:r w:rsidR="00CD5A2D">
              <w:rPr>
                <w:rFonts w:ascii="宋体" w:eastAsia="宋体" w:hAnsi="宋体" w:cs="宋体" w:hint="eastAsia"/>
                <w:sz w:val="24"/>
              </w:rPr>
              <w:t>、</w:t>
            </w:r>
            <w:r w:rsidRPr="00636C2B">
              <w:rPr>
                <w:rFonts w:ascii="宋体" w:eastAsia="宋体" w:hAnsi="宋体" w:cs="宋体" w:hint="eastAsia"/>
                <w:sz w:val="24"/>
              </w:rPr>
              <w:t>湖南长心私募基金</w:t>
            </w:r>
            <w:r w:rsidR="00CD5A2D">
              <w:rPr>
                <w:rFonts w:ascii="宋体" w:eastAsia="宋体" w:hAnsi="宋体" w:cs="宋体" w:hint="eastAsia"/>
                <w:sz w:val="24"/>
              </w:rPr>
              <w:t>、</w:t>
            </w:r>
            <w:r w:rsidRPr="00636C2B">
              <w:rPr>
                <w:rFonts w:ascii="宋体" w:eastAsia="宋体" w:hAnsi="宋体" w:cs="宋体" w:hint="eastAsia"/>
                <w:sz w:val="24"/>
              </w:rPr>
              <w:t>上海云汉资产</w:t>
            </w:r>
            <w:bookmarkStart w:id="0" w:name="_GoBack"/>
            <w:bookmarkEnd w:id="0"/>
            <w:r w:rsidR="00CD5A2D">
              <w:rPr>
                <w:rFonts w:ascii="宋体" w:eastAsia="宋体" w:hAnsi="宋体" w:cs="宋体" w:hint="eastAsia"/>
                <w:sz w:val="24"/>
              </w:rPr>
              <w:t>、</w:t>
            </w:r>
            <w:r w:rsidRPr="00636C2B">
              <w:rPr>
                <w:rFonts w:ascii="宋体" w:eastAsia="宋体" w:hAnsi="宋体" w:cs="宋体" w:hint="eastAsia"/>
                <w:sz w:val="24"/>
              </w:rPr>
              <w:t>湖南华洲投资私募基金</w:t>
            </w:r>
            <w:r w:rsidR="00CD5A2D">
              <w:rPr>
                <w:rFonts w:ascii="宋体" w:eastAsia="宋体" w:hAnsi="宋体" w:cs="宋体" w:hint="eastAsia"/>
                <w:sz w:val="24"/>
              </w:rPr>
              <w:t>、</w:t>
            </w:r>
            <w:r w:rsidRPr="00636C2B">
              <w:rPr>
                <w:rFonts w:ascii="宋体" w:eastAsia="宋体" w:hAnsi="宋体" w:cs="宋体" w:hint="eastAsia"/>
                <w:sz w:val="24"/>
              </w:rPr>
              <w:t>西安江岳基金</w:t>
            </w:r>
            <w:r w:rsidR="00CD5A2D">
              <w:rPr>
                <w:rFonts w:ascii="宋体" w:eastAsia="宋体" w:hAnsi="宋体" w:cs="宋体" w:hint="eastAsia"/>
                <w:sz w:val="24"/>
              </w:rPr>
              <w:t>、</w:t>
            </w:r>
            <w:r w:rsidRPr="00636C2B">
              <w:rPr>
                <w:rFonts w:ascii="宋体" w:eastAsia="宋体" w:hAnsi="宋体" w:cs="宋体" w:hint="eastAsia"/>
                <w:sz w:val="24"/>
              </w:rPr>
              <w:t>上海彤源投资</w:t>
            </w:r>
            <w:r w:rsidR="00CD5A2D">
              <w:rPr>
                <w:rFonts w:ascii="宋体" w:eastAsia="宋体" w:hAnsi="宋体" w:cs="宋体" w:hint="eastAsia"/>
                <w:sz w:val="24"/>
              </w:rPr>
              <w:t>、</w:t>
            </w:r>
            <w:r w:rsidRPr="00636C2B">
              <w:rPr>
                <w:rFonts w:ascii="宋体" w:eastAsia="宋体" w:hAnsi="宋体" w:cs="宋体" w:hint="eastAsia"/>
                <w:sz w:val="24"/>
              </w:rPr>
              <w:t>鸿运私募基金</w:t>
            </w:r>
            <w:r w:rsidR="00CD5A2D">
              <w:rPr>
                <w:rFonts w:ascii="宋体" w:eastAsia="宋体" w:hAnsi="宋体" w:cs="宋体" w:hint="eastAsia"/>
                <w:sz w:val="24"/>
              </w:rPr>
              <w:t>、</w:t>
            </w:r>
            <w:r w:rsidRPr="00636C2B">
              <w:rPr>
                <w:rFonts w:ascii="宋体" w:eastAsia="宋体" w:hAnsi="宋体" w:cs="宋体" w:hint="eastAsia"/>
                <w:sz w:val="24"/>
              </w:rPr>
              <w:t>玄卜投资</w:t>
            </w:r>
            <w:r w:rsidR="00CD5A2D">
              <w:rPr>
                <w:rFonts w:ascii="宋体" w:eastAsia="宋体" w:hAnsi="宋体" w:cs="宋体" w:hint="eastAsia"/>
                <w:sz w:val="24"/>
              </w:rPr>
              <w:t>、</w:t>
            </w:r>
            <w:r w:rsidRPr="00636C2B">
              <w:rPr>
                <w:rFonts w:ascii="宋体" w:eastAsia="宋体" w:hAnsi="宋体" w:cs="宋体" w:hint="eastAsia"/>
                <w:sz w:val="24"/>
              </w:rPr>
              <w:t>深圳市银德投资</w:t>
            </w:r>
            <w:r w:rsidR="00CD5A2D">
              <w:rPr>
                <w:rFonts w:ascii="宋体" w:eastAsia="宋体" w:hAnsi="宋体" w:cs="宋体" w:hint="eastAsia"/>
                <w:sz w:val="24"/>
              </w:rPr>
              <w:t>、</w:t>
            </w:r>
            <w:r w:rsidRPr="00636C2B">
              <w:rPr>
                <w:rFonts w:ascii="宋体" w:eastAsia="宋体" w:hAnsi="宋体" w:cs="宋体" w:hint="eastAsia"/>
                <w:sz w:val="24"/>
              </w:rPr>
              <w:t>景合私募基金</w:t>
            </w:r>
            <w:r w:rsidR="00CD5A2D">
              <w:rPr>
                <w:rFonts w:ascii="宋体" w:eastAsia="宋体" w:hAnsi="宋体" w:cs="宋体" w:hint="eastAsia"/>
                <w:sz w:val="24"/>
              </w:rPr>
              <w:t>、</w:t>
            </w:r>
            <w:r w:rsidRPr="00636C2B">
              <w:rPr>
                <w:rFonts w:ascii="宋体" w:eastAsia="宋体" w:hAnsi="宋体" w:cs="宋体" w:hint="eastAsia"/>
                <w:sz w:val="24"/>
              </w:rPr>
              <w:t>大湾区发展基金</w:t>
            </w:r>
            <w:r w:rsidR="00CD5A2D">
              <w:rPr>
                <w:rFonts w:ascii="宋体" w:eastAsia="宋体" w:hAnsi="宋体" w:cs="宋体" w:hint="eastAsia"/>
                <w:sz w:val="24"/>
              </w:rPr>
              <w:t>、</w:t>
            </w:r>
            <w:r w:rsidRPr="00636C2B">
              <w:rPr>
                <w:rFonts w:ascii="宋体" w:eastAsia="宋体" w:hAnsi="宋体" w:cs="宋体" w:hint="eastAsia"/>
                <w:sz w:val="24"/>
              </w:rPr>
              <w:t>苏州凯恩资本</w:t>
            </w:r>
            <w:r w:rsidR="00CD5A2D">
              <w:rPr>
                <w:rFonts w:ascii="宋体" w:eastAsia="宋体" w:hAnsi="宋体" w:cs="宋体" w:hint="eastAsia"/>
                <w:sz w:val="24"/>
              </w:rPr>
              <w:t>、</w:t>
            </w:r>
            <w:r w:rsidRPr="00636C2B">
              <w:rPr>
                <w:rFonts w:ascii="宋体" w:eastAsia="宋体" w:hAnsi="宋体" w:cs="宋体" w:hint="eastAsia"/>
                <w:sz w:val="24"/>
              </w:rPr>
              <w:t>亚洲红马投资</w:t>
            </w:r>
            <w:r w:rsidR="00CD5A2D">
              <w:rPr>
                <w:rFonts w:ascii="宋体" w:eastAsia="宋体" w:hAnsi="宋体" w:cs="宋体" w:hint="eastAsia"/>
                <w:sz w:val="24"/>
              </w:rPr>
              <w:t>、</w:t>
            </w:r>
            <w:r w:rsidRPr="00636C2B">
              <w:rPr>
                <w:rFonts w:ascii="宋体" w:eastAsia="宋体" w:hAnsi="宋体" w:cs="宋体" w:hint="eastAsia"/>
                <w:sz w:val="24"/>
              </w:rPr>
              <w:t>金服资产管理</w:t>
            </w:r>
            <w:r w:rsidR="00CD5A2D">
              <w:rPr>
                <w:rFonts w:ascii="宋体" w:eastAsia="宋体" w:hAnsi="宋体" w:cs="宋体" w:hint="eastAsia"/>
                <w:sz w:val="24"/>
              </w:rPr>
              <w:t>、</w:t>
            </w:r>
            <w:r w:rsidRPr="00636C2B">
              <w:rPr>
                <w:rFonts w:ascii="宋体" w:eastAsia="宋体" w:hAnsi="宋体" w:cs="宋体" w:hint="eastAsia"/>
                <w:sz w:val="24"/>
              </w:rPr>
              <w:t>太平资产</w:t>
            </w:r>
            <w:r w:rsidR="00CD5A2D">
              <w:rPr>
                <w:rFonts w:ascii="宋体" w:eastAsia="宋体" w:hAnsi="宋体" w:cs="宋体" w:hint="eastAsia"/>
                <w:sz w:val="24"/>
              </w:rPr>
              <w:t>、</w:t>
            </w:r>
            <w:r w:rsidRPr="00636C2B">
              <w:rPr>
                <w:rFonts w:ascii="宋体" w:eastAsia="宋体" w:hAnsi="宋体" w:cs="宋体" w:hint="eastAsia"/>
                <w:sz w:val="24"/>
              </w:rPr>
              <w:t>上海歌汝私募基金</w:t>
            </w:r>
            <w:r w:rsidR="00CD5A2D">
              <w:rPr>
                <w:rFonts w:ascii="宋体" w:eastAsia="宋体" w:hAnsi="宋体" w:cs="宋体" w:hint="eastAsia"/>
                <w:sz w:val="24"/>
              </w:rPr>
              <w:t>、</w:t>
            </w:r>
            <w:r w:rsidRPr="00636C2B">
              <w:rPr>
                <w:rFonts w:ascii="宋体" w:eastAsia="宋体" w:hAnsi="宋体" w:cs="宋体" w:hint="eastAsia"/>
                <w:sz w:val="24"/>
              </w:rPr>
              <w:t>上海秦兵投资</w:t>
            </w:r>
            <w:r w:rsidR="00CD5A2D">
              <w:rPr>
                <w:rFonts w:ascii="宋体" w:eastAsia="宋体" w:hAnsi="宋体" w:cs="宋体" w:hint="eastAsia"/>
                <w:sz w:val="24"/>
              </w:rPr>
              <w:t>、</w:t>
            </w:r>
            <w:r w:rsidRPr="00636C2B">
              <w:rPr>
                <w:rFonts w:ascii="宋体" w:eastAsia="宋体" w:hAnsi="宋体" w:cs="宋体" w:hint="eastAsia"/>
                <w:sz w:val="24"/>
              </w:rPr>
              <w:t>上海煜德投资</w:t>
            </w:r>
            <w:r w:rsidR="00CD5A2D">
              <w:rPr>
                <w:rFonts w:ascii="宋体" w:eastAsia="宋体" w:hAnsi="宋体" w:cs="宋体" w:hint="eastAsia"/>
                <w:sz w:val="24"/>
              </w:rPr>
              <w:t>、</w:t>
            </w:r>
            <w:r w:rsidRPr="00636C2B">
              <w:rPr>
                <w:rFonts w:ascii="宋体" w:eastAsia="宋体" w:hAnsi="宋体" w:cs="宋体" w:hint="eastAsia"/>
                <w:sz w:val="24"/>
              </w:rPr>
              <w:t>上海景林资产</w:t>
            </w:r>
            <w:r w:rsidR="00CD5A2D">
              <w:rPr>
                <w:rFonts w:ascii="宋体" w:eastAsia="宋体" w:hAnsi="宋体" w:cs="宋体" w:hint="eastAsia"/>
                <w:sz w:val="24"/>
              </w:rPr>
              <w:t>、</w:t>
            </w:r>
            <w:r w:rsidRPr="00636C2B">
              <w:rPr>
                <w:rFonts w:ascii="宋体" w:eastAsia="宋体" w:hAnsi="宋体" w:cs="宋体" w:hint="eastAsia"/>
                <w:sz w:val="24"/>
              </w:rPr>
              <w:t>广州云禧私募证券投资基金</w:t>
            </w:r>
            <w:r w:rsidR="00CD5A2D">
              <w:rPr>
                <w:rFonts w:ascii="宋体" w:eastAsia="宋体" w:hAnsi="宋体" w:cs="宋体" w:hint="eastAsia"/>
                <w:sz w:val="24"/>
              </w:rPr>
              <w:t>、</w:t>
            </w:r>
            <w:r w:rsidRPr="00636C2B">
              <w:rPr>
                <w:rFonts w:ascii="宋体" w:eastAsia="宋体" w:hAnsi="宋体" w:cs="宋体" w:hint="eastAsia"/>
                <w:sz w:val="24"/>
              </w:rPr>
              <w:t>杭州华智融科投资</w:t>
            </w:r>
            <w:r w:rsidR="00CD5A2D">
              <w:rPr>
                <w:rFonts w:ascii="宋体" w:eastAsia="宋体" w:hAnsi="宋体" w:cs="宋体" w:hint="eastAsia"/>
                <w:sz w:val="24"/>
              </w:rPr>
              <w:t>、</w:t>
            </w:r>
            <w:r w:rsidRPr="00636C2B">
              <w:rPr>
                <w:rFonts w:ascii="宋体" w:eastAsia="宋体" w:hAnsi="宋体" w:cs="宋体" w:hint="eastAsia"/>
                <w:sz w:val="24"/>
              </w:rPr>
              <w:t>中银三星人寿保险</w:t>
            </w:r>
            <w:r w:rsidR="00CD5A2D">
              <w:rPr>
                <w:rFonts w:ascii="宋体" w:eastAsia="宋体" w:hAnsi="宋体" w:cs="宋体" w:hint="eastAsia"/>
                <w:sz w:val="24"/>
              </w:rPr>
              <w:t>、</w:t>
            </w:r>
            <w:r w:rsidRPr="00636C2B">
              <w:rPr>
                <w:rFonts w:ascii="宋体" w:eastAsia="宋体" w:hAnsi="宋体" w:cs="宋体" w:hint="eastAsia"/>
                <w:sz w:val="24"/>
              </w:rPr>
              <w:t>深圳格律诗私募</w:t>
            </w:r>
            <w:r w:rsidR="00CD5A2D">
              <w:rPr>
                <w:rFonts w:ascii="宋体" w:eastAsia="宋体" w:hAnsi="宋体" w:cs="宋体" w:hint="eastAsia"/>
                <w:sz w:val="24"/>
              </w:rPr>
              <w:t>、</w:t>
            </w:r>
            <w:r w:rsidRPr="00636C2B">
              <w:rPr>
                <w:rFonts w:ascii="宋体" w:eastAsia="宋体" w:hAnsi="宋体" w:cs="宋体" w:hint="eastAsia"/>
                <w:sz w:val="24"/>
              </w:rPr>
              <w:t>上海景林资产</w:t>
            </w:r>
            <w:r w:rsidR="00CD5A2D">
              <w:rPr>
                <w:rFonts w:ascii="宋体" w:eastAsia="宋体" w:hAnsi="宋体" w:cs="宋体" w:hint="eastAsia"/>
                <w:sz w:val="24"/>
              </w:rPr>
              <w:t>、</w:t>
            </w:r>
            <w:r w:rsidRPr="00636C2B">
              <w:rPr>
                <w:rFonts w:ascii="宋体" w:eastAsia="宋体" w:hAnsi="宋体" w:cs="宋体" w:hint="eastAsia"/>
                <w:sz w:val="24"/>
              </w:rPr>
              <w:t>ACE艾希资本</w:t>
            </w:r>
            <w:r w:rsidR="00CD5A2D">
              <w:rPr>
                <w:rFonts w:ascii="宋体" w:eastAsia="宋体" w:hAnsi="宋体" w:cs="宋体" w:hint="eastAsia"/>
                <w:sz w:val="24"/>
              </w:rPr>
              <w:t>、</w:t>
            </w:r>
            <w:r w:rsidRPr="00636C2B">
              <w:rPr>
                <w:rFonts w:ascii="宋体" w:eastAsia="宋体" w:hAnsi="宋体" w:cs="宋体" w:hint="eastAsia"/>
                <w:sz w:val="24"/>
              </w:rPr>
              <w:t>海链汇金</w:t>
            </w:r>
            <w:r w:rsidR="00CD5A2D">
              <w:rPr>
                <w:rFonts w:ascii="宋体" w:eastAsia="宋体" w:hAnsi="宋体" w:cs="宋体" w:hint="eastAsia"/>
                <w:sz w:val="24"/>
              </w:rPr>
              <w:t>、</w:t>
            </w:r>
            <w:r w:rsidRPr="00636C2B">
              <w:rPr>
                <w:rFonts w:ascii="宋体" w:eastAsia="宋体" w:hAnsi="宋体" w:cs="宋体" w:hint="eastAsia"/>
                <w:sz w:val="24"/>
              </w:rPr>
              <w:t>万得</w:t>
            </w:r>
            <w:r w:rsidR="00CD5A2D">
              <w:rPr>
                <w:rFonts w:ascii="宋体" w:eastAsia="宋体" w:hAnsi="宋体" w:cs="宋体" w:hint="eastAsia"/>
                <w:sz w:val="24"/>
              </w:rPr>
              <w:t>、</w:t>
            </w:r>
            <w:r w:rsidRPr="00636C2B">
              <w:rPr>
                <w:rFonts w:ascii="宋体" w:eastAsia="宋体" w:hAnsi="宋体" w:cs="宋体" w:hint="eastAsia"/>
                <w:sz w:val="24"/>
              </w:rPr>
              <w:t>华侨城(香港)有限公司</w:t>
            </w:r>
            <w:r w:rsidR="00CD5A2D">
              <w:rPr>
                <w:rFonts w:ascii="宋体" w:eastAsia="宋体" w:hAnsi="宋体" w:cs="宋体" w:hint="eastAsia"/>
                <w:sz w:val="24"/>
              </w:rPr>
              <w:t>、</w:t>
            </w:r>
            <w:r w:rsidR="00CD5A2D" w:rsidRPr="00CD5A2D">
              <w:rPr>
                <w:rFonts w:ascii="宋体" w:eastAsia="宋体" w:hAnsi="宋体" w:cs="宋体" w:hint="eastAsia"/>
                <w:sz w:val="24"/>
              </w:rPr>
              <w:t>磐泽资产</w:t>
            </w:r>
          </w:p>
        </w:tc>
      </w:tr>
      <w:tr w:rsidR="004D69C4" w14:paraId="2DAFE6A7" w14:textId="77777777" w:rsidTr="00A179CC">
        <w:trPr>
          <w:trHeight w:val="599"/>
        </w:trPr>
        <w:tc>
          <w:tcPr>
            <w:tcW w:w="2326" w:type="dxa"/>
            <w:vAlign w:val="center"/>
          </w:tcPr>
          <w:p w14:paraId="1CD258BE" w14:textId="77777777" w:rsidR="001D5CDA" w:rsidRDefault="00FA1EBC">
            <w:pPr>
              <w:spacing w:line="360" w:lineRule="auto"/>
              <w:rPr>
                <w:rFonts w:ascii="宋体" w:eastAsia="宋体" w:hAnsi="宋体" w:cs="宋体"/>
                <w:b/>
                <w:bCs/>
                <w:sz w:val="24"/>
              </w:rPr>
            </w:pPr>
            <w:r>
              <w:rPr>
                <w:rFonts w:ascii="宋体" w:eastAsia="宋体" w:hAnsi="宋体" w:cs="宋体" w:hint="eastAsia"/>
                <w:b/>
                <w:bCs/>
                <w:sz w:val="24"/>
              </w:rPr>
              <w:t>时间</w:t>
            </w:r>
          </w:p>
        </w:tc>
        <w:tc>
          <w:tcPr>
            <w:tcW w:w="5970" w:type="dxa"/>
            <w:vAlign w:val="center"/>
          </w:tcPr>
          <w:p w14:paraId="4CA33EE0" w14:textId="0A6B4986" w:rsidR="001D5CDA" w:rsidRPr="003065CA" w:rsidRDefault="008F72FE" w:rsidP="00CD5A2D">
            <w:pPr>
              <w:spacing w:line="360" w:lineRule="auto"/>
              <w:rPr>
                <w:rFonts w:ascii="宋体" w:eastAsia="宋体" w:hAnsi="宋体" w:cs="宋体"/>
                <w:sz w:val="24"/>
              </w:rPr>
            </w:pPr>
            <w:r w:rsidRPr="008F72FE">
              <w:rPr>
                <w:rFonts w:ascii="宋体" w:eastAsia="宋体" w:hAnsi="宋体" w:cs="宋体" w:hint="eastAsia"/>
                <w:sz w:val="24"/>
              </w:rPr>
              <w:t>2026年7月</w:t>
            </w:r>
            <w:r w:rsidR="00636C2B">
              <w:rPr>
                <w:rFonts w:ascii="宋体" w:eastAsia="宋体" w:hAnsi="宋体" w:cs="宋体"/>
                <w:sz w:val="24"/>
              </w:rPr>
              <w:t>26</w:t>
            </w:r>
            <w:r w:rsidRPr="008F72FE">
              <w:rPr>
                <w:rFonts w:ascii="宋体" w:eastAsia="宋体" w:hAnsi="宋体" w:cs="宋体" w:hint="eastAsia"/>
                <w:sz w:val="24"/>
              </w:rPr>
              <w:t>日</w:t>
            </w:r>
          </w:p>
        </w:tc>
      </w:tr>
      <w:tr w:rsidR="004D69C4" w14:paraId="425CBD16" w14:textId="77777777" w:rsidTr="00A179CC">
        <w:trPr>
          <w:trHeight w:val="604"/>
        </w:trPr>
        <w:tc>
          <w:tcPr>
            <w:tcW w:w="2326" w:type="dxa"/>
            <w:vAlign w:val="center"/>
          </w:tcPr>
          <w:p w14:paraId="50304EE3" w14:textId="77777777" w:rsidR="001D5CDA" w:rsidRDefault="003A39C0">
            <w:pPr>
              <w:spacing w:line="360" w:lineRule="auto"/>
              <w:rPr>
                <w:rFonts w:ascii="宋体" w:eastAsia="宋体" w:hAnsi="宋体" w:cs="宋体"/>
                <w:b/>
                <w:bCs/>
                <w:sz w:val="24"/>
              </w:rPr>
            </w:pPr>
            <w:r>
              <w:rPr>
                <w:rFonts w:ascii="宋体" w:eastAsia="宋体" w:hAnsi="宋体" w:cs="宋体" w:hint="eastAsia"/>
                <w:b/>
                <w:bCs/>
                <w:sz w:val="24"/>
              </w:rPr>
              <w:t>地点</w:t>
            </w:r>
          </w:p>
        </w:tc>
        <w:tc>
          <w:tcPr>
            <w:tcW w:w="5970" w:type="dxa"/>
            <w:vAlign w:val="center"/>
          </w:tcPr>
          <w:p w14:paraId="684F3979" w14:textId="16055B18" w:rsidR="001D5CDA" w:rsidRDefault="00636C2B" w:rsidP="003065CA">
            <w:pPr>
              <w:wordWrap w:val="0"/>
              <w:spacing w:line="360" w:lineRule="auto"/>
              <w:rPr>
                <w:rFonts w:ascii="宋体" w:eastAsia="宋体" w:hAnsi="宋体" w:cs="宋体"/>
                <w:sz w:val="24"/>
              </w:rPr>
            </w:pPr>
            <w:r>
              <w:rPr>
                <w:rFonts w:ascii="宋体" w:eastAsia="宋体" w:hAnsi="宋体" w:cs="宋体" w:hint="eastAsia"/>
                <w:sz w:val="24"/>
              </w:rPr>
              <w:t>泛亚微透</w:t>
            </w:r>
            <w:r w:rsidR="008F72FE">
              <w:rPr>
                <w:rFonts w:ascii="宋体" w:eastAsia="宋体" w:hAnsi="宋体" w:cs="宋体" w:hint="eastAsia"/>
                <w:sz w:val="24"/>
              </w:rPr>
              <w:t>公司（</w:t>
            </w:r>
            <w:r>
              <w:rPr>
                <w:rFonts w:ascii="宋体" w:eastAsia="宋体" w:hAnsi="宋体" w:cs="宋体" w:hint="eastAsia"/>
                <w:sz w:val="24"/>
              </w:rPr>
              <w:t>江苏省常州市武进东大道6</w:t>
            </w:r>
            <w:r>
              <w:rPr>
                <w:rFonts w:ascii="宋体" w:eastAsia="宋体" w:hAnsi="宋体" w:cs="宋体"/>
                <w:sz w:val="24"/>
              </w:rPr>
              <w:t>25</w:t>
            </w:r>
            <w:r w:rsidR="008F72FE">
              <w:rPr>
                <w:rFonts w:ascii="宋体" w:eastAsia="宋体" w:hAnsi="宋体" w:cs="宋体" w:hint="eastAsia"/>
                <w:sz w:val="24"/>
              </w:rPr>
              <w:t>）</w:t>
            </w:r>
          </w:p>
        </w:tc>
      </w:tr>
      <w:tr w:rsidR="004D69C4" w14:paraId="77AF91A1" w14:textId="77777777" w:rsidTr="00A179CC">
        <w:trPr>
          <w:trHeight w:val="603"/>
        </w:trPr>
        <w:tc>
          <w:tcPr>
            <w:tcW w:w="2326" w:type="dxa"/>
            <w:vAlign w:val="center"/>
          </w:tcPr>
          <w:p w14:paraId="7ACEBE92" w14:textId="77777777" w:rsidR="001D5CDA" w:rsidRDefault="00FA1EBC">
            <w:pPr>
              <w:spacing w:line="360" w:lineRule="auto"/>
              <w:rPr>
                <w:rFonts w:ascii="宋体" w:eastAsia="宋体" w:hAnsi="宋体" w:cs="宋体"/>
                <w:b/>
                <w:bCs/>
                <w:sz w:val="24"/>
              </w:rPr>
            </w:pPr>
            <w:r>
              <w:rPr>
                <w:rFonts w:ascii="宋体" w:eastAsia="宋体" w:hAnsi="宋体" w:cs="宋体" w:hint="eastAsia"/>
                <w:b/>
                <w:bCs/>
                <w:sz w:val="24"/>
              </w:rPr>
              <w:t>上市公司接待人员</w:t>
            </w:r>
          </w:p>
        </w:tc>
        <w:tc>
          <w:tcPr>
            <w:tcW w:w="5970" w:type="dxa"/>
            <w:vAlign w:val="center"/>
          </w:tcPr>
          <w:p w14:paraId="712370E9" w14:textId="311D92EC" w:rsidR="003479D7" w:rsidRPr="00784D9E" w:rsidRDefault="00636C2B" w:rsidP="003065CA">
            <w:pPr>
              <w:spacing w:line="360" w:lineRule="auto"/>
              <w:rPr>
                <w:rFonts w:ascii="宋体" w:eastAsia="宋体" w:hAnsi="宋体" w:cs="宋体"/>
                <w:sz w:val="24"/>
              </w:rPr>
            </w:pPr>
            <w:r>
              <w:rPr>
                <w:rFonts w:ascii="宋体" w:eastAsia="宋体" w:hAnsi="宋体" w:cs="宋体" w:hint="eastAsia"/>
                <w:sz w:val="24"/>
              </w:rPr>
              <w:t>董事长兼总经理张云、董秘王少华</w:t>
            </w:r>
          </w:p>
        </w:tc>
      </w:tr>
      <w:tr w:rsidR="004D69C4" w14:paraId="2813E315" w14:textId="77777777" w:rsidTr="00B83124">
        <w:trPr>
          <w:trHeight w:val="1975"/>
        </w:trPr>
        <w:tc>
          <w:tcPr>
            <w:tcW w:w="2326" w:type="dxa"/>
            <w:vAlign w:val="center"/>
          </w:tcPr>
          <w:p w14:paraId="2572B86A" w14:textId="77777777" w:rsidR="001D5CDA" w:rsidRDefault="00FA1EBC">
            <w:pPr>
              <w:spacing w:line="360" w:lineRule="auto"/>
              <w:rPr>
                <w:rFonts w:ascii="宋体" w:eastAsia="宋体" w:hAnsi="宋体" w:cs="宋体"/>
                <w:b/>
                <w:bCs/>
                <w:sz w:val="24"/>
              </w:rPr>
            </w:pPr>
            <w:r>
              <w:rPr>
                <w:rFonts w:ascii="宋体" w:eastAsia="宋体" w:hAnsi="宋体" w:cs="宋体"/>
                <w:b/>
                <w:bCs/>
                <w:sz w:val="24"/>
              </w:rPr>
              <w:lastRenderedPageBreak/>
              <w:t>投资者关系活动</w:t>
            </w:r>
          </w:p>
          <w:p w14:paraId="3D1975C7" w14:textId="77777777" w:rsidR="001D5CDA" w:rsidRDefault="00FA1EBC">
            <w:pPr>
              <w:spacing w:line="360" w:lineRule="auto"/>
              <w:rPr>
                <w:rFonts w:ascii="宋体" w:eastAsia="宋体" w:hAnsi="宋体" w:cs="宋体"/>
                <w:sz w:val="24"/>
              </w:rPr>
            </w:pPr>
            <w:r>
              <w:rPr>
                <w:rFonts w:ascii="宋体" w:eastAsia="宋体" w:hAnsi="宋体" w:cs="宋体"/>
                <w:b/>
                <w:bCs/>
                <w:sz w:val="24"/>
              </w:rPr>
              <w:t>主要内容</w:t>
            </w:r>
          </w:p>
        </w:tc>
        <w:tc>
          <w:tcPr>
            <w:tcW w:w="5970" w:type="dxa"/>
            <w:vAlign w:val="center"/>
          </w:tcPr>
          <w:p w14:paraId="5FA390F5" w14:textId="24B1833E" w:rsidR="005716B2" w:rsidRPr="008F72FE" w:rsidRDefault="005716B2" w:rsidP="008F72FE">
            <w:pPr>
              <w:pStyle w:val="a6"/>
              <w:numPr>
                <w:ilvl w:val="0"/>
                <w:numId w:val="5"/>
              </w:numPr>
              <w:spacing w:line="360" w:lineRule="auto"/>
              <w:ind w:firstLineChars="0"/>
              <w:rPr>
                <w:rFonts w:ascii="宋体" w:eastAsia="宋体" w:hAnsi="宋体" w:cs="宋体"/>
                <w:b/>
                <w:bCs/>
                <w:sz w:val="24"/>
              </w:rPr>
            </w:pPr>
            <w:r w:rsidRPr="008F72FE">
              <w:rPr>
                <w:rFonts w:ascii="宋体" w:eastAsia="宋体" w:hAnsi="宋体" w:cs="宋体" w:hint="eastAsia"/>
                <w:b/>
                <w:bCs/>
                <w:sz w:val="24"/>
              </w:rPr>
              <w:t>公司基本情况介绍。</w:t>
            </w:r>
          </w:p>
          <w:p w14:paraId="5C9DF85C" w14:textId="06BC8E9E" w:rsidR="00BA1E03" w:rsidRPr="00784D9E" w:rsidRDefault="005716B2" w:rsidP="00BA1E03">
            <w:pPr>
              <w:spacing w:line="360" w:lineRule="auto"/>
              <w:ind w:firstLine="482"/>
              <w:rPr>
                <w:rFonts w:ascii="宋体" w:eastAsia="宋体" w:hAnsi="宋体" w:cs="宋体"/>
                <w:b/>
                <w:bCs/>
                <w:sz w:val="24"/>
              </w:rPr>
            </w:pPr>
            <w:r>
              <w:rPr>
                <w:rFonts w:ascii="宋体" w:eastAsia="宋体" w:hAnsi="宋体" w:cs="宋体" w:hint="eastAsia"/>
                <w:b/>
                <w:bCs/>
                <w:sz w:val="24"/>
              </w:rPr>
              <w:t>二</w:t>
            </w:r>
            <w:r w:rsidR="00BA1E03" w:rsidRPr="00784D9E">
              <w:rPr>
                <w:rFonts w:ascii="宋体" w:eastAsia="宋体" w:hAnsi="宋体" w:cs="宋体" w:hint="eastAsia"/>
                <w:b/>
                <w:bCs/>
                <w:sz w:val="24"/>
              </w:rPr>
              <w:t>、问答及交流</w:t>
            </w:r>
          </w:p>
          <w:p w14:paraId="0531D172" w14:textId="37407340" w:rsidR="00A179CC" w:rsidRDefault="00CD5A2D" w:rsidP="00A179CC">
            <w:pPr>
              <w:spacing w:line="360" w:lineRule="auto"/>
              <w:ind w:firstLineChars="200" w:firstLine="480"/>
              <w:rPr>
                <w:rFonts w:ascii="宋体" w:eastAsia="宋体" w:hAnsi="宋体" w:cs="宋体"/>
                <w:sz w:val="24"/>
              </w:rPr>
            </w:pPr>
            <w:r>
              <w:rPr>
                <w:rFonts w:ascii="宋体" w:eastAsia="宋体" w:hAnsi="宋体" w:cs="宋体" w:hint="eastAsia"/>
                <w:sz w:val="24"/>
              </w:rPr>
              <w:t>1、请介绍下本次收购天缘股份的情况。</w:t>
            </w:r>
          </w:p>
          <w:p w14:paraId="633A376B" w14:textId="370663DA" w:rsidR="00CD5A2D" w:rsidRDefault="007D716C" w:rsidP="00A179CC">
            <w:pPr>
              <w:spacing w:line="360" w:lineRule="auto"/>
              <w:ind w:firstLineChars="200" w:firstLine="480"/>
              <w:rPr>
                <w:rFonts w:ascii="宋体" w:eastAsia="宋体" w:hAnsi="宋体" w:cs="宋体"/>
                <w:sz w:val="24"/>
              </w:rPr>
            </w:pPr>
            <w:r>
              <w:rPr>
                <w:rFonts w:ascii="宋体" w:eastAsia="宋体" w:hAnsi="宋体" w:cs="宋体" w:hint="eastAsia"/>
                <w:sz w:val="24"/>
              </w:rPr>
              <w:t>答：</w:t>
            </w:r>
            <w:r w:rsidR="00CD5A2D" w:rsidRPr="00CD5A2D">
              <w:rPr>
                <w:rFonts w:ascii="宋体" w:eastAsia="宋体" w:hAnsi="宋体" w:cs="宋体" w:hint="eastAsia"/>
                <w:sz w:val="24"/>
              </w:rPr>
              <w:t>PI膜被誉为“黄金薄膜”，凭借耐高温、高绝缘、低介电、耐老化、柔性佳、抗辐射等优异综合性能，适配高端精密制造场景，下游覆盖电子信息、新能源、高端装备、航空航天、前沿科技等多个高景气赛道</w:t>
            </w:r>
            <w:r w:rsidR="00773178">
              <w:rPr>
                <w:rFonts w:ascii="宋体" w:eastAsia="宋体" w:hAnsi="宋体" w:cs="宋体" w:hint="eastAsia"/>
                <w:sz w:val="24"/>
              </w:rPr>
              <w:t>。</w:t>
            </w:r>
          </w:p>
          <w:p w14:paraId="3E4902CB" w14:textId="60A075E6" w:rsidR="00B1519B" w:rsidRDefault="00B1519B" w:rsidP="00B1519B">
            <w:pPr>
              <w:spacing w:line="360" w:lineRule="auto"/>
              <w:ind w:firstLineChars="200" w:firstLine="480"/>
              <w:rPr>
                <w:rFonts w:ascii="宋体" w:eastAsia="宋体" w:hAnsi="宋体" w:cs="宋体"/>
                <w:sz w:val="24"/>
              </w:rPr>
            </w:pPr>
            <w:r>
              <w:rPr>
                <w:rFonts w:ascii="宋体" w:eastAsia="宋体" w:hAnsi="宋体" w:cs="宋体" w:hint="eastAsia"/>
                <w:sz w:val="24"/>
              </w:rPr>
              <w:t>天缘股份</w:t>
            </w:r>
            <w:r w:rsidRPr="00B1519B">
              <w:rPr>
                <w:rFonts w:ascii="宋体" w:eastAsia="宋体" w:hAnsi="宋体" w:cs="宋体" w:hint="eastAsia"/>
                <w:sz w:val="24"/>
              </w:rPr>
              <w:t>专注于</w:t>
            </w:r>
            <w:r w:rsidR="00773178">
              <w:rPr>
                <w:rFonts w:ascii="宋体" w:eastAsia="宋体" w:hAnsi="宋体" w:cs="宋体" w:hint="eastAsia"/>
                <w:sz w:val="24"/>
              </w:rPr>
              <w:t>高性能</w:t>
            </w:r>
            <w:r w:rsidRPr="00B1519B">
              <w:rPr>
                <w:rFonts w:ascii="宋体" w:eastAsia="宋体" w:hAnsi="宋体" w:cs="宋体" w:hint="eastAsia"/>
                <w:sz w:val="24"/>
              </w:rPr>
              <w:t>聚酰亚胺（PI）薄膜及系列功能性衍生品的研发、生产与销售，是国内聚酰亚胺特种薄膜领域具备核心自主创新能力的高新技术企业、国家级专精特新小巨人企业</w:t>
            </w:r>
            <w:r>
              <w:rPr>
                <w:rFonts w:ascii="宋体" w:eastAsia="宋体" w:hAnsi="宋体" w:cs="宋体" w:hint="eastAsia"/>
                <w:sz w:val="24"/>
              </w:rPr>
              <w:t>，</w:t>
            </w:r>
            <w:r w:rsidR="008F5205" w:rsidRPr="008F5205">
              <w:rPr>
                <w:rFonts w:ascii="宋体" w:eastAsia="宋体" w:hAnsi="宋体" w:cs="宋体" w:hint="eastAsia"/>
                <w:sz w:val="24"/>
              </w:rPr>
              <w:t>团队在PI领域拥有30年以上经验</w:t>
            </w:r>
            <w:r w:rsidR="00773178">
              <w:rPr>
                <w:rFonts w:ascii="宋体" w:eastAsia="宋体" w:hAnsi="宋体" w:cs="宋体" w:hint="eastAsia"/>
                <w:sz w:val="24"/>
              </w:rPr>
              <w:t>，</w:t>
            </w:r>
            <w:r w:rsidRPr="00B1519B">
              <w:rPr>
                <w:rFonts w:ascii="宋体" w:eastAsia="宋体" w:hAnsi="宋体" w:cs="宋体" w:hint="eastAsia"/>
                <w:sz w:val="24"/>
              </w:rPr>
              <w:t>围绕聚酰亚胺薄膜改性配方、精密生产工艺、功能性产品迭代、智能化生产优化等方向，积累了多项核心专利技术，覆盖高导热聚酰亚胺薄膜、耐电晕绝缘薄膜、透明柔性PI薄膜、高耐压黑色功能薄膜等核心产品领域。泛亚微透原有核心业务聚焦ePTFE微透膜、气凝胶、CMD等功能性新材料</w:t>
            </w:r>
            <w:r w:rsidR="00773178">
              <w:rPr>
                <w:rFonts w:ascii="宋体" w:eastAsia="宋体" w:hAnsi="宋体" w:cs="宋体" w:hint="eastAsia"/>
                <w:sz w:val="24"/>
              </w:rPr>
              <w:t>和器件</w:t>
            </w:r>
            <w:r w:rsidRPr="00B1519B">
              <w:rPr>
                <w:rFonts w:ascii="宋体" w:eastAsia="宋体" w:hAnsi="宋体" w:cs="宋体" w:hint="eastAsia"/>
                <w:sz w:val="24"/>
              </w:rPr>
              <w:t>，产品主要覆盖消费电子、</w:t>
            </w:r>
            <w:r w:rsidR="0022114D">
              <w:rPr>
                <w:rFonts w:ascii="宋体" w:eastAsia="宋体" w:hAnsi="宋体" w:cs="宋体" w:hint="eastAsia"/>
                <w:sz w:val="24"/>
              </w:rPr>
              <w:t>智能</w:t>
            </w:r>
            <w:r w:rsidR="00773178">
              <w:rPr>
                <w:rFonts w:ascii="宋体" w:eastAsia="宋体" w:hAnsi="宋体" w:cs="宋体" w:hint="eastAsia"/>
                <w:sz w:val="24"/>
              </w:rPr>
              <w:t>驾驶</w:t>
            </w:r>
            <w:r w:rsidRPr="00B1519B">
              <w:rPr>
                <w:rFonts w:ascii="宋体" w:eastAsia="宋体" w:hAnsi="宋体" w:cs="宋体" w:hint="eastAsia"/>
                <w:sz w:val="24"/>
              </w:rPr>
              <w:t>、光伏、储能等领域。</w:t>
            </w:r>
            <w:r w:rsidR="008F5205">
              <w:rPr>
                <w:rFonts w:ascii="宋体" w:eastAsia="宋体" w:hAnsi="宋体" w:cs="宋体" w:hint="eastAsia"/>
                <w:sz w:val="24"/>
              </w:rPr>
              <w:t>公司本次拟收购天缘股份5</w:t>
            </w:r>
            <w:r w:rsidR="008F5205">
              <w:rPr>
                <w:rFonts w:ascii="宋体" w:eastAsia="宋体" w:hAnsi="宋体" w:cs="宋体"/>
                <w:sz w:val="24"/>
              </w:rPr>
              <w:t>4%的股份，获得控股权，</w:t>
            </w:r>
            <w:r>
              <w:rPr>
                <w:rFonts w:ascii="宋体" w:eastAsia="宋体" w:hAnsi="宋体" w:cs="宋体" w:hint="eastAsia"/>
                <w:sz w:val="24"/>
              </w:rPr>
              <w:t>通过</w:t>
            </w:r>
            <w:r w:rsidRPr="00B1519B">
              <w:rPr>
                <w:rFonts w:ascii="宋体" w:eastAsia="宋体" w:hAnsi="宋体" w:cs="宋体" w:hint="eastAsia"/>
                <w:sz w:val="24"/>
              </w:rPr>
              <w:t>本次收购，公司切入聚酰亚胺高端材料赛道，补齐了公司在高性能高分子薄膜、特种绝缘材料领域的业务空白。PI材料与公司现有气凝胶、ePTFE产品具备极强的场景协同性，可叠加应用于高端新能源设备、航空航天配件、精密电子元器件、高端隔热绝缘组件等场景，形成“微透材料+气凝胶+PI高端材料”的多元化高端材料矩阵，大幅拓宽公司业务边界和下游应用场景，摆脱对单一细分赛道的依赖，夯实多品类、高壁垒的新材料企业定位。</w:t>
            </w:r>
          </w:p>
          <w:p w14:paraId="38CEC593" w14:textId="3A497E77" w:rsidR="008F5205" w:rsidRDefault="007D716C" w:rsidP="00B1519B">
            <w:pPr>
              <w:spacing w:line="360" w:lineRule="auto"/>
              <w:ind w:firstLineChars="200" w:firstLine="480"/>
              <w:rPr>
                <w:rFonts w:ascii="宋体" w:eastAsia="宋体" w:hAnsi="宋体" w:cs="宋体"/>
                <w:sz w:val="24"/>
              </w:rPr>
            </w:pPr>
            <w:r>
              <w:rPr>
                <w:rFonts w:ascii="宋体" w:eastAsia="宋体" w:hAnsi="宋体" w:cs="宋体"/>
                <w:sz w:val="24"/>
              </w:rPr>
              <w:t>2、</w:t>
            </w:r>
            <w:r w:rsidR="008F5205">
              <w:rPr>
                <w:rFonts w:ascii="宋体" w:eastAsia="宋体" w:hAnsi="宋体" w:cs="宋体" w:hint="eastAsia"/>
                <w:sz w:val="24"/>
              </w:rPr>
              <w:t>泛亚微透</w:t>
            </w:r>
            <w:r>
              <w:rPr>
                <w:rFonts w:ascii="宋体" w:eastAsia="宋体" w:hAnsi="宋体" w:cs="宋体" w:hint="eastAsia"/>
                <w:sz w:val="24"/>
              </w:rPr>
              <w:t>上市以来已开展多次外延并购，请介绍下</w:t>
            </w:r>
            <w:r w:rsidR="008F5205" w:rsidRPr="008F5205">
              <w:rPr>
                <w:rFonts w:ascii="宋体" w:eastAsia="宋体" w:hAnsi="宋体" w:cs="宋体" w:hint="eastAsia"/>
                <w:sz w:val="24"/>
              </w:rPr>
              <w:t>外延并购战略与过往并购成果</w:t>
            </w:r>
          </w:p>
          <w:p w14:paraId="1393AE38" w14:textId="3CC7545D" w:rsidR="008F5205" w:rsidRDefault="007D716C" w:rsidP="007D716C">
            <w:pPr>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答：</w:t>
            </w:r>
            <w:r w:rsidR="008F5205" w:rsidRPr="008F5205">
              <w:rPr>
                <w:rFonts w:ascii="宋体" w:eastAsia="宋体" w:hAnsi="宋体" w:cs="宋体" w:hint="eastAsia"/>
                <w:sz w:val="24"/>
              </w:rPr>
              <w:t>泛亚微透长期坚持“内生研发+外延并购”双轮驱动的平台化发展战略，核心依托自身ePTFE微透膜、气凝胶材料技术底座，不走盲目多元化扩张路线，不跨界并购、不开展“蛇吞象”类并购</w:t>
            </w:r>
            <w:r>
              <w:rPr>
                <w:rFonts w:ascii="宋体" w:eastAsia="宋体" w:hAnsi="宋体" w:cs="宋体" w:hint="eastAsia"/>
                <w:sz w:val="24"/>
              </w:rPr>
              <w:t>，</w:t>
            </w:r>
            <w:r w:rsidR="008F5205" w:rsidRPr="008F5205">
              <w:rPr>
                <w:rFonts w:ascii="宋体" w:eastAsia="宋体" w:hAnsi="宋体" w:cs="宋体" w:hint="eastAsia"/>
                <w:sz w:val="24"/>
              </w:rPr>
              <w:t>聚焦高端功能性新材料横向拓展、高壁垒下游场景纵向延伸的精准并购路线。公司战略核心逻辑为：以并购补技术短板、拓高端赛道、拿稀缺资质与客户资源，快速补齐单一材料依赖短板，逐步对标国际头部新材料企业，打造多品类、高协同、高壁垒的高端新材料平台，持续推进进口替代，打开长期成长空间。</w:t>
            </w:r>
            <w:r>
              <w:rPr>
                <w:rFonts w:ascii="宋体" w:eastAsia="宋体" w:hAnsi="宋体" w:cs="宋体" w:hint="eastAsia"/>
                <w:sz w:val="24"/>
              </w:rPr>
              <w:t>2</w:t>
            </w:r>
            <w:r>
              <w:rPr>
                <w:rFonts w:ascii="宋体" w:eastAsia="宋体" w:hAnsi="宋体" w:cs="宋体"/>
                <w:sz w:val="24"/>
              </w:rPr>
              <w:t>021年公司通过现金方式收购了大音希声</w:t>
            </w:r>
            <w:r>
              <w:rPr>
                <w:rFonts w:ascii="宋体" w:eastAsia="宋体" w:hAnsi="宋体" w:cs="宋体" w:hint="eastAsia"/>
                <w:sz w:val="24"/>
              </w:rPr>
              <w:t>6</w:t>
            </w:r>
            <w:r>
              <w:rPr>
                <w:rFonts w:ascii="宋体" w:eastAsia="宋体" w:hAnsi="宋体" w:cs="宋体"/>
                <w:sz w:val="24"/>
              </w:rPr>
              <w:t>0%的股权</w:t>
            </w:r>
            <w:r w:rsidRPr="007D716C">
              <w:rPr>
                <w:rFonts w:ascii="宋体" w:eastAsia="宋体" w:hAnsi="宋体" w:cs="宋体" w:hint="eastAsia"/>
                <w:sz w:val="24"/>
              </w:rPr>
              <w:t>成功将气凝胶产品应用场景延伸至舰船隔热防护等高壁垒领域，大幅提升气凝胶业务的产品附加值，实现民用材料向军工高端市场的突破，完善公司隔热防护材料的全场景布局。</w:t>
            </w:r>
            <w:r>
              <w:rPr>
                <w:rFonts w:ascii="宋体" w:eastAsia="宋体" w:hAnsi="宋体" w:cs="宋体" w:hint="eastAsia"/>
                <w:sz w:val="24"/>
              </w:rPr>
              <w:t>2</w:t>
            </w:r>
            <w:r>
              <w:rPr>
                <w:rFonts w:ascii="宋体" w:eastAsia="宋体" w:hAnsi="宋体" w:cs="宋体"/>
                <w:sz w:val="24"/>
              </w:rPr>
              <w:t>023年及2025年通过增资方式控股了凌天达，</w:t>
            </w:r>
            <w:r w:rsidRPr="007D716C">
              <w:rPr>
                <w:rFonts w:ascii="宋体" w:eastAsia="宋体" w:hAnsi="宋体" w:cs="宋体" w:hint="eastAsia"/>
                <w:sz w:val="24"/>
              </w:rPr>
              <w:t>切入航空航天、高能物理领域高性能线缆、连接器赛道。凌天达主营高端特种线缆、线束连接器，适配航天、航空、高端工业装备的耐高温、高绝缘、高可靠工况，与公司隔热、绝缘材料形成极强的产品协同与场景互补。本次收购PI</w:t>
            </w:r>
            <w:r>
              <w:rPr>
                <w:rFonts w:ascii="宋体" w:eastAsia="宋体" w:hAnsi="宋体" w:cs="宋体" w:hint="eastAsia"/>
                <w:sz w:val="24"/>
              </w:rPr>
              <w:t>标的公司</w:t>
            </w:r>
            <w:r w:rsidRPr="007D716C">
              <w:rPr>
                <w:rFonts w:ascii="宋体" w:eastAsia="宋体" w:hAnsi="宋体" w:cs="宋体" w:hint="eastAsia"/>
                <w:sz w:val="24"/>
              </w:rPr>
              <w:t>，是公司外延并购战略的延续与升级。过往并购实现了气凝胶军工化、线缆航天化，本次并购补齐高端高分子绝缘薄膜材料核心短板，填补公司在PI高端薄膜、特种绝缘基材的业务空白。</w:t>
            </w:r>
          </w:p>
          <w:p w14:paraId="6059A366" w14:textId="77777777" w:rsidR="007D716C" w:rsidRDefault="007D716C" w:rsidP="007D716C">
            <w:pPr>
              <w:spacing w:line="360" w:lineRule="auto"/>
              <w:ind w:firstLineChars="200" w:firstLine="480"/>
              <w:rPr>
                <w:rFonts w:ascii="宋体" w:eastAsia="宋体" w:hAnsi="宋体" w:cs="宋体"/>
                <w:sz w:val="24"/>
              </w:rPr>
            </w:pPr>
            <w:r>
              <w:rPr>
                <w:rFonts w:ascii="宋体" w:eastAsia="宋体" w:hAnsi="宋体" w:cs="宋体" w:hint="eastAsia"/>
                <w:sz w:val="24"/>
              </w:rPr>
              <w:t>3、请介绍下公司的FCCL产品的应用及项目进展情况</w:t>
            </w:r>
          </w:p>
          <w:p w14:paraId="7904732C" w14:textId="033A382F" w:rsidR="00E959D5" w:rsidRDefault="007D716C" w:rsidP="007D716C">
            <w:pPr>
              <w:spacing w:line="360" w:lineRule="auto"/>
              <w:ind w:firstLineChars="200" w:firstLine="480"/>
              <w:rPr>
                <w:rFonts w:ascii="宋体" w:eastAsia="宋体" w:hAnsi="宋体" w:cs="宋体"/>
                <w:sz w:val="24"/>
              </w:rPr>
            </w:pPr>
            <w:r>
              <w:rPr>
                <w:rFonts w:ascii="宋体" w:eastAsia="宋体" w:hAnsi="宋体" w:cs="宋体"/>
                <w:sz w:val="24"/>
              </w:rPr>
              <w:t>答：公司</w:t>
            </w:r>
            <w:r w:rsidRPr="007D716C">
              <w:rPr>
                <w:rFonts w:ascii="宋体" w:eastAsia="宋体" w:hAnsi="宋体" w:cs="宋体"/>
                <w:sz w:val="24"/>
              </w:rPr>
              <w:t>依托自主研发的“氟改性PI+ePTFE”复合技术与无胶粘结卷对卷核心工艺，</w:t>
            </w:r>
            <w:r w:rsidR="00E959D5">
              <w:rPr>
                <w:rFonts w:ascii="宋体" w:eastAsia="宋体" w:hAnsi="宋体" w:cs="宋体"/>
                <w:sz w:val="24"/>
              </w:rPr>
              <w:t>开发了</w:t>
            </w:r>
            <w:r w:rsidR="00E959D5" w:rsidRPr="007D716C">
              <w:rPr>
                <w:rFonts w:ascii="宋体" w:eastAsia="宋体" w:hAnsi="宋体" w:cs="宋体"/>
                <w:sz w:val="24"/>
              </w:rPr>
              <w:t>高端二层无胶柔性覆铜板产品，</w:t>
            </w:r>
            <w:r w:rsidR="00E959D5">
              <w:rPr>
                <w:rFonts w:ascii="宋体" w:eastAsia="宋体" w:hAnsi="宋体" w:cs="宋体"/>
                <w:sz w:val="24"/>
              </w:rPr>
              <w:t>该产品</w:t>
            </w:r>
            <w:r w:rsidRPr="007D716C">
              <w:rPr>
                <w:rFonts w:ascii="宋体" w:eastAsia="宋体" w:hAnsi="宋体" w:cs="宋体"/>
                <w:sz w:val="24"/>
              </w:rPr>
              <w:t>突破了传统三层FCCL介电损耗高、传统二层FCCL稳定性不足的技术瓶颈，具备低介</w:t>
            </w:r>
            <w:r w:rsidRPr="007D716C">
              <w:rPr>
                <w:rFonts w:ascii="宋体" w:eastAsia="宋体" w:hAnsi="宋体" w:cs="宋体"/>
                <w:sz w:val="24"/>
              </w:rPr>
              <w:lastRenderedPageBreak/>
              <w:t>电常数、低介电损耗、低线性膨胀系数、高耐弯曲、抗电磁干扰、尺寸稳定性优异等核心特性，精准适配高频高速、高精度、高可靠性的高端电子制造需求</w:t>
            </w:r>
            <w:r w:rsidR="00E959D5">
              <w:rPr>
                <w:rFonts w:ascii="宋体" w:eastAsia="宋体" w:hAnsi="宋体" w:cs="宋体"/>
                <w:sz w:val="24"/>
              </w:rPr>
              <w:t>。</w:t>
            </w:r>
            <w:r w:rsidR="00E959D5" w:rsidRPr="00E959D5">
              <w:rPr>
                <w:rFonts w:ascii="宋体" w:eastAsia="宋体" w:hAnsi="宋体" w:cs="宋体" w:hint="eastAsia"/>
                <w:sz w:val="24"/>
              </w:rPr>
              <w:t>可应用于AI智能终端、算力服务器高频柔性电路板、智能物联网传感终端、工业自动化智能控制设备等。</w:t>
            </w:r>
            <w:r w:rsidR="00E959D5">
              <w:rPr>
                <w:rFonts w:ascii="宋体" w:eastAsia="宋体" w:hAnsi="宋体" w:cs="宋体" w:hint="eastAsia"/>
                <w:sz w:val="24"/>
              </w:rPr>
              <w:t>亦可</w:t>
            </w:r>
            <w:r w:rsidR="00E959D5" w:rsidRPr="00E959D5">
              <w:rPr>
                <w:rFonts w:ascii="宋体" w:eastAsia="宋体" w:hAnsi="宋体" w:cs="宋体" w:hint="eastAsia"/>
                <w:sz w:val="24"/>
              </w:rPr>
              <w:t>适配高精度医疗检测设备、便携式医疗智能终端、微创医疗电子器械等场景。FCCL产业化项目为公司定增募投项目，总规划投入2.16亿元，项目旨在打破美日企业对高端二层FCCL市场的长期垄断，实现高端柔性覆铜板国产化替代，目前项目各项建设与商业化稳步推进</w:t>
            </w:r>
            <w:r w:rsidR="00E959D5">
              <w:rPr>
                <w:rFonts w:ascii="宋体" w:eastAsia="宋体" w:hAnsi="宋体" w:cs="宋体" w:hint="eastAsia"/>
                <w:sz w:val="24"/>
              </w:rPr>
              <w:t>中，</w:t>
            </w:r>
            <w:r w:rsidR="00E959D5" w:rsidRPr="00E959D5">
              <w:rPr>
                <w:rFonts w:ascii="宋体" w:eastAsia="宋体" w:hAnsi="宋体" w:cs="宋体" w:hint="eastAsia"/>
                <w:sz w:val="24"/>
              </w:rPr>
              <w:t>公司已完成</w:t>
            </w:r>
            <w:r w:rsidR="00E959D5">
              <w:rPr>
                <w:rFonts w:ascii="宋体" w:eastAsia="宋体" w:hAnsi="宋体" w:cs="宋体" w:hint="eastAsia"/>
                <w:sz w:val="24"/>
              </w:rPr>
              <w:t>第一条</w:t>
            </w:r>
            <w:r w:rsidR="00E959D5" w:rsidRPr="00E959D5">
              <w:rPr>
                <w:rFonts w:ascii="宋体" w:eastAsia="宋体" w:hAnsi="宋体" w:cs="宋体" w:hint="eastAsia"/>
                <w:sz w:val="24"/>
              </w:rPr>
              <w:t>核心量产生产线的购置、安装</w:t>
            </w:r>
            <w:r w:rsidR="00E959D5">
              <w:rPr>
                <w:rFonts w:ascii="宋体" w:eastAsia="宋体" w:hAnsi="宋体" w:cs="宋体" w:hint="eastAsia"/>
                <w:sz w:val="24"/>
              </w:rPr>
              <w:t>，正在开展多规格型号产品的调试工作</w:t>
            </w:r>
            <w:r w:rsidR="00E959D5" w:rsidRPr="00E959D5">
              <w:rPr>
                <w:rFonts w:ascii="宋体" w:eastAsia="宋体" w:hAnsi="宋体" w:cs="宋体" w:hint="eastAsia"/>
                <w:sz w:val="24"/>
              </w:rPr>
              <w:t>。客户验证工作</w:t>
            </w:r>
            <w:r w:rsidR="00E959D5">
              <w:rPr>
                <w:rFonts w:ascii="宋体" w:eastAsia="宋体" w:hAnsi="宋体" w:cs="宋体" w:hint="eastAsia"/>
                <w:sz w:val="24"/>
              </w:rPr>
              <w:t>也在</w:t>
            </w:r>
            <w:r w:rsidR="00E959D5" w:rsidRPr="00E959D5">
              <w:rPr>
                <w:rFonts w:ascii="宋体" w:eastAsia="宋体" w:hAnsi="宋体" w:cs="宋体" w:hint="eastAsia"/>
                <w:sz w:val="24"/>
              </w:rPr>
              <w:t>持续快速推进，目前已顺利完成部分客户软硬复合板性能验证，产品各项指标达标，获得客户认可。</w:t>
            </w:r>
            <w:r w:rsidR="00E959D5">
              <w:rPr>
                <w:rFonts w:ascii="宋体" w:eastAsia="宋体" w:hAnsi="宋体" w:cs="宋体" w:hint="eastAsia"/>
                <w:sz w:val="24"/>
              </w:rPr>
              <w:t>同时，该产品也</w:t>
            </w:r>
            <w:r w:rsidR="00E959D5" w:rsidRPr="00E959D5">
              <w:rPr>
                <w:rFonts w:ascii="宋体" w:eastAsia="宋体" w:hAnsi="宋体" w:cs="宋体" w:hint="eastAsia"/>
                <w:sz w:val="24"/>
              </w:rPr>
              <w:t>送样</w:t>
            </w:r>
            <w:r w:rsidR="00E959D5">
              <w:rPr>
                <w:rFonts w:ascii="宋体" w:eastAsia="宋体" w:hAnsi="宋体" w:cs="宋体" w:hint="eastAsia"/>
                <w:sz w:val="24"/>
              </w:rPr>
              <w:t>H公司</w:t>
            </w:r>
            <w:r w:rsidR="00E959D5" w:rsidRPr="00E959D5">
              <w:rPr>
                <w:rFonts w:ascii="宋体" w:eastAsia="宋体" w:hAnsi="宋体" w:cs="宋体" w:hint="eastAsia"/>
                <w:sz w:val="24"/>
              </w:rPr>
              <w:t>，应用于芯片检测薄膜探针卡核心场景</w:t>
            </w:r>
            <w:r w:rsidR="00E959D5">
              <w:rPr>
                <w:rFonts w:ascii="宋体" w:eastAsia="宋体" w:hAnsi="宋体" w:cs="宋体" w:hint="eastAsia"/>
                <w:sz w:val="24"/>
              </w:rPr>
              <w:t>验证</w:t>
            </w:r>
            <w:r w:rsidR="00E959D5" w:rsidRPr="00E959D5">
              <w:rPr>
                <w:rFonts w:ascii="宋体" w:eastAsia="宋体" w:hAnsi="宋体" w:cs="宋体" w:hint="eastAsia"/>
                <w:sz w:val="24"/>
              </w:rPr>
              <w:t>。</w:t>
            </w:r>
          </w:p>
          <w:p w14:paraId="0B141835" w14:textId="58D0AD7C" w:rsidR="00E959D5" w:rsidRDefault="00E959D5" w:rsidP="007D716C">
            <w:pPr>
              <w:spacing w:line="360" w:lineRule="auto"/>
              <w:ind w:firstLineChars="200" w:firstLine="480"/>
              <w:rPr>
                <w:rFonts w:ascii="宋体" w:eastAsia="宋体" w:hAnsi="宋体" w:cs="宋体"/>
                <w:sz w:val="24"/>
              </w:rPr>
            </w:pPr>
            <w:r w:rsidRPr="00E959D5">
              <w:rPr>
                <w:rFonts w:ascii="宋体" w:eastAsia="宋体" w:hAnsi="宋体" w:cs="宋体" w:hint="eastAsia"/>
                <w:sz w:val="24"/>
              </w:rPr>
              <w:t>目前公司FCCL</w:t>
            </w:r>
            <w:r w:rsidR="00CA1E2A">
              <w:rPr>
                <w:rFonts w:ascii="宋体" w:eastAsia="宋体" w:hAnsi="宋体" w:cs="宋体" w:hint="eastAsia"/>
                <w:sz w:val="24"/>
              </w:rPr>
              <w:t>项目已开展了技术攻关、产线搭建、客户验证的核心前期工作</w:t>
            </w:r>
            <w:r w:rsidRPr="00E959D5">
              <w:rPr>
                <w:rFonts w:ascii="宋体" w:eastAsia="宋体" w:hAnsi="宋体" w:cs="宋体" w:hint="eastAsia"/>
                <w:sz w:val="24"/>
              </w:rPr>
              <w:t>。随着下游5G</w:t>
            </w:r>
            <w:r w:rsidR="00CA1E2A">
              <w:rPr>
                <w:rFonts w:ascii="宋体" w:eastAsia="宋体" w:hAnsi="宋体" w:cs="宋体" w:hint="eastAsia"/>
                <w:sz w:val="24"/>
              </w:rPr>
              <w:t>/</w:t>
            </w:r>
            <w:r w:rsidRPr="00E959D5">
              <w:rPr>
                <w:rFonts w:ascii="宋体" w:eastAsia="宋体" w:hAnsi="宋体" w:cs="宋体" w:hint="eastAsia"/>
                <w:sz w:val="24"/>
              </w:rPr>
              <w:t>6G、AI算力、高端车载电子、航空航天等高端市场需求持续爆发，</w:t>
            </w:r>
            <w:r w:rsidR="00773178">
              <w:rPr>
                <w:rFonts w:ascii="宋体" w:eastAsia="宋体" w:hAnsi="宋体" w:cs="宋体" w:hint="eastAsia"/>
                <w:sz w:val="24"/>
              </w:rPr>
              <w:t>尤其是随着英伟达</w:t>
            </w:r>
            <w:r w:rsidR="00773178" w:rsidRPr="00773178">
              <w:rPr>
                <w:rFonts w:ascii="宋体" w:eastAsia="宋体" w:hAnsi="宋体" w:cs="宋体" w:hint="eastAsia"/>
                <w:sz w:val="24"/>
              </w:rPr>
              <w:t>Rubin</w:t>
            </w:r>
            <w:r w:rsidR="00773178">
              <w:rPr>
                <w:rFonts w:ascii="宋体" w:eastAsia="宋体" w:hAnsi="宋体" w:cs="宋体" w:hint="eastAsia"/>
                <w:sz w:val="24"/>
              </w:rPr>
              <w:t>架构使用高频高速FPC方案的落地，国内唯一高频高速FCCL供应商，该项目</w:t>
            </w:r>
            <w:r w:rsidRPr="00E959D5">
              <w:rPr>
                <w:rFonts w:ascii="宋体" w:eastAsia="宋体" w:hAnsi="宋体" w:cs="宋体" w:hint="eastAsia"/>
                <w:sz w:val="24"/>
              </w:rPr>
              <w:t>商业化空间</w:t>
            </w:r>
            <w:r w:rsidR="00773178">
              <w:rPr>
                <w:rFonts w:ascii="宋体" w:eastAsia="宋体" w:hAnsi="宋体" w:cs="宋体" w:hint="eastAsia"/>
                <w:sz w:val="24"/>
              </w:rPr>
              <w:t>及其</w:t>
            </w:r>
            <w:r w:rsidRPr="00E959D5">
              <w:rPr>
                <w:rFonts w:ascii="宋体" w:eastAsia="宋体" w:hAnsi="宋体" w:cs="宋体" w:hint="eastAsia"/>
                <w:sz w:val="24"/>
              </w:rPr>
              <w:t>广阔，投产后将有效填补国内高端FCCL</w:t>
            </w:r>
            <w:r w:rsidR="00CA1E2A">
              <w:rPr>
                <w:rFonts w:ascii="宋体" w:eastAsia="宋体" w:hAnsi="宋体" w:cs="宋体" w:hint="eastAsia"/>
                <w:sz w:val="24"/>
              </w:rPr>
              <w:t>市场缺口，成为公司新的</w:t>
            </w:r>
            <w:r w:rsidRPr="00E959D5">
              <w:rPr>
                <w:rFonts w:ascii="宋体" w:eastAsia="宋体" w:hAnsi="宋体" w:cs="宋体" w:hint="eastAsia"/>
                <w:sz w:val="24"/>
              </w:rPr>
              <w:t>业绩增长点。</w:t>
            </w:r>
          </w:p>
          <w:p w14:paraId="6FC59C8F" w14:textId="77777777" w:rsidR="007D716C" w:rsidRDefault="00E959D5" w:rsidP="00E959D5">
            <w:pPr>
              <w:spacing w:line="360" w:lineRule="auto"/>
              <w:ind w:firstLineChars="200" w:firstLine="480"/>
              <w:rPr>
                <w:rFonts w:ascii="宋体" w:eastAsia="宋体" w:hAnsi="宋体" w:cs="宋体"/>
                <w:sz w:val="24"/>
              </w:rPr>
            </w:pPr>
            <w:r>
              <w:rPr>
                <w:rFonts w:ascii="宋体" w:eastAsia="宋体" w:hAnsi="宋体" w:cs="宋体" w:hint="eastAsia"/>
                <w:sz w:val="24"/>
              </w:rPr>
              <w:t>4、公司在具身智能方向的布局及进展情况如何</w:t>
            </w:r>
          </w:p>
          <w:p w14:paraId="740D9DC6" w14:textId="0DEB9C71" w:rsidR="00E959D5" w:rsidRDefault="00CA1E2A" w:rsidP="00CA1E2A">
            <w:pPr>
              <w:spacing w:line="360" w:lineRule="auto"/>
              <w:ind w:firstLineChars="200" w:firstLine="480"/>
              <w:rPr>
                <w:rFonts w:ascii="宋体" w:eastAsia="宋体" w:hAnsi="宋体" w:cs="宋体"/>
                <w:sz w:val="24"/>
              </w:rPr>
            </w:pPr>
            <w:r>
              <w:rPr>
                <w:rFonts w:ascii="宋体" w:eastAsia="宋体" w:hAnsi="宋体" w:cs="宋体" w:hint="eastAsia"/>
                <w:sz w:val="24"/>
              </w:rPr>
              <w:t>答：公司针对</w:t>
            </w:r>
            <w:r w:rsidRPr="00CA1E2A">
              <w:rPr>
                <w:rFonts w:ascii="宋体" w:eastAsia="宋体" w:hAnsi="宋体" w:cs="宋体" w:hint="eastAsia"/>
                <w:sz w:val="24"/>
              </w:rPr>
              <w:t>传统机器人柔性器件耐磨差、</w:t>
            </w:r>
            <w:r w:rsidR="00773178">
              <w:rPr>
                <w:rFonts w:ascii="宋体" w:eastAsia="宋体" w:hAnsi="宋体" w:cs="宋体" w:hint="eastAsia"/>
                <w:sz w:val="24"/>
              </w:rPr>
              <w:t>重复精度低、宽量程无法实现、</w:t>
            </w:r>
            <w:r w:rsidRPr="00CA1E2A">
              <w:rPr>
                <w:rFonts w:ascii="宋体" w:eastAsia="宋体" w:hAnsi="宋体" w:cs="宋体" w:hint="eastAsia"/>
                <w:sz w:val="24"/>
              </w:rPr>
              <w:t>弯折寿命短、透气防水性不足的行业痛点，依托自主可控的ePTFE</w:t>
            </w:r>
            <w:r>
              <w:rPr>
                <w:rFonts w:ascii="宋体" w:eastAsia="宋体" w:hAnsi="宋体" w:cs="宋体" w:hint="eastAsia"/>
                <w:sz w:val="24"/>
              </w:rPr>
              <w:t>膜核心材料技术，前瞻切入具身智能高景气赛道</w:t>
            </w:r>
            <w:r w:rsidRPr="00CA1E2A">
              <w:rPr>
                <w:rFonts w:ascii="宋体" w:eastAsia="宋体" w:hAnsi="宋体" w:cs="宋体" w:hint="eastAsia"/>
                <w:sz w:val="24"/>
              </w:rPr>
              <w:t>形成电子皮肤（ePTFE基材+导电膜）+高耐弯折机器人线缆双核心产品体系，精</w:t>
            </w:r>
            <w:r w:rsidRPr="00CA1E2A">
              <w:rPr>
                <w:rFonts w:ascii="宋体" w:eastAsia="宋体" w:hAnsi="宋体" w:cs="宋体" w:hint="eastAsia"/>
                <w:sz w:val="24"/>
              </w:rPr>
              <w:lastRenderedPageBreak/>
              <w:t>准匹配机器人肢体感知、关节运动、信号高速传输的核心需求。相较于PI、硅胶等传统基材，ePTFE材料具备高耐磨、高弹性、高透气、耐反复弯折、形变线性度好的独特优势，适配机器人高频运动、高精度触觉感知的严苛工况。</w:t>
            </w:r>
          </w:p>
          <w:p w14:paraId="45B96DD8" w14:textId="77777777" w:rsidR="00CA1E2A" w:rsidRDefault="00CA1E2A" w:rsidP="00031D09">
            <w:pPr>
              <w:spacing w:line="360" w:lineRule="auto"/>
              <w:ind w:firstLineChars="200" w:firstLine="480"/>
              <w:rPr>
                <w:rFonts w:ascii="宋体" w:eastAsia="宋体" w:hAnsi="宋体" w:cs="宋体"/>
                <w:sz w:val="24"/>
              </w:rPr>
            </w:pPr>
            <w:r>
              <w:rPr>
                <w:rFonts w:ascii="宋体" w:eastAsia="宋体" w:hAnsi="宋体" w:cs="宋体"/>
                <w:sz w:val="24"/>
              </w:rPr>
              <w:t>公司的高耐弯折电缆已向北美某头部客户小批量出货</w:t>
            </w:r>
            <w:r>
              <w:rPr>
                <w:rFonts w:ascii="宋体" w:eastAsia="宋体" w:hAnsi="宋体" w:cs="宋体" w:hint="eastAsia"/>
                <w:sz w:val="24"/>
              </w:rPr>
              <w:t>；</w:t>
            </w:r>
            <w:r>
              <w:rPr>
                <w:rFonts w:ascii="宋体" w:eastAsia="宋体" w:hAnsi="宋体" w:cs="宋体"/>
                <w:sz w:val="24"/>
              </w:rPr>
              <w:t>公司电子皮肤方向，</w:t>
            </w:r>
            <w:r w:rsidRPr="00CA1E2A">
              <w:rPr>
                <w:rFonts w:ascii="宋体" w:eastAsia="宋体" w:hAnsi="宋体" w:cs="宋体"/>
                <w:sz w:val="24"/>
              </w:rPr>
              <w:t>此前已经向</w:t>
            </w:r>
            <w:r>
              <w:rPr>
                <w:rFonts w:ascii="宋体" w:eastAsia="宋体" w:hAnsi="宋体" w:cs="宋体" w:hint="eastAsia"/>
                <w:sz w:val="24"/>
              </w:rPr>
              <w:t>国内</w:t>
            </w:r>
            <w:r>
              <w:rPr>
                <w:rFonts w:ascii="宋体" w:eastAsia="宋体" w:hAnsi="宋体" w:cs="宋体"/>
                <w:sz w:val="24"/>
              </w:rPr>
              <w:t>某客户</w:t>
            </w:r>
            <w:r w:rsidRPr="00CA1E2A">
              <w:rPr>
                <w:rFonts w:ascii="宋体" w:eastAsia="宋体" w:hAnsi="宋体" w:cs="宋体"/>
                <w:sz w:val="24"/>
              </w:rPr>
              <w:t>交付了带传感器的灵巧手手套</w:t>
            </w:r>
            <w:r w:rsidR="00031D09">
              <w:rPr>
                <w:rFonts w:ascii="宋体" w:eastAsia="宋体" w:hAnsi="宋体" w:cs="宋体"/>
                <w:sz w:val="24"/>
              </w:rPr>
              <w:t>，近期又获得北美某客户的</w:t>
            </w:r>
            <w:r w:rsidR="00031D09">
              <w:rPr>
                <w:rFonts w:ascii="宋体" w:eastAsia="宋体" w:hAnsi="宋体" w:cs="宋体" w:hint="eastAsia"/>
                <w:sz w:val="24"/>
              </w:rPr>
              <w:t>1</w:t>
            </w:r>
            <w:r w:rsidR="00031D09">
              <w:rPr>
                <w:rFonts w:ascii="宋体" w:eastAsia="宋体" w:hAnsi="宋体" w:cs="宋体"/>
                <w:sz w:val="24"/>
              </w:rPr>
              <w:t>00套订单。同时</w:t>
            </w:r>
            <w:r w:rsidR="00031D09">
              <w:rPr>
                <w:rFonts w:ascii="宋体" w:eastAsia="宋体" w:hAnsi="宋体" w:cs="宋体" w:hint="eastAsia"/>
                <w:sz w:val="24"/>
              </w:rPr>
              <w:t>近期举办的</w:t>
            </w:r>
            <w:r w:rsidR="00031D09" w:rsidRPr="00031D09">
              <w:rPr>
                <w:rFonts w:ascii="宋体" w:eastAsia="宋体" w:hAnsi="宋体" w:cs="宋体" w:hint="eastAsia"/>
                <w:sz w:val="24"/>
              </w:rPr>
              <w:t>世界人工智能大会</w:t>
            </w:r>
            <w:r w:rsidR="00031D09">
              <w:rPr>
                <w:rFonts w:ascii="宋体" w:eastAsia="宋体" w:hAnsi="宋体" w:cs="宋体" w:hint="eastAsia"/>
                <w:sz w:val="24"/>
              </w:rPr>
              <w:t>上，部分客户</w:t>
            </w:r>
            <w:r w:rsidR="00031D09" w:rsidRPr="00031D09">
              <w:rPr>
                <w:rFonts w:ascii="宋体" w:eastAsia="宋体" w:hAnsi="宋体" w:cs="宋体" w:hint="eastAsia"/>
                <w:sz w:val="24"/>
              </w:rPr>
              <w:t>展示</w:t>
            </w:r>
            <w:r w:rsidR="00031D09">
              <w:rPr>
                <w:rFonts w:ascii="宋体" w:eastAsia="宋体" w:hAnsi="宋体" w:cs="宋体" w:hint="eastAsia"/>
                <w:sz w:val="24"/>
              </w:rPr>
              <w:t>的样机中</w:t>
            </w:r>
            <w:r w:rsidR="00031D09" w:rsidRPr="00031D09">
              <w:rPr>
                <w:rFonts w:ascii="宋体" w:eastAsia="宋体" w:hAnsi="宋体" w:cs="宋体" w:hint="eastAsia"/>
                <w:sz w:val="24"/>
              </w:rPr>
              <w:t>采用</w:t>
            </w:r>
            <w:r w:rsidR="00031D09">
              <w:rPr>
                <w:rFonts w:ascii="宋体" w:eastAsia="宋体" w:hAnsi="宋体" w:cs="宋体" w:hint="eastAsia"/>
                <w:sz w:val="24"/>
              </w:rPr>
              <w:t>了</w:t>
            </w:r>
            <w:r w:rsidR="00031D09" w:rsidRPr="00031D09">
              <w:rPr>
                <w:rFonts w:ascii="宋体" w:eastAsia="宋体" w:hAnsi="宋体" w:cs="宋体" w:hint="eastAsia"/>
                <w:sz w:val="24"/>
              </w:rPr>
              <w:t>公司导电ePTFE膜、不导电ePTFE膜制作的柔性传感器及电子皮肤结构，且标定了公司导电膜、PTFE膜的核心参数，同时公司耐弯折电缆也作为灵巧手的核心部件在展台上进行了参数标定。</w:t>
            </w:r>
          </w:p>
          <w:p w14:paraId="670BA601" w14:textId="5092DBA4" w:rsidR="00031D09" w:rsidRPr="00031D09" w:rsidRDefault="00031D09" w:rsidP="00031D09">
            <w:pPr>
              <w:spacing w:line="360" w:lineRule="auto"/>
              <w:ind w:firstLineChars="200" w:firstLine="480"/>
              <w:rPr>
                <w:rFonts w:ascii="宋体" w:eastAsia="宋体" w:hAnsi="宋体" w:cs="宋体"/>
                <w:sz w:val="24"/>
              </w:rPr>
            </w:pPr>
            <w:r>
              <w:rPr>
                <w:rFonts w:ascii="宋体" w:eastAsia="宋体" w:hAnsi="宋体" w:cs="宋体"/>
                <w:sz w:val="24"/>
              </w:rPr>
              <w:t>5、</w:t>
            </w:r>
            <w:r w:rsidRPr="00031D09">
              <w:rPr>
                <w:rFonts w:ascii="宋体" w:eastAsia="宋体" w:hAnsi="宋体" w:cs="宋体"/>
                <w:sz w:val="24"/>
              </w:rPr>
              <w:t>公司</w:t>
            </w:r>
            <w:r>
              <w:rPr>
                <w:rFonts w:ascii="宋体" w:eastAsia="宋体" w:hAnsi="宋体" w:cs="宋体" w:hint="eastAsia"/>
                <w:sz w:val="24"/>
              </w:rPr>
              <w:t>收购</w:t>
            </w:r>
            <w:r w:rsidRPr="00031D09">
              <w:rPr>
                <w:rFonts w:ascii="宋体" w:eastAsia="宋体" w:hAnsi="宋体" w:cs="宋体"/>
                <w:sz w:val="24"/>
              </w:rPr>
              <w:t xml:space="preserve">天缘后，在FCCL相关的技术和产品路线上有哪些规划？ </w:t>
            </w:r>
          </w:p>
          <w:p w14:paraId="44EC64C1" w14:textId="0A2490B2" w:rsidR="00031D09" w:rsidRPr="00031D09" w:rsidRDefault="00031D09" w:rsidP="00031D09">
            <w:pPr>
              <w:spacing w:line="360" w:lineRule="auto"/>
              <w:ind w:firstLineChars="200" w:firstLine="480"/>
              <w:rPr>
                <w:rFonts w:ascii="宋体" w:eastAsia="宋体" w:hAnsi="宋体" w:cs="宋体"/>
                <w:sz w:val="24"/>
              </w:rPr>
            </w:pPr>
            <w:r>
              <w:rPr>
                <w:rFonts w:ascii="宋体" w:eastAsia="宋体" w:hAnsi="宋体" w:cs="宋体" w:hint="eastAsia"/>
                <w:sz w:val="24"/>
              </w:rPr>
              <w:t>答：</w:t>
            </w:r>
            <w:r w:rsidRPr="00031D09">
              <w:rPr>
                <w:rFonts w:ascii="宋体" w:eastAsia="宋体" w:hAnsi="宋体" w:cs="宋体"/>
                <w:sz w:val="24"/>
              </w:rPr>
              <w:t>第一，技术端形成全产业链的核心优势：天缘是PI膜制造商，具备涂布能力，公司是PTFE及复合材料制造商，涂布能力较强，此前PI是公司的生产原料，仅能通过复合工艺解决性能匹配问题，整合天缘后可从材料端对PI性能进行源头优化，比如通过六方氮化硼掺杂实现导</w:t>
            </w:r>
            <w:r>
              <w:rPr>
                <w:rFonts w:ascii="宋体" w:eastAsia="宋体" w:hAnsi="宋体" w:cs="宋体" w:hint="eastAsia"/>
                <w:sz w:val="24"/>
              </w:rPr>
              <w:t>热</w:t>
            </w:r>
            <w:r w:rsidRPr="00031D09">
              <w:rPr>
                <w:rFonts w:ascii="宋体" w:eastAsia="宋体" w:hAnsi="宋体" w:cs="宋体"/>
                <w:sz w:val="24"/>
              </w:rPr>
              <w:t>性能、在分子端进行基团改性等，为产业发展提供助力。第二，产品端覆盖高中低全系列FCCL：常规FCCL可实现大规模低成本生产，适用于4G及以下场景；高端FCCL凭借对核心材料的掌控具备更显著的成本优势，同时可协同PI性能与无胶复合PTFE的技术能力向高端FCCL领域渗透，技术和成本优势凸显。第三，技术路线可多元拓展：可开发MPI改性PI，通过接枝含氟基团大幅提升性能，实现PI与铜箔直接复合，达到5G应用的性能要求。未来公司与天缘将实现技术协</w:t>
            </w:r>
            <w:r w:rsidRPr="00031D09">
              <w:rPr>
                <w:rFonts w:ascii="宋体" w:eastAsia="宋体" w:hAnsi="宋体" w:cs="宋体"/>
                <w:sz w:val="24"/>
              </w:rPr>
              <w:lastRenderedPageBreak/>
              <w:t>同，同时发挥双方渠道优势相互赋能。</w:t>
            </w:r>
          </w:p>
          <w:p w14:paraId="154A38C0" w14:textId="77777777" w:rsidR="00F11F9F" w:rsidRPr="00F11F9F" w:rsidRDefault="00F11F9F" w:rsidP="00F11F9F">
            <w:pPr>
              <w:spacing w:line="360" w:lineRule="auto"/>
              <w:ind w:firstLineChars="200" w:firstLine="480"/>
              <w:rPr>
                <w:rFonts w:ascii="宋体" w:eastAsia="宋体" w:hAnsi="宋体" w:cs="宋体"/>
                <w:sz w:val="24"/>
              </w:rPr>
            </w:pPr>
            <w:r w:rsidRPr="00F11F9F">
              <w:rPr>
                <w:rFonts w:ascii="宋体" w:eastAsia="宋体" w:hAnsi="宋体" w:cs="宋体" w:hint="eastAsia"/>
                <w:sz w:val="24"/>
              </w:rPr>
              <w:t>6、</w:t>
            </w:r>
            <w:r w:rsidRPr="00F11F9F">
              <w:rPr>
                <w:rFonts w:ascii="宋体" w:eastAsia="宋体" w:hAnsi="宋体" w:cs="宋体"/>
                <w:sz w:val="24"/>
              </w:rPr>
              <w:t>公司未来FCCL业务的发展规划是什么？</w:t>
            </w:r>
          </w:p>
          <w:p w14:paraId="5B6FCA55" w14:textId="236D6893" w:rsidR="00F11F9F" w:rsidRPr="00F11F9F" w:rsidRDefault="00F11F9F" w:rsidP="00F11F9F">
            <w:pPr>
              <w:spacing w:line="360" w:lineRule="auto"/>
              <w:ind w:firstLineChars="200" w:firstLine="480"/>
              <w:rPr>
                <w:rFonts w:ascii="宋体" w:eastAsia="宋体" w:hAnsi="宋体" w:cs="宋体"/>
                <w:sz w:val="24"/>
              </w:rPr>
            </w:pPr>
            <w:r>
              <w:rPr>
                <w:rFonts w:ascii="宋体" w:eastAsia="宋体" w:hAnsi="宋体" w:cs="宋体" w:hint="eastAsia"/>
                <w:sz w:val="24"/>
              </w:rPr>
              <w:t>答</w:t>
            </w:r>
            <w:r w:rsidRPr="00F11F9F">
              <w:rPr>
                <w:rFonts w:ascii="宋体" w:eastAsia="宋体" w:hAnsi="宋体" w:cs="宋体"/>
                <w:sz w:val="24"/>
              </w:rPr>
              <w:t>: 公司FCCL业务将从两个方向同步推进：一方面持续推进下游客户验证，加快协调头部客户的验证进度；另一方面高低端市场同步发力，不仅布局6G相关的高端FCCL产品，也会参与市场化充分竞争的领域，包括LCP类、MPI类改性FCCL，以及常规FCCL产品，推动该领域业务快速发展。</w:t>
            </w:r>
          </w:p>
          <w:p w14:paraId="1DBDE3A5" w14:textId="20947FFC" w:rsidR="00F11F9F" w:rsidRPr="00F11F9F" w:rsidRDefault="00F11F9F" w:rsidP="00F11F9F">
            <w:pPr>
              <w:spacing w:line="360" w:lineRule="auto"/>
              <w:ind w:firstLineChars="200" w:firstLine="480"/>
              <w:rPr>
                <w:rFonts w:ascii="宋体" w:eastAsia="宋体" w:hAnsi="宋体" w:cs="宋体"/>
                <w:sz w:val="24"/>
              </w:rPr>
            </w:pPr>
            <w:r>
              <w:rPr>
                <w:rFonts w:ascii="宋体" w:eastAsia="宋体" w:hAnsi="宋体" w:cs="宋体" w:hint="eastAsia"/>
                <w:sz w:val="24"/>
              </w:rPr>
              <w:t>7、公司</w:t>
            </w:r>
            <w:r w:rsidRPr="00F11F9F">
              <w:rPr>
                <w:rFonts w:ascii="宋体" w:eastAsia="宋体" w:hAnsi="宋体" w:cs="宋体"/>
                <w:sz w:val="24"/>
              </w:rPr>
              <w:t>一代CMD的产线建设进度如何？2026年上半年CMD的销量和营收增长情况是怎样的？</w:t>
            </w:r>
          </w:p>
          <w:p w14:paraId="18D302C4" w14:textId="4BD5CE55" w:rsidR="00F11F9F" w:rsidRPr="00F11F9F" w:rsidRDefault="00F11F9F" w:rsidP="00F11F9F">
            <w:pPr>
              <w:spacing w:line="360" w:lineRule="auto"/>
              <w:ind w:firstLineChars="200" w:firstLine="480"/>
              <w:rPr>
                <w:rFonts w:ascii="宋体" w:eastAsia="宋体" w:hAnsi="宋体" w:cs="宋体"/>
                <w:sz w:val="24"/>
              </w:rPr>
            </w:pPr>
            <w:r>
              <w:rPr>
                <w:rFonts w:ascii="宋体" w:eastAsia="宋体" w:hAnsi="宋体" w:cs="宋体" w:hint="eastAsia"/>
                <w:sz w:val="24"/>
              </w:rPr>
              <w:t>答</w:t>
            </w:r>
            <w:r w:rsidRPr="00F11F9F">
              <w:rPr>
                <w:rFonts w:ascii="宋体" w:eastAsia="宋体" w:hAnsi="宋体" w:cs="宋体"/>
                <w:sz w:val="24"/>
              </w:rPr>
              <w:t>: 一代CMD</w:t>
            </w:r>
            <w:r>
              <w:rPr>
                <w:rFonts w:ascii="宋体" w:eastAsia="宋体" w:hAnsi="宋体" w:cs="宋体" w:hint="eastAsia"/>
                <w:sz w:val="24"/>
              </w:rPr>
              <w:t>智能化</w:t>
            </w:r>
            <w:r>
              <w:rPr>
                <w:rFonts w:ascii="宋体" w:eastAsia="宋体" w:hAnsi="宋体" w:cs="宋体"/>
                <w:sz w:val="24"/>
              </w:rPr>
              <w:t>提升及扩产也是公司定增募投项目之一</w:t>
            </w:r>
            <w:r w:rsidRPr="00F11F9F">
              <w:rPr>
                <w:rFonts w:ascii="宋体" w:eastAsia="宋体" w:hAnsi="宋体" w:cs="宋体"/>
                <w:sz w:val="24"/>
              </w:rPr>
              <w:t>，目前现场已有60条产线，剩余产线</w:t>
            </w:r>
            <w:r>
              <w:rPr>
                <w:rFonts w:ascii="宋体" w:eastAsia="宋体" w:hAnsi="宋体" w:cs="宋体"/>
                <w:sz w:val="24"/>
              </w:rPr>
              <w:t>也在紧锣密鼓的定制中，公司将按照原计划分批次投入相关产线</w:t>
            </w:r>
            <w:r w:rsidRPr="00F11F9F">
              <w:rPr>
                <w:rFonts w:ascii="宋体" w:eastAsia="宋体" w:hAnsi="宋体" w:cs="宋体"/>
                <w:sz w:val="24"/>
              </w:rPr>
              <w:t>，目前该</w:t>
            </w:r>
            <w:r>
              <w:rPr>
                <w:rFonts w:ascii="宋体" w:eastAsia="宋体" w:hAnsi="宋体" w:cs="宋体" w:hint="eastAsia"/>
                <w:sz w:val="24"/>
              </w:rPr>
              <w:t>产品</w:t>
            </w:r>
            <w:r w:rsidRPr="00F11F9F">
              <w:rPr>
                <w:rFonts w:ascii="宋体" w:eastAsia="宋体" w:hAnsi="宋体" w:cs="宋体"/>
                <w:sz w:val="24"/>
              </w:rPr>
              <w:t>已</w:t>
            </w:r>
            <w:r>
              <w:rPr>
                <w:rFonts w:ascii="宋体" w:eastAsia="宋体" w:hAnsi="宋体" w:cs="宋体"/>
                <w:sz w:val="24"/>
              </w:rPr>
              <w:t>获得广大汽车主机厂、车灯厂的认可</w:t>
            </w:r>
            <w:r w:rsidRPr="00F11F9F">
              <w:rPr>
                <w:rFonts w:ascii="宋体" w:eastAsia="宋体" w:hAnsi="宋体" w:cs="宋体"/>
                <w:sz w:val="24"/>
              </w:rPr>
              <w:t>，定增对应的产能可以完全消化。2026年上半年CMD销量同比增长</w:t>
            </w:r>
            <w:r>
              <w:rPr>
                <w:rFonts w:ascii="宋体" w:eastAsia="宋体" w:hAnsi="宋体" w:cs="宋体" w:hint="eastAsia"/>
                <w:sz w:val="24"/>
              </w:rPr>
              <w:t>加快</w:t>
            </w:r>
            <w:r>
              <w:rPr>
                <w:rFonts w:ascii="宋体" w:eastAsia="宋体" w:hAnsi="宋体" w:cs="宋体"/>
                <w:sz w:val="24"/>
              </w:rPr>
              <w:t>，相关数据请关注公司后续披露的定期报告</w:t>
            </w:r>
            <w:r w:rsidRPr="00F11F9F">
              <w:rPr>
                <w:rFonts w:ascii="宋体" w:eastAsia="宋体" w:hAnsi="宋体" w:cs="宋体"/>
                <w:sz w:val="24"/>
              </w:rPr>
              <w:t>。</w:t>
            </w:r>
          </w:p>
          <w:p w14:paraId="721DDA2A" w14:textId="7CA8913E" w:rsidR="00F11F9F" w:rsidRPr="00F11F9F" w:rsidRDefault="00F11F9F" w:rsidP="00F11F9F">
            <w:pPr>
              <w:spacing w:line="360" w:lineRule="auto"/>
              <w:ind w:firstLineChars="200" w:firstLine="480"/>
              <w:rPr>
                <w:rFonts w:ascii="宋体" w:eastAsia="宋体" w:hAnsi="宋体" w:cs="宋体"/>
                <w:sz w:val="24"/>
              </w:rPr>
            </w:pPr>
            <w:r>
              <w:rPr>
                <w:rFonts w:ascii="宋体" w:eastAsia="宋体" w:hAnsi="宋体" w:cs="宋体"/>
                <w:sz w:val="24"/>
              </w:rPr>
              <w:t>8、公司</w:t>
            </w:r>
            <w:r w:rsidRPr="00F11F9F">
              <w:rPr>
                <w:rFonts w:ascii="宋体" w:eastAsia="宋体" w:hAnsi="宋体" w:cs="宋体"/>
                <w:sz w:val="24"/>
              </w:rPr>
              <w:t>二代CMD近期的定点有没有新的突破？</w:t>
            </w:r>
          </w:p>
          <w:p w14:paraId="0F0E0649" w14:textId="264B1481" w:rsidR="00031D09" w:rsidRPr="00F11F9F" w:rsidRDefault="00F11F9F" w:rsidP="00B83124">
            <w:pPr>
              <w:spacing w:line="360" w:lineRule="auto"/>
              <w:ind w:firstLineChars="200" w:firstLine="480"/>
              <w:rPr>
                <w:rFonts w:ascii="宋体" w:eastAsia="宋体" w:hAnsi="宋体" w:cs="宋体"/>
                <w:sz w:val="24"/>
              </w:rPr>
            </w:pPr>
            <w:r>
              <w:rPr>
                <w:rFonts w:ascii="宋体" w:eastAsia="宋体" w:hAnsi="宋体" w:cs="宋体" w:hint="eastAsia"/>
                <w:sz w:val="24"/>
              </w:rPr>
              <w:t>答</w:t>
            </w:r>
            <w:r w:rsidRPr="00F11F9F">
              <w:rPr>
                <w:rFonts w:ascii="宋体" w:eastAsia="宋体" w:hAnsi="宋体" w:cs="宋体"/>
                <w:sz w:val="24"/>
              </w:rPr>
              <w:t xml:space="preserve">: </w:t>
            </w:r>
            <w:r>
              <w:rPr>
                <w:rFonts w:ascii="宋体" w:eastAsia="宋体" w:hAnsi="宋体" w:cs="宋体" w:hint="eastAsia"/>
                <w:sz w:val="24"/>
              </w:rPr>
              <w:t>公司</w:t>
            </w:r>
            <w:r w:rsidRPr="00F11F9F">
              <w:rPr>
                <w:rFonts w:ascii="宋体" w:eastAsia="宋体" w:hAnsi="宋体" w:cs="宋体" w:hint="eastAsia"/>
                <w:sz w:val="24"/>
              </w:rPr>
              <w:t>二代CMD为公司一代经典CMD产品的全面迭代升级版本</w:t>
            </w:r>
            <w:r>
              <w:rPr>
                <w:rFonts w:ascii="宋体" w:eastAsia="宋体" w:hAnsi="宋体" w:cs="宋体" w:hint="eastAsia"/>
                <w:sz w:val="24"/>
              </w:rPr>
              <w:t>，</w:t>
            </w:r>
            <w:r w:rsidRPr="00F11F9F">
              <w:rPr>
                <w:rFonts w:ascii="宋体" w:eastAsia="宋体" w:hAnsi="宋体" w:cs="宋体"/>
                <w:sz w:val="24"/>
              </w:rPr>
              <w:t>目前二代CMD项目推进以现有成熟项目为主，</w:t>
            </w:r>
            <w:r w:rsidRPr="00F11F9F">
              <w:rPr>
                <w:rFonts w:ascii="宋体" w:eastAsia="宋体" w:hAnsi="宋体" w:cs="宋体" w:hint="eastAsia"/>
                <w:sz w:val="24"/>
              </w:rPr>
              <w:t>已完成客户验证、多领域定点</w:t>
            </w:r>
            <w:r>
              <w:rPr>
                <w:rFonts w:ascii="宋体" w:eastAsia="宋体" w:hAnsi="宋体" w:cs="宋体" w:hint="eastAsia"/>
                <w:sz w:val="24"/>
              </w:rPr>
              <w:t>，目前该产品在智能驾驶</w:t>
            </w:r>
            <w:r w:rsidR="00B83124">
              <w:rPr>
                <w:rFonts w:ascii="宋体" w:eastAsia="宋体" w:hAnsi="宋体" w:cs="宋体" w:hint="eastAsia"/>
                <w:sz w:val="24"/>
              </w:rPr>
              <w:t>系统、汽车车灯、消费电子等多个应用领域全面推进。</w:t>
            </w:r>
          </w:p>
        </w:tc>
      </w:tr>
      <w:tr w:rsidR="004D69C4" w14:paraId="13C3FBD0" w14:textId="77777777" w:rsidTr="00A179CC">
        <w:trPr>
          <w:trHeight w:val="1100"/>
        </w:trPr>
        <w:tc>
          <w:tcPr>
            <w:tcW w:w="2326" w:type="dxa"/>
            <w:vAlign w:val="center"/>
          </w:tcPr>
          <w:p w14:paraId="1DFB57D3" w14:textId="77777777" w:rsidR="001D5CDA" w:rsidRDefault="00FA1EBC" w:rsidP="00494DCA">
            <w:pPr>
              <w:spacing w:line="360" w:lineRule="auto"/>
              <w:rPr>
                <w:rFonts w:ascii="宋体" w:eastAsia="宋体" w:hAnsi="宋体" w:cs="宋体"/>
                <w:sz w:val="24"/>
              </w:rPr>
            </w:pPr>
            <w:r>
              <w:rPr>
                <w:rFonts w:ascii="宋体" w:eastAsia="宋体" w:hAnsi="宋体" w:cs="宋体" w:hint="eastAsia"/>
                <w:b/>
                <w:bCs/>
                <w:sz w:val="24"/>
              </w:rPr>
              <w:lastRenderedPageBreak/>
              <w:t>附件清单</w:t>
            </w:r>
          </w:p>
        </w:tc>
        <w:tc>
          <w:tcPr>
            <w:tcW w:w="5970" w:type="dxa"/>
            <w:vAlign w:val="center"/>
          </w:tcPr>
          <w:p w14:paraId="4E650029" w14:textId="77777777" w:rsidR="001D5CDA" w:rsidRDefault="00FA1EBC">
            <w:pPr>
              <w:spacing w:line="360" w:lineRule="auto"/>
              <w:rPr>
                <w:rFonts w:ascii="宋体" w:eastAsia="宋体" w:hAnsi="宋体" w:cs="宋体"/>
                <w:sz w:val="24"/>
              </w:rPr>
            </w:pPr>
            <w:r>
              <w:rPr>
                <w:rFonts w:ascii="宋体" w:eastAsia="宋体" w:hAnsi="宋体" w:cs="宋体"/>
                <w:sz w:val="24"/>
              </w:rPr>
              <w:t>无</w:t>
            </w:r>
          </w:p>
        </w:tc>
      </w:tr>
    </w:tbl>
    <w:p w14:paraId="60A02903" w14:textId="3D672651" w:rsidR="001D5CDA" w:rsidRDefault="00A179CC" w:rsidP="00D73C06">
      <w:pPr>
        <w:spacing w:line="360" w:lineRule="auto"/>
        <w:ind w:firstLineChars="200" w:firstLine="482"/>
        <w:rPr>
          <w:rFonts w:ascii="宋体" w:eastAsia="宋体" w:hAnsi="宋体" w:cs="宋体"/>
          <w:sz w:val="24"/>
        </w:rPr>
      </w:pPr>
      <w:r w:rsidRPr="00D73C06">
        <w:rPr>
          <w:rFonts w:ascii="宋体" w:eastAsia="宋体" w:hAnsi="宋体" w:cs="宋体" w:hint="eastAsia"/>
          <w:b/>
          <w:bCs/>
          <w:sz w:val="24"/>
        </w:rPr>
        <w:t>风险提示：</w:t>
      </w:r>
      <w:r w:rsidRPr="00A179CC">
        <w:rPr>
          <w:rFonts w:ascii="宋体" w:eastAsia="宋体" w:hAnsi="宋体" w:cs="宋体" w:hint="eastAsia"/>
          <w:sz w:val="24"/>
        </w:rPr>
        <w:t>以上如涉及对行业预测、公司发展战略和经营计划等相关内容,不能视作公司或公司管理层对行业、公司发展或业绩的承诺和保证，敬请广大</w:t>
      </w:r>
      <w:r w:rsidR="001F5183">
        <w:rPr>
          <w:rFonts w:ascii="宋体" w:eastAsia="宋体" w:hAnsi="宋体" w:cs="宋体" w:hint="eastAsia"/>
          <w:sz w:val="24"/>
        </w:rPr>
        <w:t>投资者</w:t>
      </w:r>
      <w:r w:rsidRPr="00A179CC">
        <w:rPr>
          <w:rFonts w:ascii="宋体" w:eastAsia="宋体" w:hAnsi="宋体" w:cs="宋体" w:hint="eastAsia"/>
          <w:sz w:val="24"/>
        </w:rPr>
        <w:t>注意投资风险。</w:t>
      </w:r>
    </w:p>
    <w:sectPr w:rsidR="001D5C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31CC4" w14:textId="77777777" w:rsidR="00EB2B62" w:rsidRDefault="00EB2B62" w:rsidP="00097DF2">
      <w:r>
        <w:separator/>
      </w:r>
    </w:p>
  </w:endnote>
  <w:endnote w:type="continuationSeparator" w:id="0">
    <w:p w14:paraId="0F040994" w14:textId="77777777" w:rsidR="00EB2B62" w:rsidRDefault="00EB2B62" w:rsidP="0009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55F97C" w14:textId="77777777" w:rsidR="00EB2B62" w:rsidRDefault="00EB2B62" w:rsidP="00097DF2">
      <w:r>
        <w:separator/>
      </w:r>
    </w:p>
  </w:footnote>
  <w:footnote w:type="continuationSeparator" w:id="0">
    <w:p w14:paraId="647DFB1E" w14:textId="77777777" w:rsidR="00EB2B62" w:rsidRDefault="00EB2B62" w:rsidP="00097D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5F50B8B"/>
    <w:multiLevelType w:val="singleLevel"/>
    <w:tmpl w:val="F5F50B8B"/>
    <w:lvl w:ilvl="0">
      <w:start w:val="1"/>
      <w:numFmt w:val="decimal"/>
      <w:lvlText w:val="%1."/>
      <w:lvlJc w:val="left"/>
      <w:pPr>
        <w:tabs>
          <w:tab w:val="left" w:pos="312"/>
        </w:tabs>
      </w:pPr>
    </w:lvl>
  </w:abstractNum>
  <w:abstractNum w:abstractNumId="1">
    <w:nsid w:val="13C760C9"/>
    <w:multiLevelType w:val="hybridMultilevel"/>
    <w:tmpl w:val="A1B04634"/>
    <w:lvl w:ilvl="0" w:tplc="489E4B28">
      <w:start w:val="2"/>
      <w:numFmt w:val="japaneseCounting"/>
      <w:lvlText w:val="%1、"/>
      <w:lvlJc w:val="left"/>
      <w:pPr>
        <w:ind w:left="500" w:hanging="50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nsid w:val="1B333C46"/>
    <w:multiLevelType w:val="hybridMultilevel"/>
    <w:tmpl w:val="8EE09B30"/>
    <w:lvl w:ilvl="0" w:tplc="A2F28BB2">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nsid w:val="226E0773"/>
    <w:multiLevelType w:val="hybridMultilevel"/>
    <w:tmpl w:val="B5B2DB6A"/>
    <w:lvl w:ilvl="0" w:tplc="70420AEE">
      <w:start w:val="1"/>
      <w:numFmt w:val="japaneseCounting"/>
      <w:lvlText w:val="%1、"/>
      <w:lvlJc w:val="left"/>
      <w:pPr>
        <w:ind w:left="1202" w:hanging="72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4">
    <w:nsid w:val="4C4C3A95"/>
    <w:multiLevelType w:val="hybridMultilevel"/>
    <w:tmpl w:val="AB544F24"/>
    <w:lvl w:ilvl="0" w:tplc="27A41B96">
      <w:start w:val="1"/>
      <w:numFmt w:val="japaneseCounting"/>
      <w:lvlText w:val="%1、"/>
      <w:lvlJc w:val="left"/>
      <w:pPr>
        <w:ind w:left="1202" w:hanging="72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JiYzNkOWYyZjA1ZGM0ZjI0YzBkMzEwMjI5OTMxOTYifQ=="/>
  </w:docVars>
  <w:rsids>
    <w:rsidRoot w:val="00E41DD3"/>
    <w:rsid w:val="0002334C"/>
    <w:rsid w:val="00031D09"/>
    <w:rsid w:val="000420C5"/>
    <w:rsid w:val="0004696C"/>
    <w:rsid w:val="00047A58"/>
    <w:rsid w:val="00047D33"/>
    <w:rsid w:val="000619DF"/>
    <w:rsid w:val="00080B0E"/>
    <w:rsid w:val="00097DF2"/>
    <w:rsid w:val="000B413E"/>
    <w:rsid w:val="000B69AB"/>
    <w:rsid w:val="000C265C"/>
    <w:rsid w:val="000D37DA"/>
    <w:rsid w:val="000E4815"/>
    <w:rsid w:val="000F0EAB"/>
    <w:rsid w:val="000F517A"/>
    <w:rsid w:val="00102C3D"/>
    <w:rsid w:val="001058FB"/>
    <w:rsid w:val="00106322"/>
    <w:rsid w:val="00112CFF"/>
    <w:rsid w:val="0011307A"/>
    <w:rsid w:val="0011435A"/>
    <w:rsid w:val="00120ED8"/>
    <w:rsid w:val="00126CC4"/>
    <w:rsid w:val="0013310C"/>
    <w:rsid w:val="00136CB9"/>
    <w:rsid w:val="0014011E"/>
    <w:rsid w:val="0015638D"/>
    <w:rsid w:val="00156953"/>
    <w:rsid w:val="00162EAA"/>
    <w:rsid w:val="001A08E2"/>
    <w:rsid w:val="001A6617"/>
    <w:rsid w:val="001B0496"/>
    <w:rsid w:val="001B628C"/>
    <w:rsid w:val="001C5D9E"/>
    <w:rsid w:val="001C62FE"/>
    <w:rsid w:val="001D3399"/>
    <w:rsid w:val="001D5CDA"/>
    <w:rsid w:val="001F5183"/>
    <w:rsid w:val="00200CD0"/>
    <w:rsid w:val="00201935"/>
    <w:rsid w:val="00204F66"/>
    <w:rsid w:val="0021387A"/>
    <w:rsid w:val="0022114D"/>
    <w:rsid w:val="00224437"/>
    <w:rsid w:val="00237C1F"/>
    <w:rsid w:val="002432EE"/>
    <w:rsid w:val="00255892"/>
    <w:rsid w:val="002609CF"/>
    <w:rsid w:val="00273527"/>
    <w:rsid w:val="00275A18"/>
    <w:rsid w:val="00291E73"/>
    <w:rsid w:val="00295D29"/>
    <w:rsid w:val="002B1C01"/>
    <w:rsid w:val="002B312D"/>
    <w:rsid w:val="002C3803"/>
    <w:rsid w:val="002C424F"/>
    <w:rsid w:val="002C4C59"/>
    <w:rsid w:val="002D48FC"/>
    <w:rsid w:val="002D714D"/>
    <w:rsid w:val="002F6723"/>
    <w:rsid w:val="003057E1"/>
    <w:rsid w:val="003065CA"/>
    <w:rsid w:val="003147DC"/>
    <w:rsid w:val="00320893"/>
    <w:rsid w:val="003479D7"/>
    <w:rsid w:val="00352AAB"/>
    <w:rsid w:val="00360DF7"/>
    <w:rsid w:val="00361851"/>
    <w:rsid w:val="0037392B"/>
    <w:rsid w:val="0038581E"/>
    <w:rsid w:val="003A39C0"/>
    <w:rsid w:val="003B181E"/>
    <w:rsid w:val="003F61BD"/>
    <w:rsid w:val="003F69AD"/>
    <w:rsid w:val="004543E6"/>
    <w:rsid w:val="00464A9A"/>
    <w:rsid w:val="004861CD"/>
    <w:rsid w:val="00494DCA"/>
    <w:rsid w:val="004A1C8D"/>
    <w:rsid w:val="004D079B"/>
    <w:rsid w:val="004D0DE8"/>
    <w:rsid w:val="004D5456"/>
    <w:rsid w:val="004D69C4"/>
    <w:rsid w:val="005022A2"/>
    <w:rsid w:val="0050639A"/>
    <w:rsid w:val="0051215D"/>
    <w:rsid w:val="00513E02"/>
    <w:rsid w:val="005305F5"/>
    <w:rsid w:val="00550720"/>
    <w:rsid w:val="00552D82"/>
    <w:rsid w:val="00561BAF"/>
    <w:rsid w:val="005716B2"/>
    <w:rsid w:val="00581330"/>
    <w:rsid w:val="00583EB6"/>
    <w:rsid w:val="00596575"/>
    <w:rsid w:val="005A3DDC"/>
    <w:rsid w:val="005C13B0"/>
    <w:rsid w:val="005D7FDD"/>
    <w:rsid w:val="00601F1A"/>
    <w:rsid w:val="00603EE3"/>
    <w:rsid w:val="00614B51"/>
    <w:rsid w:val="00621B8D"/>
    <w:rsid w:val="00624D09"/>
    <w:rsid w:val="00630078"/>
    <w:rsid w:val="00636C2B"/>
    <w:rsid w:val="00647780"/>
    <w:rsid w:val="00650180"/>
    <w:rsid w:val="006518ED"/>
    <w:rsid w:val="00673A71"/>
    <w:rsid w:val="006A4388"/>
    <w:rsid w:val="006B13E9"/>
    <w:rsid w:val="006C01C2"/>
    <w:rsid w:val="006C23B5"/>
    <w:rsid w:val="006D3709"/>
    <w:rsid w:val="006E553B"/>
    <w:rsid w:val="006F6563"/>
    <w:rsid w:val="0071750F"/>
    <w:rsid w:val="007250C4"/>
    <w:rsid w:val="00732907"/>
    <w:rsid w:val="00733F49"/>
    <w:rsid w:val="00737DEE"/>
    <w:rsid w:val="007504E2"/>
    <w:rsid w:val="00752A8C"/>
    <w:rsid w:val="00755A3E"/>
    <w:rsid w:val="007613FB"/>
    <w:rsid w:val="00767F36"/>
    <w:rsid w:val="00773178"/>
    <w:rsid w:val="00775286"/>
    <w:rsid w:val="0078343D"/>
    <w:rsid w:val="007836EA"/>
    <w:rsid w:val="00784D9E"/>
    <w:rsid w:val="00791D44"/>
    <w:rsid w:val="007B569E"/>
    <w:rsid w:val="007B6F87"/>
    <w:rsid w:val="007D716C"/>
    <w:rsid w:val="007E23FB"/>
    <w:rsid w:val="007F2193"/>
    <w:rsid w:val="00804746"/>
    <w:rsid w:val="0081221E"/>
    <w:rsid w:val="00821414"/>
    <w:rsid w:val="008251BA"/>
    <w:rsid w:val="0083791E"/>
    <w:rsid w:val="008565A6"/>
    <w:rsid w:val="00867AC9"/>
    <w:rsid w:val="008737EA"/>
    <w:rsid w:val="00882B14"/>
    <w:rsid w:val="008B30D6"/>
    <w:rsid w:val="008B32B8"/>
    <w:rsid w:val="008C1707"/>
    <w:rsid w:val="008C4F8D"/>
    <w:rsid w:val="008C7324"/>
    <w:rsid w:val="008D1146"/>
    <w:rsid w:val="008E0E57"/>
    <w:rsid w:val="008F23BF"/>
    <w:rsid w:val="008F5205"/>
    <w:rsid w:val="008F72FE"/>
    <w:rsid w:val="00920FD8"/>
    <w:rsid w:val="0093255B"/>
    <w:rsid w:val="009438EE"/>
    <w:rsid w:val="00953355"/>
    <w:rsid w:val="009575A0"/>
    <w:rsid w:val="009802AF"/>
    <w:rsid w:val="009924E1"/>
    <w:rsid w:val="009B101A"/>
    <w:rsid w:val="00A06C21"/>
    <w:rsid w:val="00A179CC"/>
    <w:rsid w:val="00A24293"/>
    <w:rsid w:val="00A364D6"/>
    <w:rsid w:val="00A37175"/>
    <w:rsid w:val="00A37D37"/>
    <w:rsid w:val="00A45DE0"/>
    <w:rsid w:val="00A50C5B"/>
    <w:rsid w:val="00A55535"/>
    <w:rsid w:val="00A557CE"/>
    <w:rsid w:val="00A70E42"/>
    <w:rsid w:val="00A71158"/>
    <w:rsid w:val="00A727BA"/>
    <w:rsid w:val="00A76526"/>
    <w:rsid w:val="00A82B7C"/>
    <w:rsid w:val="00AA6A79"/>
    <w:rsid w:val="00AB3D43"/>
    <w:rsid w:val="00AB61ED"/>
    <w:rsid w:val="00AC21AA"/>
    <w:rsid w:val="00AF1C7A"/>
    <w:rsid w:val="00AF22B9"/>
    <w:rsid w:val="00B10D7A"/>
    <w:rsid w:val="00B1519B"/>
    <w:rsid w:val="00B25BC6"/>
    <w:rsid w:val="00B754FB"/>
    <w:rsid w:val="00B83124"/>
    <w:rsid w:val="00B83BCF"/>
    <w:rsid w:val="00BA1E03"/>
    <w:rsid w:val="00BE1853"/>
    <w:rsid w:val="00C0231E"/>
    <w:rsid w:val="00C124E6"/>
    <w:rsid w:val="00C213B4"/>
    <w:rsid w:val="00C24FDF"/>
    <w:rsid w:val="00C36C41"/>
    <w:rsid w:val="00C46A52"/>
    <w:rsid w:val="00C51DCB"/>
    <w:rsid w:val="00C52567"/>
    <w:rsid w:val="00C61EFC"/>
    <w:rsid w:val="00C83676"/>
    <w:rsid w:val="00C858DF"/>
    <w:rsid w:val="00C91937"/>
    <w:rsid w:val="00CA1E2A"/>
    <w:rsid w:val="00CC5C1E"/>
    <w:rsid w:val="00CD5A2D"/>
    <w:rsid w:val="00CE0DED"/>
    <w:rsid w:val="00CF6629"/>
    <w:rsid w:val="00D05D35"/>
    <w:rsid w:val="00D07391"/>
    <w:rsid w:val="00D07733"/>
    <w:rsid w:val="00D17FD5"/>
    <w:rsid w:val="00D362F2"/>
    <w:rsid w:val="00D45C12"/>
    <w:rsid w:val="00D510BB"/>
    <w:rsid w:val="00D53E95"/>
    <w:rsid w:val="00D5744D"/>
    <w:rsid w:val="00D60741"/>
    <w:rsid w:val="00D73C06"/>
    <w:rsid w:val="00D7482C"/>
    <w:rsid w:val="00D94E8C"/>
    <w:rsid w:val="00DB2CD7"/>
    <w:rsid w:val="00DB7DF4"/>
    <w:rsid w:val="00DC2F31"/>
    <w:rsid w:val="00DC7861"/>
    <w:rsid w:val="00DE16D3"/>
    <w:rsid w:val="00DE2D30"/>
    <w:rsid w:val="00DE73B3"/>
    <w:rsid w:val="00DF6552"/>
    <w:rsid w:val="00E0335A"/>
    <w:rsid w:val="00E05429"/>
    <w:rsid w:val="00E253D2"/>
    <w:rsid w:val="00E30A59"/>
    <w:rsid w:val="00E31DB3"/>
    <w:rsid w:val="00E334B6"/>
    <w:rsid w:val="00E41DD3"/>
    <w:rsid w:val="00E47A2C"/>
    <w:rsid w:val="00E53973"/>
    <w:rsid w:val="00E66A72"/>
    <w:rsid w:val="00E929AE"/>
    <w:rsid w:val="00E959D5"/>
    <w:rsid w:val="00EB2B62"/>
    <w:rsid w:val="00EB4107"/>
    <w:rsid w:val="00EB6567"/>
    <w:rsid w:val="00EB7B79"/>
    <w:rsid w:val="00EF07D4"/>
    <w:rsid w:val="00EF4E19"/>
    <w:rsid w:val="00EF7D75"/>
    <w:rsid w:val="00F11F9F"/>
    <w:rsid w:val="00F25459"/>
    <w:rsid w:val="00F306B2"/>
    <w:rsid w:val="00F61E25"/>
    <w:rsid w:val="00F73735"/>
    <w:rsid w:val="00FA1EBC"/>
    <w:rsid w:val="00FC574F"/>
    <w:rsid w:val="00FD281E"/>
    <w:rsid w:val="00FD476B"/>
    <w:rsid w:val="00FE575F"/>
    <w:rsid w:val="0D522589"/>
    <w:rsid w:val="0E436275"/>
    <w:rsid w:val="24E84DA9"/>
    <w:rsid w:val="4CBA251B"/>
    <w:rsid w:val="505F3BA0"/>
    <w:rsid w:val="5B4C0B44"/>
    <w:rsid w:val="5E3865C5"/>
    <w:rsid w:val="626443FB"/>
    <w:rsid w:val="6F994FF1"/>
    <w:rsid w:val="6FBE6756"/>
    <w:rsid w:val="76B669CC"/>
    <w:rsid w:val="77731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A5377F"/>
  <w15:docId w15:val="{130E8584-A0E0-4EFC-B66F-D2F9323CB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13B4"/>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qFormat/>
    <w:rPr>
      <w:rFonts w:asciiTheme="minorHAnsi" w:eastAsiaTheme="minorEastAsia" w:hAnsiTheme="minorHAnsi" w:cstheme="minorBidi"/>
      <w:kern w:val="2"/>
      <w:sz w:val="18"/>
      <w:szCs w:val="18"/>
    </w:rPr>
  </w:style>
  <w:style w:type="character" w:customStyle="1" w:styleId="Char">
    <w:name w:val="页脚 Char"/>
    <w:basedOn w:val="a0"/>
    <w:link w:val="a3"/>
    <w:rPr>
      <w:rFonts w:asciiTheme="minorHAnsi" w:eastAsiaTheme="minorEastAsia" w:hAnsiTheme="minorHAnsi" w:cstheme="minorBidi"/>
      <w:kern w:val="2"/>
      <w:sz w:val="18"/>
      <w:szCs w:val="18"/>
    </w:rPr>
  </w:style>
  <w:style w:type="paragraph" w:styleId="a6">
    <w:name w:val="List Paragraph"/>
    <w:basedOn w:val="a"/>
    <w:uiPriority w:val="99"/>
    <w:pPr>
      <w:ind w:firstLineChars="200" w:firstLine="420"/>
    </w:pPr>
  </w:style>
  <w:style w:type="paragraph" w:styleId="a7">
    <w:name w:val="Body Text"/>
    <w:basedOn w:val="a"/>
    <w:link w:val="Char1"/>
    <w:qFormat/>
    <w:rsid w:val="00031D09"/>
    <w:pPr>
      <w:widowControl/>
      <w:spacing w:before="180" w:after="180"/>
      <w:jc w:val="left"/>
    </w:pPr>
    <w:rPr>
      <w:kern w:val="0"/>
      <w:sz w:val="24"/>
      <w:lang w:eastAsia="en-US"/>
    </w:rPr>
  </w:style>
  <w:style w:type="character" w:customStyle="1" w:styleId="Char1">
    <w:name w:val="正文文本 Char"/>
    <w:basedOn w:val="a0"/>
    <w:link w:val="a7"/>
    <w:rsid w:val="00031D09"/>
    <w:rPr>
      <w:rFonts w:asciiTheme="minorHAnsi" w:eastAsiaTheme="minorEastAsia" w:hAnsiTheme="minorHAnsi"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30181">
      <w:bodyDiv w:val="1"/>
      <w:marLeft w:val="0"/>
      <w:marRight w:val="0"/>
      <w:marTop w:val="0"/>
      <w:marBottom w:val="0"/>
      <w:divBdr>
        <w:top w:val="none" w:sz="0" w:space="0" w:color="auto"/>
        <w:left w:val="none" w:sz="0" w:space="0" w:color="auto"/>
        <w:bottom w:val="none" w:sz="0" w:space="0" w:color="auto"/>
        <w:right w:val="none" w:sz="0" w:space="0" w:color="auto"/>
      </w:divBdr>
    </w:div>
    <w:div w:id="809371168">
      <w:bodyDiv w:val="1"/>
      <w:marLeft w:val="0"/>
      <w:marRight w:val="0"/>
      <w:marTop w:val="0"/>
      <w:marBottom w:val="0"/>
      <w:divBdr>
        <w:top w:val="none" w:sz="0" w:space="0" w:color="auto"/>
        <w:left w:val="none" w:sz="0" w:space="0" w:color="auto"/>
        <w:bottom w:val="none" w:sz="0" w:space="0" w:color="auto"/>
        <w:right w:val="none" w:sz="0" w:space="0" w:color="auto"/>
      </w:divBdr>
    </w:div>
    <w:div w:id="1331328058">
      <w:bodyDiv w:val="1"/>
      <w:marLeft w:val="0"/>
      <w:marRight w:val="0"/>
      <w:marTop w:val="0"/>
      <w:marBottom w:val="0"/>
      <w:divBdr>
        <w:top w:val="none" w:sz="0" w:space="0" w:color="auto"/>
        <w:left w:val="none" w:sz="0" w:space="0" w:color="auto"/>
        <w:bottom w:val="none" w:sz="0" w:space="0" w:color="auto"/>
        <w:right w:val="none" w:sz="0" w:space="0" w:color="auto"/>
      </w:divBdr>
      <w:divsChild>
        <w:div w:id="1708142250">
          <w:marLeft w:val="0"/>
          <w:marRight w:val="0"/>
          <w:marTop w:val="0"/>
          <w:marBottom w:val="0"/>
          <w:divBdr>
            <w:top w:val="none" w:sz="0" w:space="0" w:color="auto"/>
            <w:left w:val="none" w:sz="0" w:space="0" w:color="auto"/>
            <w:bottom w:val="none" w:sz="0" w:space="0" w:color="auto"/>
            <w:right w:val="none" w:sz="0" w:space="0" w:color="auto"/>
          </w:divBdr>
          <w:divsChild>
            <w:div w:id="134612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72CBC-FFB0-4628-92C9-86041199C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583</Words>
  <Characters>3326</Characters>
  <Application>Microsoft Office Word</Application>
  <DocSecurity>0</DocSecurity>
  <Lines>27</Lines>
  <Paragraphs>7</Paragraphs>
  <ScaleCrop>false</ScaleCrop>
  <Company/>
  <LinksUpToDate>false</LinksUpToDate>
  <CharactersWithSpaces>3902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董事会办公室</dc:creator>
  <cp:lastModifiedBy>zzz</cp:lastModifiedBy>
  <cp:revision>5</cp:revision>
  <dcterms:created xsi:type="dcterms:W3CDTF">2026-07-26T13:18:00Z</dcterms:created>
  <dcterms:modified xsi:type="dcterms:W3CDTF">2026-07-27T00:30:00Z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7A6FFA7B47CA44F8AA231AC75C1D7AAB_13</vt:lpwstr>
  </property>
</Properties>
</file>