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459B28">
      <w:pPr>
        <w:jc w:val="left"/>
        <w:rPr>
          <w:b/>
          <w:bCs/>
          <w:sz w:val="28"/>
          <w:szCs w:val="28"/>
        </w:rPr>
      </w:pPr>
      <w:r>
        <w:rPr>
          <w:rFonts w:hint="eastAsia"/>
          <w:b/>
          <w:bCs/>
          <w:szCs w:val="24"/>
        </w:rPr>
        <w:t xml:space="preserve">证券代码： </w:t>
      </w:r>
      <w:r>
        <w:rPr>
          <w:b/>
          <w:bCs/>
          <w:szCs w:val="24"/>
        </w:rPr>
        <w:t xml:space="preserve">688790 </w:t>
      </w:r>
      <w:r>
        <w:rPr>
          <w:rFonts w:hint="eastAsia"/>
          <w:b/>
          <w:bCs/>
          <w:szCs w:val="24"/>
        </w:rPr>
        <w:t xml:space="preserve">                          </w:t>
      </w:r>
      <w:r>
        <w:rPr>
          <w:b/>
          <w:bCs/>
          <w:szCs w:val="24"/>
        </w:rPr>
        <w:t xml:space="preserve"> </w:t>
      </w:r>
      <w:r>
        <w:rPr>
          <w:rFonts w:hint="eastAsia"/>
          <w:b/>
          <w:bCs/>
          <w:szCs w:val="24"/>
        </w:rPr>
        <w:t xml:space="preserve">     </w:t>
      </w:r>
      <w:r>
        <w:rPr>
          <w:b/>
          <w:bCs/>
          <w:szCs w:val="24"/>
        </w:rPr>
        <w:t xml:space="preserve"> </w:t>
      </w:r>
      <w:r>
        <w:rPr>
          <w:rFonts w:hint="eastAsia"/>
          <w:b/>
          <w:bCs/>
          <w:szCs w:val="24"/>
        </w:rPr>
        <w:t>证券简称： 昂瑞微</w:t>
      </w:r>
    </w:p>
    <w:p w14:paraId="284553C4">
      <w:pPr>
        <w:jc w:val="center"/>
        <w:rPr>
          <w:b/>
          <w:bCs/>
          <w:sz w:val="28"/>
          <w:szCs w:val="28"/>
        </w:rPr>
      </w:pPr>
      <w:r>
        <w:rPr>
          <w:rFonts w:hint="eastAsia"/>
          <w:b/>
          <w:bCs/>
          <w:sz w:val="28"/>
          <w:szCs w:val="28"/>
        </w:rPr>
        <w:t>北京昂瑞微电子技术股份有限公司</w:t>
      </w:r>
    </w:p>
    <w:p w14:paraId="272FAB0F">
      <w:pPr>
        <w:jc w:val="center"/>
        <w:rPr>
          <w:b/>
          <w:bCs/>
          <w:sz w:val="28"/>
          <w:szCs w:val="28"/>
        </w:rPr>
      </w:pPr>
      <w:r>
        <w:rPr>
          <w:rFonts w:hint="eastAsia"/>
          <w:b/>
          <w:bCs/>
          <w:sz w:val="28"/>
          <w:szCs w:val="28"/>
        </w:rPr>
        <w:t>投</w:t>
      </w:r>
      <w:bookmarkStart w:id="0" w:name="OLE_LINK4"/>
      <w:r>
        <w:rPr>
          <w:rFonts w:hint="eastAsia"/>
          <w:b/>
          <w:bCs/>
          <w:sz w:val="28"/>
          <w:szCs w:val="28"/>
        </w:rPr>
        <w:t>资者关系活动记录表</w:t>
      </w:r>
      <w:bookmarkEnd w:id="0"/>
    </w:p>
    <w:p w14:paraId="63B64804">
      <w:pPr>
        <w:ind w:firstLine="241" w:firstLineChars="100"/>
        <w:rPr>
          <w:b/>
          <w:bCs/>
          <w:szCs w:val="24"/>
        </w:rPr>
      </w:pPr>
      <w:r>
        <w:rPr>
          <w:b/>
          <w:bCs/>
          <w:szCs w:val="24"/>
        </w:rPr>
        <w:t xml:space="preserve">         </w:t>
      </w:r>
      <w:r>
        <w:rPr>
          <w:rFonts w:hint="eastAsia"/>
          <w:b/>
          <w:bCs/>
          <w:szCs w:val="24"/>
        </w:rPr>
        <w:t xml:space="preserve">                                             编号：2</w:t>
      </w:r>
      <w:r>
        <w:rPr>
          <w:b/>
          <w:bCs/>
          <w:szCs w:val="24"/>
        </w:rPr>
        <w:t>026-00</w:t>
      </w:r>
      <w:r>
        <w:rPr>
          <w:rFonts w:hint="eastAsia"/>
          <w:b/>
          <w:bCs/>
          <w:szCs w:val="24"/>
        </w:rPr>
        <w:t>5</w:t>
      </w:r>
    </w:p>
    <w:tbl>
      <w:tblPr>
        <w:tblStyle w:val="9"/>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0"/>
        <w:gridCol w:w="6051"/>
      </w:tblGrid>
      <w:tr w14:paraId="13AE7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tcPr>
          <w:p w14:paraId="6E82FE89">
            <w:pPr>
              <w:jc w:val="center"/>
              <w:rPr>
                <w:b/>
                <w:bCs/>
                <w:szCs w:val="24"/>
              </w:rPr>
            </w:pPr>
          </w:p>
          <w:p w14:paraId="169FB84D">
            <w:pPr>
              <w:jc w:val="center"/>
              <w:rPr>
                <w:b/>
                <w:bCs/>
                <w:szCs w:val="24"/>
              </w:rPr>
            </w:pPr>
          </w:p>
          <w:p w14:paraId="1B944C7F">
            <w:pPr>
              <w:jc w:val="center"/>
              <w:rPr>
                <w:b/>
                <w:bCs/>
                <w:szCs w:val="24"/>
              </w:rPr>
            </w:pPr>
            <w:r>
              <w:rPr>
                <w:rFonts w:hint="eastAsia"/>
                <w:b/>
                <w:bCs/>
                <w:szCs w:val="24"/>
              </w:rPr>
              <w:t>投资者关系活动</w:t>
            </w:r>
          </w:p>
          <w:p w14:paraId="1F1EB772">
            <w:pPr>
              <w:jc w:val="center"/>
              <w:rPr>
                <w:b/>
                <w:bCs/>
                <w:szCs w:val="24"/>
              </w:rPr>
            </w:pPr>
            <w:r>
              <w:rPr>
                <w:rFonts w:hint="eastAsia"/>
                <w:b/>
                <w:bCs/>
                <w:szCs w:val="24"/>
              </w:rPr>
              <w:t>类别</w:t>
            </w:r>
          </w:p>
        </w:tc>
        <w:tc>
          <w:tcPr>
            <w:tcW w:w="6051" w:type="dxa"/>
          </w:tcPr>
          <w:p w14:paraId="1985DD8F">
            <w:pPr>
              <w:spacing w:line="360" w:lineRule="auto"/>
              <w:rPr>
                <w:rFonts w:hint="eastAsia" w:ascii="宋体" w:hAnsi="宋体"/>
                <w:szCs w:val="24"/>
              </w:rPr>
            </w:pPr>
            <w:r>
              <w:rPr>
                <w:rFonts w:hint="eastAsia"/>
                <w:bCs/>
                <w:iCs/>
              </w:rPr>
              <w:t>√</w:t>
            </w:r>
            <w:r>
              <w:rPr>
                <w:rFonts w:hint="eastAsia" w:ascii="宋体" w:hAnsi="宋体"/>
                <w:szCs w:val="24"/>
              </w:rPr>
              <w:t xml:space="preserve">特定对象调研 </w:t>
            </w:r>
            <w:r>
              <w:rPr>
                <w:rFonts w:ascii="宋体" w:hAnsi="宋体"/>
                <w:szCs w:val="24"/>
              </w:rPr>
              <w:t xml:space="preserve">   </w:t>
            </w:r>
            <w:r>
              <w:rPr>
                <w:rFonts w:hint="eastAsia" w:ascii="宋体" w:hAnsi="宋体"/>
                <w:szCs w:val="24"/>
              </w:rPr>
              <w:t>□分析师会议</w:t>
            </w:r>
          </w:p>
          <w:p w14:paraId="708EC0B8">
            <w:pPr>
              <w:spacing w:line="360" w:lineRule="auto"/>
              <w:rPr>
                <w:rFonts w:hint="eastAsia" w:ascii="宋体" w:hAnsi="宋体"/>
                <w:szCs w:val="24"/>
              </w:rPr>
            </w:pPr>
            <w:r>
              <w:rPr>
                <w:rFonts w:hint="eastAsia" w:ascii="宋体" w:hAnsi="宋体"/>
                <w:szCs w:val="24"/>
              </w:rPr>
              <w:t xml:space="preserve">□媒体采访 </w:t>
            </w:r>
            <w:r>
              <w:rPr>
                <w:rFonts w:ascii="宋体" w:hAnsi="宋体"/>
                <w:szCs w:val="24"/>
              </w:rPr>
              <w:t xml:space="preserve">       </w:t>
            </w:r>
            <w:r>
              <w:rPr>
                <w:rFonts w:hint="eastAsia" w:ascii="宋体" w:hAnsi="宋体"/>
                <w:szCs w:val="24"/>
              </w:rPr>
              <w:t>□业绩说明会</w:t>
            </w:r>
          </w:p>
          <w:p w14:paraId="66D90B35">
            <w:pPr>
              <w:spacing w:line="360" w:lineRule="auto"/>
              <w:rPr>
                <w:rFonts w:hint="eastAsia" w:ascii="宋体" w:hAnsi="宋体"/>
                <w:szCs w:val="24"/>
              </w:rPr>
            </w:pPr>
            <w:r>
              <w:rPr>
                <w:rFonts w:hint="eastAsia" w:ascii="宋体" w:hAnsi="宋体"/>
                <w:szCs w:val="24"/>
              </w:rPr>
              <w:t xml:space="preserve">□新闻发布会 </w:t>
            </w:r>
            <w:r>
              <w:rPr>
                <w:rFonts w:ascii="宋体" w:hAnsi="宋体"/>
                <w:szCs w:val="24"/>
              </w:rPr>
              <w:t xml:space="preserve">     </w:t>
            </w:r>
            <w:r>
              <w:rPr>
                <w:rFonts w:hint="eastAsia" w:ascii="宋体" w:hAnsi="宋体"/>
                <w:szCs w:val="24"/>
              </w:rPr>
              <w:t>□路演活动</w:t>
            </w:r>
          </w:p>
          <w:p w14:paraId="017DBA92">
            <w:pPr>
              <w:spacing w:line="360" w:lineRule="auto"/>
              <w:rPr>
                <w:szCs w:val="24"/>
              </w:rPr>
            </w:pPr>
            <w:r>
              <w:rPr>
                <w:rFonts w:hint="eastAsia" w:ascii="宋体" w:hAnsi="宋体"/>
                <w:szCs w:val="24"/>
              </w:rPr>
              <w:t>□现场参观□其他（</w:t>
            </w:r>
            <w:r>
              <w:rPr>
                <w:rFonts w:hint="eastAsia" w:ascii="宋体" w:hAnsi="宋体"/>
                <w:szCs w:val="24"/>
                <w:u w:val="thick"/>
              </w:rPr>
              <w:t>请文字说明其他活动内容</w:t>
            </w:r>
            <w:r>
              <w:rPr>
                <w:rFonts w:hint="eastAsia" w:ascii="宋体" w:hAnsi="宋体"/>
                <w:szCs w:val="24"/>
              </w:rPr>
              <w:t>）</w:t>
            </w:r>
          </w:p>
        </w:tc>
      </w:tr>
      <w:tr w14:paraId="1AFD5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2470" w:type="dxa"/>
            <w:vAlign w:val="center"/>
          </w:tcPr>
          <w:p w14:paraId="3DDA2904">
            <w:pPr>
              <w:jc w:val="center"/>
              <w:rPr>
                <w:b/>
                <w:bCs/>
                <w:szCs w:val="24"/>
              </w:rPr>
            </w:pPr>
            <w:r>
              <w:rPr>
                <w:rFonts w:hint="eastAsia"/>
                <w:b/>
                <w:bCs/>
                <w:szCs w:val="24"/>
              </w:rPr>
              <w:t>参与单位名称</w:t>
            </w:r>
          </w:p>
          <w:p w14:paraId="355617F4">
            <w:pPr>
              <w:jc w:val="center"/>
              <w:rPr>
                <w:b/>
                <w:bCs/>
                <w:szCs w:val="24"/>
              </w:rPr>
            </w:pPr>
            <w:r>
              <w:rPr>
                <w:rFonts w:hint="eastAsia"/>
                <w:b/>
                <w:bCs/>
                <w:szCs w:val="24"/>
              </w:rPr>
              <w:t>及姓名</w:t>
            </w:r>
          </w:p>
        </w:tc>
        <w:tc>
          <w:tcPr>
            <w:tcW w:w="6051" w:type="dxa"/>
            <w:vAlign w:val="center"/>
          </w:tcPr>
          <w:p w14:paraId="33BEF23C">
            <w:pPr>
              <w:jc w:val="center"/>
              <w:rPr>
                <w:szCs w:val="24"/>
              </w:rPr>
            </w:pPr>
            <w:r>
              <w:rPr>
                <w:rFonts w:hint="eastAsia"/>
                <w:szCs w:val="24"/>
              </w:rPr>
              <w:t>哈勃科技创业投资有限公司、深圳市广和通无线股份有限公司</w:t>
            </w:r>
          </w:p>
        </w:tc>
      </w:tr>
      <w:tr w14:paraId="7CCA8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470" w:type="dxa"/>
            <w:vAlign w:val="center"/>
          </w:tcPr>
          <w:p w14:paraId="0AA5FE62">
            <w:pPr>
              <w:jc w:val="center"/>
              <w:rPr>
                <w:b/>
                <w:bCs/>
                <w:szCs w:val="24"/>
              </w:rPr>
            </w:pPr>
            <w:r>
              <w:rPr>
                <w:rFonts w:hint="eastAsia"/>
                <w:b/>
                <w:bCs/>
                <w:szCs w:val="24"/>
              </w:rPr>
              <w:t>时间</w:t>
            </w:r>
          </w:p>
        </w:tc>
        <w:tc>
          <w:tcPr>
            <w:tcW w:w="6051" w:type="dxa"/>
            <w:vAlign w:val="center"/>
          </w:tcPr>
          <w:p w14:paraId="1374BA7A">
            <w:pPr>
              <w:jc w:val="center"/>
              <w:rPr>
                <w:szCs w:val="24"/>
              </w:rPr>
            </w:pPr>
            <w:r>
              <w:rPr>
                <w:rFonts w:hint="eastAsia"/>
                <w:szCs w:val="24"/>
              </w:rPr>
              <w:t>2</w:t>
            </w:r>
            <w:r>
              <w:rPr>
                <w:szCs w:val="24"/>
              </w:rPr>
              <w:t>026</w:t>
            </w:r>
            <w:r>
              <w:rPr>
                <w:rFonts w:hint="eastAsia"/>
                <w:szCs w:val="24"/>
              </w:rPr>
              <w:t>年7月</w:t>
            </w:r>
          </w:p>
        </w:tc>
      </w:tr>
      <w:tr w14:paraId="24F13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470" w:type="dxa"/>
            <w:vAlign w:val="center"/>
          </w:tcPr>
          <w:p w14:paraId="3AC08DE7">
            <w:pPr>
              <w:jc w:val="center"/>
              <w:rPr>
                <w:b/>
                <w:bCs/>
                <w:szCs w:val="24"/>
              </w:rPr>
            </w:pPr>
            <w:r>
              <w:rPr>
                <w:rFonts w:hint="eastAsia"/>
                <w:b/>
                <w:bCs/>
                <w:szCs w:val="24"/>
              </w:rPr>
              <w:t>地点</w:t>
            </w:r>
          </w:p>
        </w:tc>
        <w:tc>
          <w:tcPr>
            <w:tcW w:w="6051" w:type="dxa"/>
            <w:vAlign w:val="center"/>
          </w:tcPr>
          <w:p w14:paraId="5C98B609">
            <w:pPr>
              <w:jc w:val="center"/>
              <w:rPr>
                <w:szCs w:val="24"/>
              </w:rPr>
            </w:pPr>
            <w:r>
              <w:rPr>
                <w:rFonts w:hint="eastAsia"/>
                <w:szCs w:val="24"/>
              </w:rPr>
              <w:t>公司会议室</w:t>
            </w:r>
          </w:p>
        </w:tc>
      </w:tr>
      <w:tr w14:paraId="7BF7C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470" w:type="dxa"/>
            <w:vAlign w:val="center"/>
          </w:tcPr>
          <w:p w14:paraId="61B6CCDF">
            <w:pPr>
              <w:jc w:val="center"/>
              <w:rPr>
                <w:b/>
                <w:bCs/>
                <w:szCs w:val="24"/>
              </w:rPr>
            </w:pPr>
            <w:r>
              <w:rPr>
                <w:rFonts w:hint="eastAsia"/>
                <w:b/>
                <w:bCs/>
                <w:szCs w:val="24"/>
              </w:rPr>
              <w:t>上市公司接待人员</w:t>
            </w:r>
          </w:p>
        </w:tc>
        <w:tc>
          <w:tcPr>
            <w:tcW w:w="6051" w:type="dxa"/>
            <w:vAlign w:val="center"/>
          </w:tcPr>
          <w:p w14:paraId="6E386AB9">
            <w:pPr>
              <w:jc w:val="center"/>
              <w:rPr>
                <w:szCs w:val="24"/>
              </w:rPr>
            </w:pPr>
            <w:r>
              <w:rPr>
                <w:rFonts w:hint="eastAsia"/>
                <w:bCs/>
                <w:iCs/>
              </w:rPr>
              <w:t>董事会秘书：张馨瑜</w:t>
            </w:r>
          </w:p>
        </w:tc>
      </w:tr>
      <w:tr w14:paraId="42A09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vAlign w:val="center"/>
          </w:tcPr>
          <w:p w14:paraId="220F9397">
            <w:pPr>
              <w:jc w:val="center"/>
              <w:rPr>
                <w:b/>
                <w:bCs/>
                <w:szCs w:val="24"/>
              </w:rPr>
            </w:pPr>
            <w:r>
              <w:rPr>
                <w:rFonts w:hint="eastAsia"/>
                <w:b/>
                <w:bCs/>
                <w:szCs w:val="24"/>
              </w:rPr>
              <w:t>投资者关系活动主要内容介绍</w:t>
            </w:r>
          </w:p>
        </w:tc>
        <w:tc>
          <w:tcPr>
            <w:tcW w:w="6051" w:type="dxa"/>
          </w:tcPr>
          <w:p w14:paraId="4768EF62">
            <w:pPr>
              <w:numPr>
                <w:ilvl w:val="0"/>
                <w:numId w:val="1"/>
              </w:numPr>
              <w:wordWrap w:val="0"/>
              <w:rPr>
                <w:b/>
              </w:rPr>
            </w:pPr>
            <w:r>
              <w:rPr>
                <w:rFonts w:hint="eastAsia"/>
                <w:b/>
              </w:rPr>
              <w:t>交流的主要问题及回复</w:t>
            </w:r>
          </w:p>
          <w:p w14:paraId="171AEC50">
            <w:pPr>
              <w:numPr>
                <w:ilvl w:val="255"/>
                <w:numId w:val="0"/>
              </w:numPr>
              <w:wordWrap w:val="0"/>
              <w:rPr>
                <w:b/>
              </w:rPr>
            </w:pPr>
          </w:p>
          <w:p w14:paraId="6E750CE0">
            <w:pPr>
              <w:wordWrap w:val="0"/>
              <w:rPr>
                <w:rFonts w:cs="Times New Roman"/>
              </w:rPr>
            </w:pPr>
            <w:r>
              <w:rPr>
                <w:rFonts w:hint="eastAsia"/>
                <w:b/>
              </w:rPr>
              <w:t>1、当前射频前端行业竞争格局如何？公司行业地位如何？</w:t>
            </w:r>
          </w:p>
          <w:p w14:paraId="633F1A30">
            <w:pPr>
              <w:rPr>
                <w:rFonts w:cs="Times New Roman"/>
              </w:rPr>
            </w:pPr>
            <w:r>
              <w:rPr>
                <w:rFonts w:hint="eastAsia" w:cs="Times New Roman"/>
              </w:rPr>
              <w:t>全球射频前端市场曾长期由国际巨头主导，国内射频前端厂商起步较晚、基础技术相对薄弱，但市场份额稳步提升。在中低端市场，进入门槛相对较低，参与者较多，同质化竞争较为激烈，利润空间持续压缩；在高端市场，国内部分头部射频前端企业凭借多年技术研发与市场积累，持续加大研发投入，高集成度L-PAMiD模组等高端产品实现大规模量产并导入头部终端厂商供应链，行业集中度整体呈上升趋势。</w:t>
            </w:r>
          </w:p>
          <w:p w14:paraId="3052465F">
            <w:pPr>
              <w:rPr>
                <w:rFonts w:cs="Times New Roman"/>
              </w:rPr>
            </w:pPr>
            <w:r>
              <w:rPr>
                <w:rFonts w:hint="eastAsia" w:cs="Times New Roman"/>
              </w:rPr>
              <w:t>公司经过多年的研发投入和技术积累，在射频前端领域建立了一定的品牌知名度与市场影响力，已向多个知名品牌客户实现量产出货并建立了长期策略供应与合作关系，并积极开拓手机卫星通信、车载通信、低空经济等新兴应用领域。未来公司将持续加速产品迭代与商业化落地，巩固扩大核心竞争优势。</w:t>
            </w:r>
          </w:p>
          <w:p w14:paraId="60F84F4B">
            <w:pPr>
              <w:rPr>
                <w:rFonts w:cs="Times New Roman"/>
              </w:rPr>
            </w:pPr>
          </w:p>
          <w:p w14:paraId="0DF5E133">
            <w:pPr>
              <w:rPr>
                <w:rFonts w:cs="Times New Roman"/>
                <w:b/>
                <w:bCs/>
              </w:rPr>
            </w:pPr>
            <w:r>
              <w:rPr>
                <w:rFonts w:hint="eastAsia" w:cs="Times New Roman"/>
                <w:b/>
                <w:bCs/>
              </w:rPr>
              <w:t>2、射频前端在手机应用以外有哪些新的增长方向？公司在新兴领域方面的布局情况如何？未来几年展望如何？</w:t>
            </w:r>
          </w:p>
          <w:p w14:paraId="23B21D9B">
            <w:pPr>
              <w:rPr>
                <w:rFonts w:cs="Times New Roman"/>
              </w:rPr>
            </w:pPr>
            <w:r>
              <w:rPr>
                <w:rFonts w:hint="eastAsia" w:cs="Times New Roman"/>
              </w:rPr>
              <w:t>智能手机已进入增速放缓与存量结构调整阶段，公司正在围绕其他增量市场积极布局。手机卫星通信方面，公司实现支持北斗、天通及低轨的三合一卫星通信PA在品牌手机客户规模出货；在智能汽车领域，公司5G车规级系列产品已通过AEC-Q100车规级认证，并已在知名车企中实现应用；低空经济领域，公司射频产品已导入知名头部客户，并已实现规模量产。2025年，射频前端在公司整体收入中占比超75%。未来公司将聚焦于与品牌客户进行下一代产品联合定制开发，拓展差异化应用市场，逐步实现业务增长与毛利率提升。</w:t>
            </w:r>
          </w:p>
          <w:p w14:paraId="5964317A">
            <w:pPr>
              <w:rPr>
                <w:rFonts w:cs="Times New Roman"/>
              </w:rPr>
            </w:pPr>
          </w:p>
          <w:p w14:paraId="70BE93D8">
            <w:pPr>
              <w:rPr>
                <w:rFonts w:cs="Times New Roman"/>
              </w:rPr>
            </w:pPr>
            <w:r>
              <w:rPr>
                <w:rFonts w:hint="eastAsia" w:cs="Times New Roman"/>
                <w:b/>
                <w:bCs/>
              </w:rPr>
              <w:t>3、公司在</w:t>
            </w:r>
            <w:bookmarkStart w:id="1" w:name="OLE_LINK2"/>
            <w:r>
              <w:rPr>
                <w:rFonts w:hint="eastAsia" w:cs="Times New Roman"/>
                <w:b/>
              </w:rPr>
              <w:t>6G通信领</w:t>
            </w:r>
            <w:bookmarkEnd w:id="1"/>
            <w:r>
              <w:rPr>
                <w:rFonts w:hint="eastAsia" w:cs="Times New Roman"/>
                <w:b/>
              </w:rPr>
              <w:t>域的布局情况如何？</w:t>
            </w:r>
          </w:p>
          <w:p w14:paraId="4C677981">
            <w:pPr>
              <w:rPr>
                <w:rFonts w:cs="Times New Roman"/>
              </w:rPr>
            </w:pPr>
            <w:r>
              <w:rPr>
                <w:rFonts w:hint="eastAsia" w:cs="Times New Roman"/>
              </w:rPr>
              <w:t>随着通信频段不断向更高拓展，以及数据密集型应用快速发展，市场对网络带宽与连接能力的要求持续提升。未来，6G将向更高频段、更广覆盖和空天地一体化方向演进，将推动射频前端芯片迎来重大技术变革，同时为行业技术升级和产品创新带来新机遇。但目前6G仍处于标准探索阶段，尚未到商业化应用阶段，公司正在积极跟进新一代通信标准演进，围绕6G做好前沿技术积累。</w:t>
            </w:r>
          </w:p>
          <w:p w14:paraId="2FA6C2D8">
            <w:pPr>
              <w:rPr>
                <w:rFonts w:cs="Times New Roman"/>
              </w:rPr>
            </w:pPr>
          </w:p>
          <w:p w14:paraId="65146DF3">
            <w:pPr>
              <w:rPr>
                <w:rFonts w:cs="Times New Roman"/>
              </w:rPr>
            </w:pPr>
            <w:r>
              <w:rPr>
                <w:rFonts w:hint="eastAsia" w:cs="Times New Roman"/>
                <w:b/>
              </w:rPr>
              <w:t>4、射频SOC业务线发展情况如何？应用场景有哪些？</w:t>
            </w:r>
          </w:p>
          <w:p w14:paraId="3BE07C5E">
            <w:pPr>
              <w:rPr>
                <w:rFonts w:cs="Times New Roman"/>
              </w:rPr>
            </w:pPr>
            <w:r>
              <w:rPr>
                <w:rFonts w:hint="eastAsia" w:cs="Times New Roman"/>
              </w:rPr>
              <w:t>2025年射频SOC业务线营收同比增长41.50%。随着人工智能和大数据的快速发展，射频SoC下游应用领域愈加广泛化、多样化，公司射频SoC产品已导入知名工业、医疗、物联网等头部客户，覆盖无线外设、智能家居、健康医疗、智慧物流等多元物联网应用场景，市场空间有望持续扩大。</w:t>
            </w:r>
          </w:p>
          <w:p w14:paraId="742CB510">
            <w:pPr>
              <w:rPr>
                <w:rFonts w:cs="Times New Roman"/>
              </w:rPr>
            </w:pPr>
          </w:p>
          <w:p w14:paraId="1A2B8A2B">
            <w:pPr>
              <w:rPr>
                <w:rFonts w:cs="Times New Roman"/>
              </w:rPr>
            </w:pPr>
            <w:r>
              <w:rPr>
                <w:rFonts w:hint="eastAsia" w:cs="Times New Roman"/>
                <w:b/>
                <w:bCs/>
              </w:rPr>
              <w:t>5、其他模拟芯片业务线</w:t>
            </w:r>
            <w:r>
              <w:rPr>
                <w:rFonts w:hint="eastAsia" w:cs="Times New Roman"/>
                <w:b/>
              </w:rPr>
              <w:t>目前处于什么阶段？规划如何？</w:t>
            </w:r>
          </w:p>
          <w:p w14:paraId="2E7DB45E">
            <w:pPr>
              <w:rPr>
                <w:rFonts w:cs="Times New Roman"/>
              </w:rPr>
            </w:pPr>
            <w:r>
              <w:rPr>
                <w:rFonts w:hint="eastAsia" w:cs="Times New Roman"/>
              </w:rPr>
              <w:t>其他模拟芯片是公司三大核心业务赛道之一。公司围绕可穿戴对低功耗、精准电量管理以及定制射频电源的实际需求，实现电量计等产品大客户导入，已成功切入智能终端、无线外设、IPC（网络摄像机）、医疗健康等多个高潜力细分场景。未来公司将持续丰富其他模拟芯片产品矩阵，拓展多元应用领域，持续推进产品量产落地与客户定制化项目导入。</w:t>
            </w:r>
          </w:p>
          <w:p w14:paraId="2A16899A">
            <w:pPr>
              <w:rPr>
                <w:rFonts w:cs="Times New Roman"/>
              </w:rPr>
            </w:pPr>
          </w:p>
          <w:p w14:paraId="523BEBD6">
            <w:pPr>
              <w:rPr>
                <w:rFonts w:cs="Times New Roman"/>
                <w:b/>
                <w:bCs/>
              </w:rPr>
            </w:pPr>
            <w:r>
              <w:rPr>
                <w:rFonts w:hint="eastAsia" w:cs="Times New Roman"/>
                <w:b/>
                <w:bCs/>
              </w:rPr>
              <w:t>6、公司三大业务线的收入占比如何？</w:t>
            </w:r>
          </w:p>
          <w:p w14:paraId="28B38C3C">
            <w:pPr>
              <w:rPr>
                <w:rFonts w:cs="Times New Roman"/>
              </w:rPr>
            </w:pPr>
            <w:r>
              <w:rPr>
                <w:rFonts w:hint="eastAsia" w:cs="Times New Roman"/>
              </w:rPr>
              <w:t>2025年，公司实现主营业务收入188,239.59万元，其中射频前端产品收入占主营业务收入比重为77.32%，射频SoC产品占主营业务收入比重为22.18%，其他产品占主营业务收入比重为0.50%。</w:t>
            </w:r>
          </w:p>
          <w:p w14:paraId="17F372AA">
            <w:pPr>
              <w:rPr>
                <w:rFonts w:cs="Times New Roman"/>
              </w:rPr>
            </w:pPr>
          </w:p>
          <w:p w14:paraId="40641953">
            <w:pPr>
              <w:rPr>
                <w:rFonts w:hint="eastAsia" w:cs="Times New Roman"/>
              </w:rPr>
            </w:pPr>
            <w:r>
              <w:rPr>
                <w:rFonts w:hint="eastAsia" w:cs="Times New Roman"/>
                <w:b/>
                <w:bCs/>
              </w:rPr>
              <w:t>7、请问公司产能是否存在被AI挤压的情况？</w:t>
            </w:r>
            <w:bookmarkStart w:id="2" w:name="_GoBack"/>
            <w:bookmarkEnd w:id="2"/>
          </w:p>
          <w:p w14:paraId="3F5BE9BE">
            <w:pPr>
              <w:rPr>
                <w:rFonts w:cs="Times New Roman"/>
              </w:rPr>
            </w:pPr>
            <w:r>
              <w:rPr>
                <w:rFonts w:hint="eastAsia" w:cs="Times New Roman"/>
              </w:rPr>
              <w:t>2026年上半年，AI算力产业高速增长带动行业需求快速扩容，全球半导体产能供给持续偏紧，上游核心原材料价格上行。立足该行业背景，公司深度深化核心供应商战略合作机制，加快推进国产封装材料、基板板材等关键上游物料的国产认证与导入，通过供应链结构优化部分对冲成本波动风险，进一步提升供应链自主可控能力与抗风险韧性。</w:t>
            </w:r>
          </w:p>
          <w:p w14:paraId="361E0770">
            <w:pPr>
              <w:rPr>
                <w:rFonts w:cs="Times New Roman"/>
              </w:rPr>
            </w:pPr>
          </w:p>
          <w:p w14:paraId="286126A7">
            <w:pPr>
              <w:rPr>
                <w:rFonts w:cs="Times New Roman"/>
              </w:rPr>
            </w:pPr>
            <w:r>
              <w:rPr>
                <w:rFonts w:hint="eastAsia" w:cs="Times New Roman"/>
                <w:b/>
                <w:bCs/>
              </w:rPr>
              <w:t>8、公司海外客户拓展方面有哪些最新进展？</w:t>
            </w:r>
          </w:p>
          <w:p w14:paraId="131E48C2">
            <w:pPr>
              <w:rPr>
                <w:rFonts w:cs="Times New Roman"/>
              </w:rPr>
            </w:pPr>
            <w:r>
              <w:rPr>
                <w:rFonts w:hint="eastAsia" w:cs="Times New Roman"/>
              </w:rPr>
              <w:t>2025年，公司在海外市场取得初步进展，通过深</w:t>
            </w:r>
            <w:r>
              <w:rPr>
                <w:rFonts w:hint="eastAsia" w:cs="Times New Roman"/>
                <w:lang w:eastAsia="zh-CN"/>
              </w:rPr>
              <w:t>化与</w:t>
            </w:r>
            <w:r>
              <w:rPr>
                <w:rFonts w:hint="eastAsia" w:cs="Times New Roman"/>
              </w:rPr>
              <w:t>国际品牌客户的合作，不断提升产品盈利能力和品牌知名度。公司将全面推进国际化战略，拓展海外市场空间。扩充专业海外销售与技术支持团队，在核心海外市场设立分支机构，实现本地化服务与快速响应，拓展海外优质品牌客户与渠道合作伙伴，积极参与国际行业展会与技术交流活动，提升公司在全球射频、模拟芯片领域的品牌知名度与国际影响力。</w:t>
            </w:r>
          </w:p>
          <w:p w14:paraId="473B7D91">
            <w:pPr>
              <w:rPr>
                <w:rFonts w:cs="Times New Roman"/>
              </w:rPr>
            </w:pPr>
          </w:p>
          <w:p w14:paraId="5ED090D2">
            <w:pPr>
              <w:numPr>
                <w:ilvl w:val="0"/>
                <w:numId w:val="2"/>
              </w:numPr>
              <w:rPr>
                <w:rFonts w:cs="Times New Roman"/>
                <w:b/>
                <w:bCs/>
              </w:rPr>
            </w:pPr>
            <w:r>
              <w:rPr>
                <w:rFonts w:hint="eastAsia" w:cs="Times New Roman"/>
                <w:b/>
                <w:bCs/>
              </w:rPr>
              <w:t>公司目前的资金状况如何？</w:t>
            </w:r>
          </w:p>
          <w:p w14:paraId="5E518DEE">
            <w:pPr>
              <w:numPr>
                <w:ilvl w:val="255"/>
                <w:numId w:val="0"/>
              </w:numPr>
              <w:rPr>
                <w:rFonts w:cs="Times New Roman"/>
              </w:rPr>
            </w:pPr>
            <w:r>
              <w:rPr>
                <w:rFonts w:cs="Times New Roman"/>
              </w:rPr>
              <w:t>公司流动性整体安全，银行授信等融资渠道储备充足，可覆盖研发、产能投入需求。公司精细化管控资本开支、强化资金合规管理，相关财务信息将在定期报告中统一披露，请关注公司后续披露的半年报。</w:t>
            </w:r>
          </w:p>
          <w:p w14:paraId="39259D9E">
            <w:pPr>
              <w:rPr>
                <w:rFonts w:cs="Times New Roman"/>
              </w:rPr>
            </w:pPr>
          </w:p>
          <w:p w14:paraId="7E42362E">
            <w:pPr>
              <w:rPr>
                <w:rFonts w:cs="Times New Roman"/>
                <w:b/>
              </w:rPr>
            </w:pPr>
            <w:r>
              <w:rPr>
                <w:rFonts w:hint="eastAsia" w:cs="Times New Roman"/>
                <w:b/>
              </w:rPr>
              <w:t>10、公司在投资方面有哪些布局？</w:t>
            </w:r>
          </w:p>
          <w:p w14:paraId="49E46CE2">
            <w:pPr>
              <w:rPr>
                <w:rFonts w:cs="Times New Roman"/>
              </w:rPr>
            </w:pPr>
            <w:r>
              <w:rPr>
                <w:rFonts w:hint="eastAsia" w:cs="Times New Roman"/>
              </w:rPr>
              <w:t>公司对于与主业具备战略协同效应、契合行业发展方向的优质资产及新兴产业赛道保持密切关注</w:t>
            </w:r>
            <w:r>
              <w:rPr>
                <w:rFonts w:hint="eastAsia" w:cs="Times New Roman"/>
                <w:lang w:eastAsia="zh-CN"/>
              </w:rPr>
              <w:t>，</w:t>
            </w:r>
            <w:r>
              <w:rPr>
                <w:rFonts w:hint="eastAsia" w:cs="Times New Roman"/>
              </w:rPr>
              <w:t>并结合公司实际业务需求审慎研究投资事宜。</w:t>
            </w:r>
          </w:p>
          <w:p w14:paraId="06F0FE65">
            <w:pPr>
              <w:rPr>
                <w:szCs w:val="24"/>
              </w:rPr>
            </w:pPr>
          </w:p>
        </w:tc>
      </w:tr>
      <w:tr w14:paraId="1400C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vAlign w:val="center"/>
          </w:tcPr>
          <w:p w14:paraId="55F55335">
            <w:pPr>
              <w:jc w:val="center"/>
              <w:rPr>
                <w:b/>
                <w:bCs/>
                <w:szCs w:val="24"/>
              </w:rPr>
            </w:pPr>
            <w:r>
              <w:rPr>
                <w:rFonts w:hint="eastAsia"/>
                <w:b/>
                <w:bCs/>
                <w:szCs w:val="24"/>
              </w:rPr>
              <w:t>关于本次活动是否涉及应当披露重大信息的说明</w:t>
            </w:r>
          </w:p>
        </w:tc>
        <w:tc>
          <w:tcPr>
            <w:tcW w:w="6051" w:type="dxa"/>
            <w:vAlign w:val="center"/>
          </w:tcPr>
          <w:p w14:paraId="3F86087F">
            <w:pPr>
              <w:jc w:val="center"/>
              <w:rPr>
                <w:szCs w:val="24"/>
              </w:rPr>
            </w:pPr>
            <w:r>
              <w:rPr>
                <w:rFonts w:hint="eastAsia"/>
                <w:bCs/>
                <w:iCs/>
              </w:rPr>
              <w:t>本次活动不涉及应当披露重大信息。</w:t>
            </w:r>
          </w:p>
        </w:tc>
      </w:tr>
      <w:tr w14:paraId="6B617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2470" w:type="dxa"/>
            <w:vAlign w:val="center"/>
          </w:tcPr>
          <w:p w14:paraId="40278F29">
            <w:pPr>
              <w:jc w:val="center"/>
              <w:rPr>
                <w:b/>
                <w:bCs/>
                <w:szCs w:val="24"/>
              </w:rPr>
            </w:pPr>
            <w:r>
              <w:rPr>
                <w:rFonts w:hint="eastAsia"/>
                <w:b/>
                <w:bCs/>
                <w:szCs w:val="24"/>
              </w:rPr>
              <w:t>附件清单（如有）</w:t>
            </w:r>
          </w:p>
        </w:tc>
        <w:tc>
          <w:tcPr>
            <w:tcW w:w="6051" w:type="dxa"/>
            <w:vAlign w:val="center"/>
          </w:tcPr>
          <w:p w14:paraId="7AC0C83D">
            <w:pPr>
              <w:jc w:val="center"/>
              <w:rPr>
                <w:szCs w:val="24"/>
              </w:rPr>
            </w:pPr>
          </w:p>
        </w:tc>
      </w:tr>
      <w:tr w14:paraId="79A04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470" w:type="dxa"/>
            <w:vAlign w:val="center"/>
          </w:tcPr>
          <w:p w14:paraId="35917F9D">
            <w:pPr>
              <w:jc w:val="center"/>
              <w:rPr>
                <w:b/>
                <w:bCs/>
                <w:szCs w:val="24"/>
              </w:rPr>
            </w:pPr>
            <w:r>
              <w:rPr>
                <w:rFonts w:hint="eastAsia"/>
                <w:b/>
                <w:bCs/>
                <w:szCs w:val="24"/>
              </w:rPr>
              <w:t>日期</w:t>
            </w:r>
          </w:p>
        </w:tc>
        <w:tc>
          <w:tcPr>
            <w:tcW w:w="6051" w:type="dxa"/>
            <w:vAlign w:val="center"/>
          </w:tcPr>
          <w:p w14:paraId="552ACB70">
            <w:pPr>
              <w:jc w:val="center"/>
              <w:rPr>
                <w:szCs w:val="24"/>
              </w:rPr>
            </w:pPr>
            <w:r>
              <w:rPr>
                <w:rFonts w:hint="eastAsia"/>
                <w:szCs w:val="24"/>
              </w:rPr>
              <w:t>2</w:t>
            </w:r>
            <w:r>
              <w:rPr>
                <w:szCs w:val="24"/>
              </w:rPr>
              <w:t>026</w:t>
            </w:r>
            <w:r>
              <w:rPr>
                <w:rFonts w:hint="eastAsia"/>
                <w:szCs w:val="24"/>
              </w:rPr>
              <w:t>年7月28日</w:t>
            </w:r>
          </w:p>
        </w:tc>
      </w:tr>
    </w:tbl>
    <w:p w14:paraId="198A44CA">
      <w:pPr>
        <w:spacing w:line="360" w:lineRule="auto"/>
        <w:rPr>
          <w:sz w:val="28"/>
          <w:szCs w:val="28"/>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1F3C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1BDA00"/>
    <w:multiLevelType w:val="singleLevel"/>
    <w:tmpl w:val="951BDA00"/>
    <w:lvl w:ilvl="0" w:tentative="0">
      <w:start w:val="1"/>
      <w:numFmt w:val="chineseCounting"/>
      <w:suff w:val="nothing"/>
      <w:lvlText w:val="%1、"/>
      <w:lvlJc w:val="left"/>
      <w:rPr>
        <w:rFonts w:hint="eastAsia"/>
      </w:rPr>
    </w:lvl>
  </w:abstractNum>
  <w:abstractNum w:abstractNumId="1">
    <w:nsid w:val="A037BC04"/>
    <w:multiLevelType w:val="singleLevel"/>
    <w:tmpl w:val="A037BC04"/>
    <w:lvl w:ilvl="0" w:tentative="0">
      <w:start w:val="9"/>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trackRevisions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5F4"/>
    <w:rsid w:val="00383C6F"/>
    <w:rsid w:val="005952D4"/>
    <w:rsid w:val="006C6E58"/>
    <w:rsid w:val="00B032FD"/>
    <w:rsid w:val="00B76610"/>
    <w:rsid w:val="00D2483E"/>
    <w:rsid w:val="00D955F4"/>
    <w:rsid w:val="00E4054F"/>
    <w:rsid w:val="00E93F58"/>
    <w:rsid w:val="00EC3FA1"/>
    <w:rsid w:val="00FE2A47"/>
    <w:rsid w:val="034A420F"/>
    <w:rsid w:val="064C13A1"/>
    <w:rsid w:val="079C228C"/>
    <w:rsid w:val="0B1B4548"/>
    <w:rsid w:val="0C983840"/>
    <w:rsid w:val="0DB74A5A"/>
    <w:rsid w:val="0F456CBD"/>
    <w:rsid w:val="14F25809"/>
    <w:rsid w:val="15742B15"/>
    <w:rsid w:val="2B2D4F98"/>
    <w:rsid w:val="2FBB4372"/>
    <w:rsid w:val="37D84936"/>
    <w:rsid w:val="43DF6026"/>
    <w:rsid w:val="475B41C9"/>
    <w:rsid w:val="4C34332E"/>
    <w:rsid w:val="4E5844CD"/>
    <w:rsid w:val="67E92F70"/>
    <w:rsid w:val="735E12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4"/>
      <w:szCs w:val="22"/>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unhideWhenUsed/>
    <w:qFormat/>
    <w:uiPriority w:val="99"/>
    <w:pPr>
      <w:jc w:val="left"/>
    </w:pPr>
  </w:style>
  <w:style w:type="paragraph" w:styleId="3">
    <w:name w:val="Balloon Text"/>
    <w:basedOn w:val="1"/>
    <w:link w:val="13"/>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style>
  <w:style w:type="paragraph" w:styleId="7">
    <w:name w:val="annotation subject"/>
    <w:basedOn w:val="2"/>
    <w:next w:val="2"/>
    <w:link w:val="17"/>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annotation reference"/>
    <w:basedOn w:val="10"/>
    <w:unhideWhenUsed/>
    <w:qFormat/>
    <w:uiPriority w:val="99"/>
    <w:rPr>
      <w:sz w:val="21"/>
      <w:szCs w:val="21"/>
    </w:rPr>
  </w:style>
  <w:style w:type="character" w:customStyle="1" w:styleId="13">
    <w:name w:val="批注框文本 字符"/>
    <w:basedOn w:val="10"/>
    <w:link w:val="3"/>
    <w:semiHidden/>
    <w:qFormat/>
    <w:uiPriority w:val="99"/>
    <w:rPr>
      <w:rFonts w:ascii="Times New Roman" w:hAnsi="Times New Roman" w:eastAsia="宋体"/>
      <w:sz w:val="18"/>
      <w:szCs w:val="18"/>
    </w:rPr>
  </w:style>
  <w:style w:type="character" w:customStyle="1" w:styleId="14">
    <w:name w:val="页眉 字符"/>
    <w:basedOn w:val="10"/>
    <w:link w:val="5"/>
    <w:qFormat/>
    <w:uiPriority w:val="99"/>
    <w:rPr>
      <w:rFonts w:ascii="Times New Roman" w:hAnsi="Times New Roman" w:eastAsia="宋体"/>
      <w:sz w:val="18"/>
      <w:szCs w:val="18"/>
    </w:rPr>
  </w:style>
  <w:style w:type="character" w:customStyle="1" w:styleId="15">
    <w:name w:val="页脚 字符"/>
    <w:basedOn w:val="10"/>
    <w:link w:val="4"/>
    <w:qFormat/>
    <w:uiPriority w:val="99"/>
    <w:rPr>
      <w:rFonts w:ascii="Times New Roman" w:hAnsi="Times New Roman" w:eastAsia="宋体"/>
      <w:sz w:val="18"/>
      <w:szCs w:val="18"/>
    </w:rPr>
  </w:style>
  <w:style w:type="character" w:customStyle="1" w:styleId="16">
    <w:name w:val="批注文字 字符"/>
    <w:basedOn w:val="10"/>
    <w:link w:val="2"/>
    <w:qFormat/>
    <w:uiPriority w:val="99"/>
    <w:rPr>
      <w:rFonts w:cstheme="minorBidi"/>
      <w:kern w:val="2"/>
      <w:sz w:val="24"/>
      <w:szCs w:val="22"/>
    </w:rPr>
  </w:style>
  <w:style w:type="character" w:customStyle="1" w:styleId="17">
    <w:name w:val="批注主题 字符"/>
    <w:basedOn w:val="16"/>
    <w:link w:val="7"/>
    <w:semiHidden/>
    <w:qFormat/>
    <w:uiPriority w:val="99"/>
    <w:rPr>
      <w:rFonts w:cstheme="minorBidi"/>
      <w:b/>
      <w:bCs/>
      <w:kern w:val="2"/>
      <w:sz w:val="24"/>
      <w:szCs w:val="22"/>
    </w:rPr>
  </w:style>
  <w:style w:type="paragraph" w:customStyle="1" w:styleId="18">
    <w:name w:val="修订1"/>
    <w:hidden/>
    <w:semiHidden/>
    <w:qFormat/>
    <w:uiPriority w:val="99"/>
    <w:rPr>
      <w:rFonts w:ascii="Times New Roman" w:hAnsi="Times New Roman" w:eastAsia="宋体" w:cstheme="minorBidi"/>
      <w:kern w:val="2"/>
      <w:sz w:val="24"/>
      <w:szCs w:val="22"/>
      <w:lang w:val="en-US" w:eastAsia="zh-CN" w:bidi="ar-SA"/>
    </w:rPr>
  </w:style>
  <w:style w:type="paragraph" w:customStyle="1" w:styleId="19">
    <w:name w:val="修订2"/>
    <w:hidden/>
    <w:unhideWhenUsed/>
    <w:qFormat/>
    <w:uiPriority w:val="99"/>
    <w:rPr>
      <w:rFonts w:ascii="Times New Roman" w:hAnsi="Times New Roman" w:eastAsia="宋体" w:cstheme="minorBidi"/>
      <w:kern w:val="2"/>
      <w:sz w:val="24"/>
      <w:szCs w:val="22"/>
      <w:lang w:val="en-US" w:eastAsia="zh-CN" w:bidi="ar-SA"/>
    </w:rPr>
  </w:style>
  <w:style w:type="paragraph" w:customStyle="1" w:styleId="20">
    <w:name w:val="修订3"/>
    <w:hidden/>
    <w:unhideWhenUsed/>
    <w:qFormat/>
    <w:uiPriority w:val="99"/>
    <w:rPr>
      <w:rFonts w:ascii="Times New Roman" w:hAnsi="Times New Roman" w:eastAsia="宋体" w:cstheme="minorBidi"/>
      <w:kern w:val="2"/>
      <w:sz w:val="24"/>
      <w:szCs w:val="22"/>
      <w:lang w:val="en-US" w:eastAsia="zh-CN" w:bidi="ar-SA"/>
    </w:rPr>
  </w:style>
  <w:style w:type="paragraph" w:customStyle="1" w:styleId="21">
    <w:name w:val="Revision"/>
    <w:hidden/>
    <w:unhideWhenUsed/>
    <w:qFormat/>
    <w:uiPriority w:val="99"/>
    <w:rPr>
      <w:rFonts w:ascii="Times New Roman" w:hAnsi="Times New Roman" w:eastAsia="宋体" w:cstheme="minorBidi"/>
      <w:kern w:val="2"/>
      <w:sz w:val="24"/>
      <w:szCs w:val="22"/>
      <w:lang w:val="en-US" w:eastAsia="zh-CN" w:bidi="ar-SA"/>
    </w:rPr>
  </w:style>
</w:styles>
</file>

<file path=word/_rels/document.xml.rels>&#65279;<?xml version="1.0" encoding="utf-8"?><Relationships xmlns="http://schemas.openxmlformats.org/package/2006/relationships"><Relationship Type="http://schemas.openxmlformats.org/officeDocument/2006/relationships/fontTable" Target="fontTable.xml" Id="rId7" /><Relationship Type="http://schemas.openxmlformats.org/officeDocument/2006/relationships/numbering" Target="numbering.xml" Id="rId6" /><Relationship Type="http://schemas.openxmlformats.org/officeDocument/2006/relationships/customXml" Target="../customXml/item1.xml" Id="rId5" /><Relationship Type="http://schemas.openxmlformats.org/officeDocument/2006/relationships/theme" Target="theme/theme1.xml" Id="rId4" /><Relationship Type="http://schemas.openxmlformats.org/officeDocument/2006/relationships/header" Target="header1.xml" Id="rId3" /><Relationship Type="http://schemas.openxmlformats.org/officeDocument/2006/relationships/settings" Target="settings.xml" Id="rId2" /><Relationship Type="http://schemas.openxmlformats.org/officeDocument/2006/relationships/styles" Target="styles.xml" Id="rId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2020</Words>
  <Characters>2120</Characters>
  <Lines>16</Lines>
  <Paragraphs>4</Paragraphs>
  <TotalTime>88</TotalTime>
  <ScaleCrop>false</ScaleCrop>
  <LinksUpToDate>false</LinksUpToDate>
  <CharactersWithSpaces>2228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2026-07-27T08:15:00Z</dcterms:created>
  <dc:creator>荣大-李雷</dc:creator>
  <cp:lastModifiedBy>LiYifan</cp:lastModifiedBy>
  <dcterms:modified xsi:type="dcterms:W3CDTF">2026-07-28T03:27:36Z</dcterms:modified>
  <cp:revision>2</cp:revision>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SOProductBuildVer">
    <vt:lpwstr>2052-12.1.0.26895</vt:lpwstr>
  </op:property>
  <op:property fmtid="{D5CDD505-2E9C-101B-9397-08002B2CF9AE}" pid="3" name="ICV">
    <vt:lpwstr>81A7F7243606427F8F800E91B827D1D6_13</vt:lpwstr>
  </op:property>
  <op:property fmtid="{D5CDD505-2E9C-101B-9397-08002B2CF9AE}" pid="4" name="KSOTemplateDocerSaveRecord">
    <vt:lpwstr>eyJoZGlkIjoiNmRlNWVlYTVlZWY1YzFkZWZlZjE4MGRjMzVkOTAzNDEiLCJ1c2VySWQiOiI2Njc5OTA4NTEifQ==</vt:lpwstr>
  </op:property>
  <op:property fmtid="{D5CDD505-2E9C-101B-9397-08002B2CF9AE}" pid="5" name="_IPGFID">
    <vt:lpwstr>[DocID]=7364E7FA-B6AC-44B8-A7AF-981DAC026463</vt:lpwstr>
  </op:property>
  <op:property fmtid="{D5CDD505-2E9C-101B-9397-08002B2CF9AE}" pid="6" name="_IPGFLOW_P-846A_E-1_FP-1_SP-1_CV-70142AE6_CN-2D7FDE03">
    <vt:lpwstr>x1FI1iKnTISZC5VprRp16YiBUAdV52ALrD1PeH27Rpdac++0tippbaye/MeiYSzjuJgr46Wnz4LzNP2UtBJzzMAm2+juCiYc/MrLOVRft+l9t9NdVqVaCfnrGMNkjLDGXxw7PZXxvDSucRTd7bLTYlf5pZaVXiHF8N/eQsT1TfoMER4F3P/nympIKBwVGbMHaoejmFZktMOweXUQaylhv6KoL5nbinDG7hkj8c7g8O6MhjObFX7+bPvNqdTkhhj</vt:lpwstr>
  </op:property>
  <op:property fmtid="{D5CDD505-2E9C-101B-9397-08002B2CF9AE}" pid="7" name="_IPGFLOW_P-846A_E-1_FP-1_SP-2_CV-4C0E9E94_CN-71D81D49">
    <vt:lpwstr>YNobE7AbOzoo7IP3ORdo0nDTXsajMzFfqAXjUVnf//Z8Xj2FmhMIqB7d0qcqOTIa97XcZ0N3sz83f13Qz/0nq1b7/N8rBFsi/b2HAWoy/hfzRDFz6tYrkLNRqCpRwiz6e</vt:lpwstr>
  </op:property>
  <op:property fmtid="{D5CDD505-2E9C-101B-9397-08002B2CF9AE}" pid="8" name="_IPGFLOW_P-846A_E-0_FP-1_CV-1748F583_CN-7C72998D">
    <vt:lpwstr>DPSPMK|3|384|2|0</vt:lpwstr>
  </op:property>
  <op:property fmtid="{D5CDD505-2E9C-101B-9397-08002B2CF9AE}" pid="9" name="_IPGFLOW_P-846A_E-1_FP-2_SP-1_CV-DA22933A_CN-919DC853">
    <vt:lpwstr>x1FI1iKnTISZC5VprRp16eRdzAAoB8uogNLMt+ZcIzE2VefP5PbMFEVsfTTzXKXJzuP+U8aXXtyHDtqF7nulCm/76IuvTBZGrknOOf+XISP1xdm4yJBF5r+vP+clad2stLiRishBLqbH7Oa9mt54MQE+6xwnDb0cD9423IgSlTAAtS5xU4JCgft/OVzbIiGYro20uXkBn90dCwnyYELHHDm/h5bYSTVvYBDR2Llr5EfOcK19PJUOsXJljD3TyK8</vt:lpwstr>
  </op:property>
  <op:property fmtid="{D5CDD505-2E9C-101B-9397-08002B2CF9AE}" pid="10" name="_IPGFLOW_P-846A_E-1_FP-2_SP-2_CV-F451EBE_CN-3F1C95F6">
    <vt:lpwstr>mzaP1LqaB/S5sLnBMjL/JkilDfxekLZ4tQIT3Wql2QOBl0LDBDpHENQ4I9hfQJSfq4h6B1o7z2VHujO2pAfJ6Fr666vtS2XhZY+Eo4Ds/DQ7PAEEIzjPyPqgErp+vDq8X</vt:lpwstr>
  </op:property>
  <op:property fmtid="{D5CDD505-2E9C-101B-9397-08002B2CF9AE}" pid="11" name="_IPGFLOW_P-846A_E-0_FP-2_CV-1748F583_CN-C1B8F543">
    <vt:lpwstr>DPSPMK|3|384|2|0</vt:lpwstr>
  </op:property>
  <op:property fmtid="{D5CDD505-2E9C-101B-9397-08002B2CF9AE}" pid="12" name="_IPGFLOW_P-846A_E-1_FP-3_SP-1_CV-6A9DF277_CN-637BC603">
    <vt:lpwstr>x1FI1iKnTISZC5VprRp16S+Rhd0HU9hpVcXqLOe0z4xOb1KX5JVP3TWZ7dp4eISU803DBl7VQxb3Gfr386tAVuWr0+V5yoGsPNcQ1qXsdzuAc2YMCWaQ91fQg0su9JrPYz7OC2KgIs0hrJnWtHXStF/mB+XBzf4JsiOxtBg+ETx264XETkcPJ9d3ZRqglTrg5SRoHRVt6echKSLuU67bgQOlEtZN6tBszsZkqDXN1+Crl0ugK2+lgMflMDgWCpl</vt:lpwstr>
  </op:property>
  <op:property fmtid="{D5CDD505-2E9C-101B-9397-08002B2CF9AE}" pid="13" name="_IPGFLOW_P-846A_E-1_FP-3_SP-2_CV-D8DFF8B6_CN-AC90DC54">
    <vt:lpwstr>/blrxAHcPTCBLVsW+Bksl+ANF/b3JLA5jQ4C8mMAKbVSMPflXn4lDgDXLgDogWpIeMk3CPks46UOG3LQU10yrWLUgBfTj3lmKUmBD8NkZrsBymJNeUpaS2wiXBJ2Mt64i</vt:lpwstr>
  </op:property>
  <op:property fmtid="{D5CDD505-2E9C-101B-9397-08002B2CF9AE}" pid="14" name="_IPGFLOW_P-846A_E-0_FP-3_CV-1748F583_CN-1C2E2CC6">
    <vt:lpwstr>DPSPMK|3|384|2|0</vt:lpwstr>
  </op:property>
  <op:property fmtid="{D5CDD505-2E9C-101B-9397-08002B2CF9AE}" pid="15" name="_IPGFLOW_P-846A_E-1_FP-4_SP-1_CV-7CFC6AF_CN-28593090">
    <vt:lpwstr>x1FI1iKnTISZC5VprRp16aCGbHdZg7cXVlr94Wcr82jUoZmcu14n7kjAOnP0CHUjTL9y1JMo7hGPTF9XU89ZR+YQD1y4rCd1G2WYuT5N3bHVs2jxeYrKvk7ZN7nDR7h08JcJq0ZvOlKkANcHwNgNEV47Y+FA6g1L+iorJVKxRJRBj7rZRT70DOuh1XS95ofPpxs80Cls7s7ouDphRTuPO7ElofZuuaARm2ADrLSOD6EYG+CHtIgGHvVQlgGSgpg</vt:lpwstr>
  </op:property>
  <op:property fmtid="{D5CDD505-2E9C-101B-9397-08002B2CF9AE}" pid="16" name="_IPGFLOW_P-846A_E-1_FP-4_SP-2_CV-EBC57F37_CN-A6B409EE">
    <vt:lpwstr>4XWLKogJcoXaw3Qy/FlGbRXsyXmZmGe6B0FXJEKLDrkOUGlD3Jkr/pq+8xx5OR+HojfH+hKMycBgcfBVKkA47pybseMBu3kPmEqfzjjrOQ/h6QccZPWyCq+KHTNn4zK1l</vt:lpwstr>
  </op:property>
  <op:property fmtid="{D5CDD505-2E9C-101B-9397-08002B2CF9AE}" pid="17" name="_IPGFLOW_P-846A_E-0_FP-4_CV-1748F583_CN-615D2A9E">
    <vt:lpwstr>DPSPMK|3|384|2|0</vt:lpwstr>
  </op:property>
  <op:property fmtid="{D5CDD505-2E9C-101B-9397-08002B2CF9AE}" pid="18" name="_IPGFLOW_P-846A_E-1_FP-5_SP-1_CV-7A6750EB_CN-A9E11709">
    <vt:lpwstr>uSlQyGhtTOVA4YD2kaB67vgeU3B4IUqClh5ID54inCSQPGPcntX5xtTG8t7wdoS3ik+MYgyZcOsjK5SyJeNgrHg3X48xIexJZI3SQ0/Yw1g5p62BxE38ocpO/M+blh9lP12sEMpbk/JctYpUgmD8+ea3qPhoEYZ06jEfqFP4C8J47U0HIXFkAE0piiHod1Tfgyyzx9DCB+csOC8ATTb1gtidSKkBH5g4jL286x5tS5o2vOqtTlWr8oUlYNs4PvW</vt:lpwstr>
  </op:property>
  <op:property fmtid="{D5CDD505-2E9C-101B-9397-08002B2CF9AE}" pid="19" name="_IPGFLOW_P-846A_E-1_FP-5_SP-2_CV-2C4ECE8E_CN-1D15B1CD">
    <vt:lpwstr>ioHeNllUeiC0jQCfMGYJVTKCjgvWWs7+0T4z6KUgwlC0Q/aOQr4ZPxsociMkd9YaweVGwSBuEiAXKoGC36l/BrASiOfPLRkFhlv4vKcYAgfZoGpIln+U1ZLRO0Ya84A47</vt:lpwstr>
  </op:property>
  <op:property fmtid="{D5CDD505-2E9C-101B-9397-08002B2CF9AE}" pid="20" name="_IPGFLOW_P-846A_E-0_FP-5_CV-1748F583_CN-BCCBF31B">
    <vt:lpwstr>DPSPMK|3|384|2|0</vt:lpwstr>
  </op:property>
  <op:property fmtid="{D5CDD505-2E9C-101B-9397-08002B2CF9AE}" pid="21" name="_IPGFLOW_P-846A_E-1_FP-6_SP-1_CV-C7A14024_CN-1C062494">
    <vt:lpwstr>IJWzzBypZ5DuXmDIVQneznv7WV5plXJroe3LqMPYMlsTdrm9AgFdypyhKnlvD2aDlisv05WwR1Vfg1mngrMw5YEEMuC8sQRW8Y2u2dE973cojitPKUU++fJ3RFMKvWtgA72o+Lah1qmOtwRVbtKiZuA8HKEJgwrlDrqV4FoYMUetrkX0y9vmNN3GdubfFp1XjJO2QhX4ObKoSuC2SFOMihrXk+/6spK7CrFwj/vhh7kfB7DDS75jvRPZf/tHiPv</vt:lpwstr>
  </op:property>
  <op:property fmtid="{D5CDD505-2E9C-101B-9397-08002B2CF9AE}" pid="22" name="_IPGFLOW_P-846A_E-1_FP-6_SP-2_CV-A88BDA79_CN-BA34D3DB">
    <vt:lpwstr>Ksmsj63VDiI2OucLF/L3NsH2aHTVkQB75aY+9FYq9VtHGFaD5QUU9CnTicIrsml0Sb/jJP/bqr00/qxUuY9n/1JZXTt8IJzSNbjryAzraVcp8Ss24KywZ7LzeAmDi7g9e</vt:lpwstr>
  </op:property>
  <op:property fmtid="{D5CDD505-2E9C-101B-9397-08002B2CF9AE}" pid="23" name="_IPGFLOW_P-846A_E-0_FP-6_CV-1748F583_CN-1019FD5">
    <vt:lpwstr>DPSPMK|3|384|2|0</vt:lpwstr>
  </op:property>
  <op:property fmtid="{D5CDD505-2E9C-101B-9397-08002B2CF9AE}" pid="24" name="_IPGFLOW_P-846A_E-1_FP-7_SP-1_CV-C8740D74_CN-B16A20AE">
    <vt:lpwstr>3EDQ2RijEI8miJbDyzrt0ZAAjz+FkygUbNnKdLywcAm7kDHj2AP6QwOlyMeip5eVCggZ8qvIfeIilxDBssVVLocZkwR8DsDxi/PROiK8YpJ/Kca43KK+p3HGnt/k279bvhzwchiQAlAG7dueN678lISmj8HeeekuJhcPnAyCiETmBIjtw5OnZ80xVaG51NMuJVjDP17gdYA1Gc/f+6tXm3FwEKw7DSv6jprXQVS1Y/bq8/NT+aGEmH14GVWRAwc</vt:lpwstr>
  </op:property>
  <op:property fmtid="{D5CDD505-2E9C-101B-9397-08002B2CF9AE}" pid="25" name="_IPGFLOW_P-846A_E-1_FP-7_SP-2_CV-766AC58D_CN-75CF74AB">
    <vt:lpwstr>X3Okllf4wmUcvaSrNX7aIklvF0Strp/m9qssvUEB81pwZeVKYiyF9dW7IHpbcKBRkaqvw5EqqstGElfRVK7LDvbuGUlyr31zxbasOT/b7vC4pMSrY2IeQEAdyXn3mBkwB</vt:lpwstr>
  </op:property>
  <op:property fmtid="{D5CDD505-2E9C-101B-9397-08002B2CF9AE}" pid="26" name="_IPGFLOW_P-846A_E-0_FP-7_CV-1748F583_CN-DC974650">
    <vt:lpwstr>DPSPMK|3|384|2|0</vt:lpwstr>
  </op:property>
  <op:property fmtid="{D5CDD505-2E9C-101B-9397-08002B2CF9AE}" pid="27" name="_IPGFLOW_P-846A_E-1_FP-8_SP-1_CV-DC115CB1_CN-ADB5FAE8">
    <vt:lpwstr>3EDQ2RijEI8miJbDyzrt0UsQOV7plcsJaK1Qr7ITd49knyX6xiYVBGyv6iQFEhmLSevMRfQNnxdhrN9GMWkjoDmO/m+qwn+OGd06vqaWWCSys7wF7TkNbT5cY7itFtAaKXUQ3rhmH2OPkK6YpdDNBCj/n/0KC2gWXQ5nextjL+R2KxpMhzuWdBIi1g+0ovi7Gg9QUr17qCi8705JyLrSQZjFYHZ/Ifd0hzYJu5idTOVPAGGcPb3oNZAhxAmVgRD</vt:lpwstr>
  </op:property>
  <op:property fmtid="{D5CDD505-2E9C-101B-9397-08002B2CF9AE}" pid="28" name="_IPGFLOW_P-846A_E-1_FP-8_SP-2_CV-BD1F2540_CN-9B8C5F4D">
    <vt:lpwstr>wubfYzEaPBBXnewvcQQdLlwTtCzreL/KmHk/Fv87D1/2JJsyftNMoHymqVx1geGOtuTa8jfiS+8O2s3KDhgLaYmsUahzsnWXit2KcmDjGWXO13JbcfDbDUY/hOJR5e7/7</vt:lpwstr>
  </op:property>
  <op:property fmtid="{D5CDD505-2E9C-101B-9397-08002B2CF9AE}" pid="29" name="_IPGFLOW_P-846A_E-0_FP-8_CV-1748F583_CN-FBE79365">
    <vt:lpwstr>DPSPMK|3|384|2|0</vt:lpwstr>
  </op:property>
  <op:property fmtid="{D5CDD505-2E9C-101B-9397-08002B2CF9AE}" pid="30" name="_IPGFLOW_P-846A_E-1_FP-9_SP-1_CV-1076B95_CN-31C053F2">
    <vt:lpwstr>3EDQ2RijEI8miJbDyzrt0dYIw/bcu/jKJiyWr4phpq/WxQb4Emye10PCeQtL4FCt1cFeL0lCwRTmVAgx1PzswPi4y/VqoJO1zNxWoFvmn5OMuIIDWzM+5kIcUvOy6KNCx6OvTxsDLzk7tOzrnwsTxQLO8IMzRI7XL0NnirVcSqA/JNlOyAyO/eKupNp++3chVDKMVRv7nzF25K3l3iW6zJxXqtHziJEkw2h65Zbnh6ZQqizC7EJqod6Oe2ruoGB</vt:lpwstr>
  </op:property>
  <op:property fmtid="{D5CDD505-2E9C-101B-9397-08002B2CF9AE}" pid="31" name="_IPGFLOW_P-846A_E-1_FP-9_SP-2_CV-E6AE3AB0_CN-DB4F2F3F">
    <vt:lpwstr>lsyxjHN+gxE8/WGeqWKmEUFQqLtdRV2cktkGPogN6Nx23rVVOUoaNsZSGm+qU4Y5ju+UYI3mWp2wAPpifEuYTlNL7Ash3WzKs0rFP6Bs8376ONcCAtRiEhxmzIj3cSiv6</vt:lpwstr>
  </op:property>
  <op:property fmtid="{D5CDD505-2E9C-101B-9397-08002B2CF9AE}" pid="32" name="_IPGFLOW_P-846A_E-0_FP-9_CV-1748F583_CN-26714AE0">
    <vt:lpwstr>DPSPMK|3|384|2|0</vt:lpwstr>
  </op:property>
  <op:property fmtid="{D5CDD505-2E9C-101B-9397-08002B2CF9AE}" pid="33" name="_IPGLAB_P-846A_E-1_CV-A63952D8_CN-B5506FEE">
    <vt:lpwstr>zfeNTqenjqRed91ttgP9kf8R86OvDm4dusUUz/48pcB77NANROJ5xUq1X4mZd5OC0mWgsYOg99x2oMHVtZIoc9j3fIi8pc3KVa3ldayatqI=</vt:lpwstr>
  </op:property>
  <op:property fmtid="{D5CDD505-2E9C-101B-9397-08002B2CF9AE}" pid="34" name="_IPGFLOW_P-846A_E-0_CV-78A357D3_CN-B99A466">
    <vt:lpwstr>DPFPMK|3|50|10|0</vt:lpwstr>
  </op:property>
  <op:property fmtid="{D5CDD505-2E9C-101B-9397-08002B2CF9AE}" pid="35" name="_IPGFLOW_P-846A_E-1_FP-A_SP-1_CV-144A2E24_CN-3EB1BF12">
    <vt:lpwstr>Y/9p/oj5Lhc8qpG6Z2vYj55wtw8STzUlxhaXRqO819pn2z/qhYEZhmNWCzaqdG4PAWRWx7z5yPIcBXDmniXMDvVmLgksTfTEeTpeSFqw2/O6k6hNcDOAMlK863wZe7Dr7E17wXb7wEBQRKnAFvAhkwZXTBeNgiy28AoQOlStecIxzpp+zpMB4GnSFvQdOwykJmxKWWPnWdJZXgyJd08/vgekRrGRlMSztxfveQY79/FGigSGWIBQACHOUri5vqV</vt:lpwstr>
  </op:property>
  <op:property fmtid="{D5CDD505-2E9C-101B-9397-08002B2CF9AE}" pid="36" name="_IPGFLOW_P-846A_E-1_FP-A_SP-2_CV-C260115E_CN-AEAAA070">
    <vt:lpwstr>yaKmSs7swFIDzSH93Y7enpaQ2zozRACJ3QuBmiyBIZ+nsX19fHchOp6qhJz7YclkjRqtPb2Pw6cY1K/L4JAMUVTLKT4vsVr2p0/Ia+aF+OkgPLuf8UjL1fBwfoqmSh2t0</vt:lpwstr>
  </op:property>
  <op:property fmtid="{D5CDD505-2E9C-101B-9397-08002B2CF9AE}" pid="37" name="_IPGFLOW_P-846A_E-0_FP-A_CV-1748F583_CN-C686E509">
    <vt:lpwstr>DPSPMK|3|384|2|0</vt:lpwstr>
  </op:property>
</op:Properties>
</file>