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7248D">
      <w:pPr>
        <w:spacing w:before="93" w:beforeLines="30" w:after="62" w:afterLines="20" w:line="360" w:lineRule="auto"/>
        <w:ind w:left="-126" w:leftChars="-60"/>
        <w:jc w:val="center"/>
        <w:rPr>
          <w:sz w:val="24"/>
        </w:rPr>
      </w:pPr>
      <w:r>
        <w:rPr>
          <w:sz w:val="24"/>
        </w:rPr>
        <w:t>证券简称：达梦数据                                    股票代码：688692</w:t>
      </w:r>
    </w:p>
    <w:p w14:paraId="4D09977F">
      <w:pPr>
        <w:spacing w:before="124" w:beforeLines="40" w:after="62" w:afterLines="20" w:line="360" w:lineRule="auto"/>
        <w:jc w:val="center"/>
        <w:rPr>
          <w:b/>
          <w:sz w:val="36"/>
          <w:szCs w:val="32"/>
        </w:rPr>
      </w:pPr>
      <w:r>
        <w:rPr>
          <w:b/>
          <w:sz w:val="36"/>
          <w:szCs w:val="32"/>
        </w:rPr>
        <w:t>武汉达梦数据库股份有限公司</w:t>
      </w:r>
    </w:p>
    <w:p w14:paraId="2E56AF64">
      <w:pPr>
        <w:spacing w:before="124" w:beforeLines="40" w:after="62" w:afterLines="20" w:line="360" w:lineRule="auto"/>
        <w:jc w:val="center"/>
        <w:rPr>
          <w:b/>
          <w:sz w:val="36"/>
          <w:szCs w:val="32"/>
        </w:rPr>
      </w:pPr>
      <w:r>
        <w:rPr>
          <w:b/>
          <w:sz w:val="36"/>
          <w:szCs w:val="32"/>
        </w:rPr>
        <w:t>投资者关系活动记录表</w:t>
      </w:r>
    </w:p>
    <w:p w14:paraId="3AEC91F2">
      <w:pPr>
        <w:spacing w:before="93" w:beforeLines="30" w:after="62" w:afterLines="20" w:line="360" w:lineRule="auto"/>
        <w:ind w:firstLine="480" w:firstLineChars="200"/>
        <w:jc w:val="right"/>
        <w:rPr>
          <w:rFonts w:hint="default" w:eastAsia="宋体"/>
          <w:sz w:val="24"/>
          <w:lang w:val="en-US" w:eastAsia="zh-CN"/>
        </w:rPr>
      </w:pPr>
      <w:r>
        <w:rPr>
          <w:sz w:val="24"/>
        </w:rPr>
        <w:t>编号：202</w:t>
      </w:r>
      <w:r>
        <w:rPr>
          <w:rFonts w:hint="eastAsia"/>
          <w:sz w:val="24"/>
          <w:lang w:val="en-US" w:eastAsia="zh-CN"/>
        </w:rPr>
        <w:t>6</w:t>
      </w:r>
      <w:r>
        <w:rPr>
          <w:sz w:val="24"/>
        </w:rPr>
        <w:t>-</w:t>
      </w:r>
      <w:r>
        <w:rPr>
          <w:rFonts w:hint="eastAsia"/>
          <w:sz w:val="24"/>
        </w:rPr>
        <w:t>0</w:t>
      </w:r>
      <w:r>
        <w:rPr>
          <w:rFonts w:hint="eastAsia"/>
          <w:sz w:val="24"/>
          <w:lang w:val="en-US" w:eastAsia="zh-CN"/>
        </w:rPr>
        <w:t>09</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9"/>
        <w:gridCol w:w="6138"/>
      </w:tblGrid>
      <w:tr w14:paraId="62DB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05630872">
            <w:pPr>
              <w:spacing w:line="460" w:lineRule="exact"/>
              <w:jc w:val="center"/>
              <w:rPr>
                <w:b/>
                <w:bCs/>
                <w:iCs/>
                <w:sz w:val="24"/>
                <w:szCs w:val="24"/>
              </w:rPr>
            </w:pPr>
            <w:r>
              <w:rPr>
                <w:b/>
                <w:bCs/>
                <w:iCs/>
                <w:sz w:val="24"/>
                <w:szCs w:val="24"/>
              </w:rPr>
              <w:t>投资者关系活动类别</w:t>
            </w:r>
          </w:p>
        </w:tc>
        <w:tc>
          <w:tcPr>
            <w:tcW w:w="6138" w:type="dxa"/>
          </w:tcPr>
          <w:p w14:paraId="402E8E1F">
            <w:pPr>
              <w:spacing w:line="460" w:lineRule="exact"/>
              <w:rPr>
                <w:bCs/>
                <w:iCs/>
                <w:sz w:val="24"/>
                <w:szCs w:val="24"/>
              </w:rPr>
            </w:pPr>
            <w:r>
              <w:rPr>
                <w:rFonts w:ascii="Segoe UI Symbol" w:hAnsi="Segoe UI Symbol" w:cs="Segoe UI Symbol"/>
                <w:bCs/>
                <w:iCs/>
                <w:sz w:val="24"/>
                <w:szCs w:val="24"/>
              </w:rPr>
              <w:t>☑</w:t>
            </w:r>
            <w:r>
              <w:rPr>
                <w:bCs/>
                <w:sz w:val="24"/>
                <w:szCs w:val="24"/>
              </w:rPr>
              <w:t xml:space="preserve">特定对象调研 </w:t>
            </w:r>
            <w:r>
              <w:rPr>
                <w:b/>
                <w:bCs/>
                <w:sz w:val="24"/>
                <w:szCs w:val="24"/>
              </w:rPr>
              <w:t xml:space="preserve"> </w:t>
            </w:r>
            <w:r>
              <w:rPr>
                <w:sz w:val="24"/>
                <w:szCs w:val="24"/>
              </w:rPr>
              <w:t xml:space="preserve">      </w:t>
            </w:r>
            <w:r>
              <w:rPr>
                <w:rFonts w:hint="eastAsia"/>
                <w:bCs/>
                <w:iCs/>
                <w:sz w:val="24"/>
                <w:szCs w:val="24"/>
                <w:lang w:eastAsia="zh-CN"/>
              </w:rPr>
              <w:t>□</w:t>
            </w:r>
            <w:r>
              <w:rPr>
                <w:sz w:val="24"/>
                <w:szCs w:val="24"/>
              </w:rPr>
              <w:t>分析师会议</w:t>
            </w:r>
          </w:p>
          <w:p w14:paraId="4EAE004A">
            <w:pPr>
              <w:spacing w:line="460" w:lineRule="exact"/>
              <w:rPr>
                <w:bCs/>
                <w:iCs/>
                <w:sz w:val="24"/>
                <w:szCs w:val="24"/>
              </w:rPr>
            </w:pPr>
            <w:r>
              <w:rPr>
                <w:rFonts w:hint="eastAsia"/>
                <w:bCs/>
                <w:iCs/>
                <w:sz w:val="24"/>
                <w:szCs w:val="24"/>
              </w:rPr>
              <w:t>□</w:t>
            </w:r>
            <w:r>
              <w:rPr>
                <w:sz w:val="24"/>
                <w:szCs w:val="24"/>
              </w:rPr>
              <w:t xml:space="preserve">媒体采访            </w:t>
            </w:r>
            <w:r>
              <w:rPr>
                <w:bCs/>
                <w:iCs/>
                <w:sz w:val="24"/>
                <w:szCs w:val="24"/>
              </w:rPr>
              <w:sym w:font="Wingdings 2" w:char="00A3"/>
            </w:r>
            <w:r>
              <w:rPr>
                <w:sz w:val="24"/>
                <w:szCs w:val="24"/>
              </w:rPr>
              <w:t>业绩说明会</w:t>
            </w:r>
          </w:p>
          <w:p w14:paraId="5CA548CB">
            <w:pPr>
              <w:spacing w:line="460" w:lineRule="exact"/>
              <w:rPr>
                <w:bCs/>
                <w:iCs/>
                <w:sz w:val="24"/>
                <w:szCs w:val="24"/>
              </w:rPr>
            </w:pPr>
            <w:r>
              <w:rPr>
                <w:rFonts w:hint="eastAsia"/>
                <w:bCs/>
                <w:iCs/>
                <w:sz w:val="24"/>
                <w:szCs w:val="24"/>
              </w:rPr>
              <w:t>□</w:t>
            </w:r>
            <w:r>
              <w:rPr>
                <w:sz w:val="24"/>
                <w:szCs w:val="24"/>
              </w:rPr>
              <w:t xml:space="preserve">新闻发布会          </w:t>
            </w:r>
            <w:r>
              <w:rPr>
                <w:rFonts w:hint="eastAsia"/>
                <w:bCs/>
                <w:iCs/>
                <w:sz w:val="24"/>
                <w:szCs w:val="24"/>
              </w:rPr>
              <w:t>□</w:t>
            </w:r>
            <w:r>
              <w:rPr>
                <w:sz w:val="24"/>
                <w:szCs w:val="24"/>
              </w:rPr>
              <w:t>路演活动</w:t>
            </w:r>
          </w:p>
          <w:p w14:paraId="117BB8B0">
            <w:pPr>
              <w:tabs>
                <w:tab w:val="left" w:pos="2685"/>
                <w:tab w:val="center" w:pos="3199"/>
              </w:tabs>
              <w:spacing w:line="460" w:lineRule="exact"/>
              <w:rPr>
                <w:sz w:val="24"/>
                <w:szCs w:val="24"/>
                <w:u w:val="single"/>
              </w:rPr>
            </w:pPr>
            <w:r>
              <w:rPr>
                <w:rFonts w:hint="eastAsia"/>
                <w:bCs/>
                <w:iCs/>
                <w:sz w:val="24"/>
                <w:szCs w:val="24"/>
                <w:lang w:eastAsia="zh-CN"/>
              </w:rPr>
              <w:t>☑</w:t>
            </w:r>
            <w:r>
              <w:rPr>
                <w:sz w:val="24"/>
                <w:szCs w:val="24"/>
              </w:rPr>
              <w:t>现场参观</w:t>
            </w:r>
            <w:r>
              <w:rPr>
                <w:bCs/>
                <w:iCs/>
                <w:sz w:val="24"/>
                <w:szCs w:val="24"/>
              </w:rPr>
              <w:tab/>
            </w:r>
            <w:r>
              <w:rPr>
                <w:rFonts w:hint="eastAsia"/>
                <w:bCs/>
                <w:iCs/>
                <w:sz w:val="24"/>
                <w:szCs w:val="24"/>
              </w:rPr>
              <w:t>□</w:t>
            </w:r>
            <w:r>
              <w:rPr>
                <w:sz w:val="24"/>
                <w:szCs w:val="24"/>
              </w:rPr>
              <w:t xml:space="preserve">其他 </w:t>
            </w:r>
            <w:r>
              <w:rPr>
                <w:sz w:val="24"/>
                <w:szCs w:val="24"/>
                <w:u w:val="single"/>
              </w:rPr>
              <w:t xml:space="preserve">     </w:t>
            </w:r>
          </w:p>
        </w:tc>
      </w:tr>
      <w:tr w14:paraId="4C9E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53AAAB0A">
            <w:pPr>
              <w:spacing w:line="460" w:lineRule="exact"/>
              <w:jc w:val="center"/>
              <w:rPr>
                <w:b/>
                <w:bCs/>
                <w:iCs/>
                <w:sz w:val="24"/>
                <w:szCs w:val="24"/>
              </w:rPr>
            </w:pPr>
            <w:r>
              <w:rPr>
                <w:b/>
                <w:bCs/>
                <w:iCs/>
                <w:sz w:val="24"/>
                <w:szCs w:val="24"/>
              </w:rPr>
              <w:t>参与单位名称</w:t>
            </w:r>
          </w:p>
        </w:tc>
        <w:tc>
          <w:tcPr>
            <w:tcW w:w="6138" w:type="dxa"/>
          </w:tcPr>
          <w:p w14:paraId="3E721169">
            <w:pPr>
              <w:spacing w:line="460" w:lineRule="exact"/>
              <w:rPr>
                <w:bCs/>
                <w:iCs/>
                <w:sz w:val="24"/>
                <w:szCs w:val="24"/>
              </w:rPr>
            </w:pPr>
            <w:r>
              <w:rPr>
                <w:rFonts w:hint="eastAsia"/>
                <w:bCs/>
                <w:iCs/>
                <w:sz w:val="24"/>
                <w:szCs w:val="24"/>
                <w:highlight w:val="none"/>
                <w:lang w:val="en-US" w:eastAsia="zh-CN"/>
              </w:rPr>
              <w:t>中信证券、华宝基金、博时基金、银华基金、工银瑞信基金、湖北交投资本、武汉锦辉泰投资、中证指数公司等</w:t>
            </w:r>
            <w:r>
              <w:rPr>
                <w:rFonts w:hint="eastAsia"/>
                <w:bCs/>
                <w:iCs/>
                <w:sz w:val="24"/>
                <w:szCs w:val="24"/>
                <w:highlight w:val="none"/>
              </w:rPr>
              <w:t>机构投资者</w:t>
            </w:r>
            <w:r>
              <w:rPr>
                <w:rFonts w:hint="eastAsia"/>
                <w:bCs/>
                <w:iCs/>
                <w:sz w:val="24"/>
                <w:szCs w:val="24"/>
                <w:highlight w:val="none"/>
                <w:lang w:val="en-US" w:eastAsia="zh-CN"/>
              </w:rPr>
              <w:t>及专家代表</w:t>
            </w:r>
            <w:r>
              <w:rPr>
                <w:rFonts w:hint="eastAsia"/>
                <w:bCs/>
                <w:iCs/>
                <w:sz w:val="24"/>
                <w:szCs w:val="24"/>
                <w:highlight w:val="none"/>
              </w:rPr>
              <w:t>共</w:t>
            </w:r>
            <w:r>
              <w:rPr>
                <w:rFonts w:hint="eastAsia"/>
                <w:b w:val="0"/>
                <w:bCs/>
                <w:iCs/>
                <w:color w:val="auto"/>
                <w:sz w:val="24"/>
                <w:szCs w:val="24"/>
                <w:highlight w:val="none"/>
                <w:lang w:val="en-US" w:eastAsia="zh-CN"/>
              </w:rPr>
              <w:t>22</w:t>
            </w:r>
            <w:r>
              <w:rPr>
                <w:rFonts w:hint="eastAsia"/>
                <w:bCs/>
                <w:iCs/>
                <w:sz w:val="24"/>
                <w:szCs w:val="24"/>
                <w:highlight w:val="none"/>
              </w:rPr>
              <w:t>名。</w:t>
            </w:r>
          </w:p>
        </w:tc>
      </w:tr>
      <w:tr w14:paraId="1308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9" w:type="dxa"/>
            <w:vAlign w:val="center"/>
          </w:tcPr>
          <w:p w14:paraId="4D4125C8">
            <w:pPr>
              <w:spacing w:line="460" w:lineRule="exact"/>
              <w:jc w:val="center"/>
              <w:rPr>
                <w:b/>
                <w:bCs/>
                <w:iCs/>
                <w:sz w:val="24"/>
                <w:szCs w:val="24"/>
              </w:rPr>
            </w:pPr>
            <w:r>
              <w:rPr>
                <w:b/>
                <w:bCs/>
                <w:iCs/>
                <w:sz w:val="24"/>
                <w:szCs w:val="24"/>
              </w:rPr>
              <w:t>会议时间</w:t>
            </w:r>
          </w:p>
        </w:tc>
        <w:tc>
          <w:tcPr>
            <w:tcW w:w="6138" w:type="dxa"/>
          </w:tcPr>
          <w:p w14:paraId="1CC8ED8A">
            <w:pPr>
              <w:spacing w:line="460" w:lineRule="exact"/>
              <w:rPr>
                <w:rFonts w:hint="default" w:eastAsia="宋体"/>
                <w:bCs/>
                <w:iCs/>
                <w:sz w:val="24"/>
                <w:szCs w:val="24"/>
                <w:lang w:val="en-US" w:eastAsia="zh-CN"/>
              </w:rPr>
            </w:pPr>
            <w:r>
              <w:rPr>
                <w:bCs/>
                <w:iCs/>
                <w:sz w:val="24"/>
                <w:szCs w:val="24"/>
              </w:rPr>
              <w:t>202</w:t>
            </w:r>
            <w:r>
              <w:rPr>
                <w:rFonts w:hint="eastAsia"/>
                <w:bCs/>
                <w:iCs/>
                <w:sz w:val="24"/>
                <w:szCs w:val="24"/>
                <w:lang w:val="en-US" w:eastAsia="zh-CN"/>
              </w:rPr>
              <w:t>6</w:t>
            </w:r>
            <w:r>
              <w:rPr>
                <w:bCs/>
                <w:iCs/>
                <w:sz w:val="24"/>
                <w:szCs w:val="24"/>
              </w:rPr>
              <w:t>年</w:t>
            </w:r>
            <w:r>
              <w:rPr>
                <w:rFonts w:hint="eastAsia"/>
                <w:bCs/>
                <w:iCs/>
                <w:sz w:val="24"/>
                <w:szCs w:val="24"/>
                <w:lang w:val="en-US" w:eastAsia="zh-CN"/>
              </w:rPr>
              <w:t>8</w:t>
            </w:r>
            <w:r>
              <w:rPr>
                <w:bCs/>
                <w:iCs/>
                <w:sz w:val="24"/>
                <w:szCs w:val="24"/>
              </w:rPr>
              <w:t>月</w:t>
            </w:r>
            <w:r>
              <w:rPr>
                <w:rFonts w:hint="eastAsia"/>
                <w:bCs/>
                <w:iCs/>
                <w:sz w:val="24"/>
                <w:szCs w:val="24"/>
                <w:lang w:val="en-US" w:eastAsia="zh-CN"/>
              </w:rPr>
              <w:t>5</w:t>
            </w:r>
            <w:r>
              <w:rPr>
                <w:bCs/>
                <w:iCs/>
                <w:sz w:val="24"/>
                <w:szCs w:val="24"/>
              </w:rPr>
              <w:t>日</w:t>
            </w:r>
            <w:r>
              <w:rPr>
                <w:rFonts w:hint="eastAsia"/>
                <w:bCs/>
                <w:iCs/>
                <w:sz w:val="24"/>
                <w:szCs w:val="24"/>
                <w:lang w:val="en-US" w:eastAsia="zh-CN"/>
              </w:rPr>
              <w:t>13:30-15:00</w:t>
            </w:r>
          </w:p>
        </w:tc>
      </w:tr>
      <w:tr w14:paraId="2262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219" w:type="dxa"/>
            <w:vAlign w:val="center"/>
          </w:tcPr>
          <w:p w14:paraId="17549121">
            <w:pPr>
              <w:spacing w:line="460" w:lineRule="exact"/>
              <w:jc w:val="center"/>
              <w:rPr>
                <w:b/>
                <w:bCs/>
                <w:iCs/>
                <w:sz w:val="24"/>
                <w:szCs w:val="24"/>
              </w:rPr>
            </w:pPr>
            <w:r>
              <w:rPr>
                <w:b/>
                <w:bCs/>
                <w:iCs/>
                <w:sz w:val="24"/>
                <w:szCs w:val="24"/>
              </w:rPr>
              <w:t>参会地点</w:t>
            </w:r>
          </w:p>
        </w:tc>
        <w:tc>
          <w:tcPr>
            <w:tcW w:w="6138" w:type="dxa"/>
          </w:tcPr>
          <w:p w14:paraId="2B68CD41">
            <w:pPr>
              <w:pStyle w:val="21"/>
              <w:spacing w:line="460" w:lineRule="exact"/>
              <w:rPr>
                <w:rFonts w:hint="default" w:eastAsia="宋体"/>
                <w:bCs/>
                <w:iCs/>
                <w:sz w:val="24"/>
                <w:szCs w:val="24"/>
                <w:lang w:val="en-US" w:eastAsia="zh-CN"/>
              </w:rPr>
            </w:pPr>
            <w:r>
              <w:rPr>
                <w:rFonts w:hint="default" w:ascii="Times New Roman" w:hAnsi="Times New Roman" w:eastAsiaTheme="minorEastAsia"/>
                <w:kern w:val="2"/>
                <w:sz w:val="24"/>
                <w:szCs w:val="32"/>
                <w:lang w:val="en-US" w:eastAsia="zh-CN"/>
              </w:rPr>
              <w:t>湖北省武汉市东湖新技术开发区甲铺岭街39号达梦中国数据库产业基地2号楼</w:t>
            </w:r>
          </w:p>
        </w:tc>
      </w:tr>
      <w:tr w14:paraId="3C7D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2219" w:type="dxa"/>
            <w:vAlign w:val="center"/>
          </w:tcPr>
          <w:p w14:paraId="71FBC3E5">
            <w:pPr>
              <w:spacing w:line="460" w:lineRule="exact"/>
              <w:jc w:val="center"/>
              <w:rPr>
                <w:b/>
                <w:bCs/>
                <w:iCs/>
                <w:sz w:val="24"/>
                <w:szCs w:val="24"/>
              </w:rPr>
            </w:pPr>
            <w:r>
              <w:rPr>
                <w:b/>
                <w:bCs/>
                <w:iCs/>
                <w:sz w:val="24"/>
                <w:szCs w:val="24"/>
              </w:rPr>
              <w:t>公司接待人员姓名</w:t>
            </w:r>
          </w:p>
        </w:tc>
        <w:tc>
          <w:tcPr>
            <w:tcW w:w="6138" w:type="dxa"/>
            <w:vAlign w:val="center"/>
          </w:tcPr>
          <w:p w14:paraId="353A59FF">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高级副总经理、董事会秘书 周淳先生</w:t>
            </w:r>
          </w:p>
          <w:p w14:paraId="5DE22E3C">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高级副总经理 张永强先生</w:t>
            </w:r>
          </w:p>
          <w:p w14:paraId="1316B76D">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val="en-US" w:eastAsia="zh-CN"/>
              </w:rPr>
              <w:t>副总经理 冯源先生</w:t>
            </w:r>
          </w:p>
          <w:p w14:paraId="175D54C0">
            <w:pPr>
              <w:pStyle w:val="21"/>
              <w:spacing w:line="460" w:lineRule="exact"/>
              <w:rPr>
                <w:rFonts w:hint="default" w:ascii="Times New Roman" w:hAnsi="Times New Roman" w:eastAsiaTheme="minorEastAsia"/>
                <w:kern w:val="2"/>
                <w:sz w:val="24"/>
                <w:szCs w:val="32"/>
                <w:lang w:val="en-US" w:eastAsia="zh-CN"/>
              </w:rPr>
            </w:pPr>
            <w:r>
              <w:rPr>
                <w:rFonts w:hint="eastAsia" w:ascii="Times New Roman" w:hAnsi="Times New Roman" w:eastAsiaTheme="minorEastAsia"/>
                <w:kern w:val="2"/>
                <w:sz w:val="24"/>
                <w:szCs w:val="32"/>
                <w:lang w:eastAsia="zh-CN"/>
              </w:rPr>
              <w:t>证券事务代表 卜京红</w:t>
            </w:r>
            <w:r>
              <w:rPr>
                <w:rFonts w:hint="eastAsia" w:ascii="Times New Roman" w:hAnsi="Times New Roman" w:eastAsiaTheme="minorEastAsia"/>
                <w:kern w:val="2"/>
                <w:sz w:val="24"/>
                <w:szCs w:val="32"/>
                <w:lang w:val="en-US" w:eastAsia="zh-CN"/>
              </w:rPr>
              <w:t>女士</w:t>
            </w:r>
          </w:p>
        </w:tc>
      </w:tr>
      <w:tr w14:paraId="48BB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2219" w:type="dxa"/>
            <w:vAlign w:val="center"/>
          </w:tcPr>
          <w:p w14:paraId="2A330E97">
            <w:pPr>
              <w:spacing w:line="460" w:lineRule="exact"/>
              <w:jc w:val="center"/>
              <w:rPr>
                <w:iCs/>
                <w:sz w:val="24"/>
                <w:szCs w:val="24"/>
              </w:rPr>
            </w:pPr>
            <w:r>
              <w:rPr>
                <w:b/>
                <w:bCs/>
                <w:iCs/>
                <w:sz w:val="24"/>
                <w:szCs w:val="24"/>
              </w:rPr>
              <w:t>投资者关系活动主要内容介绍</w:t>
            </w:r>
          </w:p>
        </w:tc>
        <w:tc>
          <w:tcPr>
            <w:tcW w:w="6138" w:type="dxa"/>
          </w:tcPr>
          <w:p w14:paraId="4BFA6D1B">
            <w:pPr>
              <w:pStyle w:val="21"/>
              <w:spacing w:line="460" w:lineRule="exact"/>
              <w:rPr>
                <w:rFonts w:ascii="Times New Roman" w:hAnsi="Times New Roman"/>
                <w:kern w:val="2"/>
                <w:sz w:val="24"/>
                <w:szCs w:val="24"/>
                <w:lang w:eastAsia="zh-CN"/>
              </w:rPr>
            </w:pPr>
            <w:r>
              <w:rPr>
                <w:rFonts w:ascii="Times New Roman" w:hAnsi="Times New Roman"/>
                <w:b/>
                <w:bCs/>
                <w:kern w:val="2"/>
                <w:sz w:val="24"/>
                <w:szCs w:val="24"/>
                <w:lang w:eastAsia="zh-CN"/>
              </w:rPr>
              <w:t>主要交流问题</w:t>
            </w:r>
            <w:r>
              <w:rPr>
                <w:rFonts w:ascii="Times New Roman" w:hAnsi="Times New Roman"/>
                <w:kern w:val="2"/>
                <w:sz w:val="24"/>
                <w:szCs w:val="24"/>
                <w:lang w:eastAsia="zh-CN"/>
              </w:rPr>
              <w:t>：</w:t>
            </w:r>
          </w:p>
          <w:p w14:paraId="63F92FFF">
            <w:pPr>
              <w:spacing w:line="460" w:lineRule="exact"/>
              <w:rPr>
                <w:rFonts w:hint="eastAsia" w:eastAsiaTheme="majorEastAsia"/>
                <w:b/>
                <w:bCs/>
                <w:sz w:val="24"/>
                <w:szCs w:val="24"/>
                <w:lang w:eastAsia="zh-CN"/>
              </w:rPr>
            </w:pPr>
            <w:r>
              <w:rPr>
                <w:b/>
                <w:bCs/>
                <w:sz w:val="24"/>
                <w:szCs w:val="24"/>
              </w:rPr>
              <w:t>1.</w:t>
            </w:r>
            <w:r>
              <w:rPr>
                <w:rFonts w:hint="eastAsia" w:eastAsiaTheme="majorEastAsia"/>
                <w:b/>
                <w:sz w:val="24"/>
              </w:rPr>
              <w:t xml:space="preserve"> </w:t>
            </w:r>
            <w:r>
              <w:rPr>
                <w:rFonts w:hint="eastAsia" w:eastAsiaTheme="majorEastAsia"/>
                <w:b/>
                <w:sz w:val="24"/>
                <w:lang w:val="en-US" w:eastAsia="zh-CN"/>
              </w:rPr>
              <w:t>公司设立三级ESG管理架构，请问现阶段 ESG 相关工作如何对接董事会决策，是否考虑将ESG考核纳入管理层绩效体系？关于ESG与公司长期战略发展公司高层是如何考量的？</w:t>
            </w:r>
          </w:p>
          <w:p w14:paraId="6CC5C884">
            <w:pPr>
              <w:spacing w:line="460" w:lineRule="exact"/>
              <w:rPr>
                <w:rFonts w:hint="eastAsia"/>
                <w:sz w:val="24"/>
                <w:szCs w:val="24"/>
                <w:lang w:val="en-US" w:eastAsia="zh-CN"/>
              </w:rPr>
            </w:pPr>
            <w:r>
              <w:rPr>
                <w:rFonts w:hint="eastAsia"/>
                <w:sz w:val="24"/>
                <w:szCs w:val="24"/>
                <w:lang w:val="en-US" w:eastAsia="zh-CN"/>
              </w:rPr>
              <w:t>答：公司已成立“领导小组+常设机构+专项对接”三级架构ESG管理体系。其中，领导小组由董事长担任组长、总经理担任副组长，统筹全局；常设机构设在董事会办公室，负责制定年度ESG计划、协调与推进ESG相关工作；各职能部门依据职责分工承担专项任务，形成了上下贯通、权责清晰的管理闭环。</w:t>
            </w:r>
          </w:p>
          <w:p w14:paraId="35DC23E0">
            <w:pPr>
              <w:spacing w:line="460" w:lineRule="exact"/>
              <w:rPr>
                <w:rFonts w:hint="eastAsia"/>
                <w:sz w:val="24"/>
                <w:szCs w:val="24"/>
                <w:lang w:val="en-US" w:eastAsia="zh-CN"/>
              </w:rPr>
            </w:pPr>
            <w:r>
              <w:rPr>
                <w:rFonts w:hint="eastAsia"/>
                <w:sz w:val="24"/>
                <w:szCs w:val="24"/>
                <w:lang w:val="en-US" w:eastAsia="zh-CN"/>
              </w:rPr>
              <w:t>在董事会决策层面，公司董事会下设战略与发展委员会，其职责涵盖：研究公司ESG目标与中长期规划、审议ESG治理架构及相关制度，审阅并向董事会提交ESG报告并提出建议，评估ESG管理策略与风险，识别并持续监督ESG相关风险和机遇，督促公司就重要ESG事项加强与利益相关方的沟通，并定期检视ESG政策实施与目标达成情况。通过上述机制，ESG工作已深度嵌入董事会决策流程，确保重大ESG事项能够及时、充分地进入公司治理层视野。</w:t>
            </w:r>
          </w:p>
          <w:p w14:paraId="1E25B1C1">
            <w:pPr>
              <w:spacing w:line="460" w:lineRule="exact"/>
              <w:rPr>
                <w:rFonts w:hint="eastAsia"/>
                <w:sz w:val="24"/>
                <w:szCs w:val="24"/>
                <w:lang w:val="en-US" w:eastAsia="zh-CN"/>
              </w:rPr>
            </w:pPr>
            <w:r>
              <w:rPr>
                <w:rFonts w:hint="eastAsia"/>
                <w:sz w:val="24"/>
                <w:szCs w:val="24"/>
                <w:lang w:val="en-US" w:eastAsia="zh-CN"/>
              </w:rPr>
              <w:t>公司始终将ESG建设置于战略高度，视其为提升长期竞争力、实现高质量发展的重要支撑。在管理层考核方面，公司目前尚未将ESG相关指标纳入管理层绩效评估体系，目前正结合行业最佳实践与公司所处的发展阶段，积极探索并审慎研究具体的考核维度与落地路径。未来，公司将根据实际推进情况适时完善相关机制，持续深化ESG与业务经营的有机融合，推动可持续发展理念贯穿到公司经营管理全过程中。</w:t>
            </w:r>
          </w:p>
          <w:p w14:paraId="29009B99">
            <w:pPr>
              <w:spacing w:line="460" w:lineRule="exact"/>
              <w:rPr>
                <w:rFonts w:hint="eastAsia"/>
                <w:sz w:val="24"/>
                <w:szCs w:val="24"/>
                <w:lang w:val="en-US" w:eastAsia="zh-CN"/>
              </w:rPr>
            </w:pPr>
          </w:p>
          <w:p w14:paraId="649198CF">
            <w:pPr>
              <w:spacing w:line="460" w:lineRule="exact"/>
              <w:rPr>
                <w:rFonts w:hint="eastAsia" w:eastAsiaTheme="majorEastAsia"/>
                <w:b/>
                <w:sz w:val="24"/>
                <w:lang w:val="en-US" w:eastAsia="zh-CN"/>
              </w:rPr>
            </w:pPr>
            <w:r>
              <w:rPr>
                <w:rFonts w:hint="eastAsia" w:eastAsiaTheme="majorEastAsia"/>
                <w:b/>
                <w:sz w:val="24"/>
                <w:lang w:val="en-US" w:eastAsia="zh-CN"/>
              </w:rPr>
              <w:t>2</w:t>
            </w:r>
            <w:r>
              <w:rPr>
                <w:rFonts w:hint="eastAsia" w:eastAsiaTheme="majorEastAsia"/>
                <w:b/>
                <w:sz w:val="24"/>
              </w:rPr>
              <w:t xml:space="preserve">. </w:t>
            </w:r>
            <w:r>
              <w:rPr>
                <w:rFonts w:hint="eastAsia" w:eastAsiaTheme="majorEastAsia"/>
                <w:b/>
                <w:sz w:val="24"/>
                <w:lang w:val="en-US" w:eastAsia="zh-CN"/>
              </w:rPr>
              <w:t>公司持续大额投入研发，研发费用率近20%，强调以自研全栈产品助力产业绿色低碳转型，请问其中布局绿色数据库产品的比例是多少？绿色数据库产品主要的客户画像是什么？管理层如何评估研发创新在“绿色产品与服务”及“技术普惠”方面的战略投入回报？</w:t>
            </w:r>
          </w:p>
          <w:p w14:paraId="39347E97">
            <w:pPr>
              <w:spacing w:line="460" w:lineRule="exact"/>
              <w:rPr>
                <w:rFonts w:hint="eastAsia"/>
                <w:sz w:val="24"/>
                <w:szCs w:val="24"/>
                <w:lang w:val="en-US" w:eastAsia="zh-CN"/>
              </w:rPr>
            </w:pPr>
            <w:r>
              <w:rPr>
                <w:rFonts w:hint="eastAsia"/>
                <w:sz w:val="24"/>
                <w:szCs w:val="24"/>
              </w:rPr>
              <w:t>答：</w:t>
            </w:r>
            <w:r>
              <w:rPr>
                <w:rFonts w:hint="eastAsia"/>
                <w:sz w:val="24"/>
                <w:szCs w:val="24"/>
                <w:lang w:val="en-US" w:eastAsia="zh-CN"/>
              </w:rPr>
              <w:t>公司持续高强度的研发投入，主要聚焦于提升全栈产品的核心竞争力与技术创新能力。</w:t>
            </w:r>
          </w:p>
          <w:p w14:paraId="43885428">
            <w:pPr>
              <w:spacing w:line="460" w:lineRule="exact"/>
              <w:rPr>
                <w:rFonts w:hint="eastAsia"/>
                <w:sz w:val="24"/>
                <w:szCs w:val="24"/>
                <w:lang w:val="en-US" w:eastAsia="zh-CN"/>
              </w:rPr>
            </w:pPr>
            <w:r>
              <w:rPr>
                <w:rFonts w:hint="eastAsia"/>
                <w:sz w:val="24"/>
                <w:szCs w:val="24"/>
                <w:lang w:val="en-US" w:eastAsia="zh-CN"/>
              </w:rPr>
              <w:t>1）首先，绿色低碳理念已深度贯穿到产品架构设计、资源调度优化及行业解决方案等关键环节。需要说明的是，公司目前尚未对绿色数据库产品进行单独财务核算，因此暂无法提供该类产品收入占比数据；</w:t>
            </w:r>
          </w:p>
          <w:p w14:paraId="767FACF9">
            <w:pPr>
              <w:spacing w:line="460" w:lineRule="exact"/>
              <w:rPr>
                <w:rFonts w:hint="eastAsia"/>
                <w:sz w:val="24"/>
                <w:szCs w:val="24"/>
                <w:lang w:val="en-US" w:eastAsia="zh-CN"/>
              </w:rPr>
            </w:pPr>
            <w:r>
              <w:rPr>
                <w:rFonts w:hint="eastAsia"/>
                <w:sz w:val="24"/>
                <w:szCs w:val="24"/>
                <w:lang w:val="en-US" w:eastAsia="zh-CN"/>
              </w:rPr>
              <w:t>2）</w:t>
            </w:r>
            <w:r>
              <w:rPr>
                <w:rFonts w:hint="eastAsia"/>
                <w:sz w:val="24"/>
                <w:szCs w:val="24"/>
              </w:rPr>
              <w:t>公司绿色数据库产品主要面向对能效优化、节能减排及可持续发展具有明确需求或规划的重点行业客户，</w:t>
            </w:r>
            <w:r>
              <w:rPr>
                <w:rFonts w:hint="eastAsia"/>
                <w:sz w:val="24"/>
                <w:szCs w:val="24"/>
                <w:lang w:val="en-US" w:eastAsia="zh-CN"/>
              </w:rPr>
              <w:t>涵盖</w:t>
            </w:r>
            <w:r>
              <w:rPr>
                <w:rFonts w:hint="eastAsia"/>
                <w:sz w:val="24"/>
                <w:szCs w:val="24"/>
              </w:rPr>
              <w:t>能源、制造、交通等领域。</w:t>
            </w:r>
            <w:r>
              <w:rPr>
                <w:rFonts w:hint="eastAsia"/>
                <w:sz w:val="24"/>
                <w:szCs w:val="24"/>
                <w:lang w:val="en-US" w:eastAsia="zh-CN"/>
              </w:rPr>
              <w:t>此类客户通常对基础软件在能效提升与节能减排方面有较高的诉求；</w:t>
            </w:r>
          </w:p>
          <w:p w14:paraId="62C427F9">
            <w:pPr>
              <w:spacing w:line="460" w:lineRule="exact"/>
              <w:rPr>
                <w:rFonts w:hint="eastAsia"/>
                <w:sz w:val="24"/>
                <w:szCs w:val="24"/>
                <w:lang w:val="en-US" w:eastAsia="zh-CN"/>
              </w:rPr>
            </w:pPr>
            <w:r>
              <w:rPr>
                <w:rFonts w:hint="eastAsia"/>
                <w:sz w:val="24"/>
                <w:szCs w:val="24"/>
                <w:lang w:val="en-US" w:eastAsia="zh-CN"/>
              </w:rPr>
              <w:t>3）公司</w:t>
            </w:r>
            <w:r>
              <w:rPr>
                <w:rFonts w:hint="eastAsia"/>
                <w:sz w:val="24"/>
                <w:szCs w:val="24"/>
              </w:rPr>
              <w:t>管理层认为，数据库</w:t>
            </w:r>
            <w:r>
              <w:rPr>
                <w:rFonts w:hint="eastAsia"/>
                <w:sz w:val="24"/>
                <w:szCs w:val="24"/>
                <w:lang w:val="en-US" w:eastAsia="zh-CN"/>
              </w:rPr>
              <w:t>产品</w:t>
            </w:r>
            <w:r>
              <w:rPr>
                <w:rFonts w:hint="eastAsia"/>
                <w:sz w:val="24"/>
                <w:szCs w:val="24"/>
              </w:rPr>
              <w:t>作为基础软件，是数字化转型与绿色发展协同推进的重要基石</w:t>
            </w:r>
            <w:r>
              <w:rPr>
                <w:rFonts w:hint="eastAsia"/>
                <w:sz w:val="24"/>
                <w:szCs w:val="24"/>
                <w:lang w:eastAsia="zh-CN"/>
              </w:rPr>
              <w:t>。</w:t>
            </w:r>
            <w:r>
              <w:rPr>
                <w:rFonts w:hint="eastAsia"/>
                <w:sz w:val="24"/>
                <w:szCs w:val="24"/>
              </w:rPr>
              <w:t>相关研发</w:t>
            </w:r>
            <w:r>
              <w:rPr>
                <w:rFonts w:hint="eastAsia"/>
                <w:sz w:val="24"/>
                <w:szCs w:val="24"/>
                <w:lang w:val="en-US" w:eastAsia="zh-CN"/>
              </w:rPr>
              <w:t>创新</w:t>
            </w:r>
            <w:r>
              <w:rPr>
                <w:rFonts w:hint="eastAsia"/>
                <w:sz w:val="24"/>
                <w:szCs w:val="24"/>
              </w:rPr>
              <w:t>不仅有助于公司在产业变革中保持技术引领地位，</w:t>
            </w:r>
            <w:r>
              <w:rPr>
                <w:rFonts w:hint="eastAsia"/>
                <w:sz w:val="24"/>
                <w:szCs w:val="24"/>
                <w:lang w:val="en-US" w:eastAsia="zh-CN"/>
              </w:rPr>
              <w:t>更</w:t>
            </w:r>
            <w:r>
              <w:rPr>
                <w:rFonts w:hint="eastAsia"/>
                <w:sz w:val="24"/>
                <w:szCs w:val="24"/>
              </w:rPr>
              <w:t>将推动技术能力的持续下沉与广泛普惠，实现</w:t>
            </w:r>
            <w:r>
              <w:rPr>
                <w:rFonts w:hint="eastAsia"/>
                <w:sz w:val="24"/>
                <w:szCs w:val="24"/>
                <w:lang w:val="en-US" w:eastAsia="zh-CN"/>
              </w:rPr>
              <w:t>经济效益、社会效益与生态效益的</w:t>
            </w:r>
            <w:r>
              <w:rPr>
                <w:rFonts w:hint="eastAsia"/>
                <w:sz w:val="24"/>
                <w:szCs w:val="24"/>
              </w:rPr>
              <w:t>长期</w:t>
            </w:r>
            <w:r>
              <w:rPr>
                <w:rFonts w:hint="eastAsia"/>
                <w:sz w:val="24"/>
                <w:szCs w:val="24"/>
                <w:lang w:val="en-US" w:eastAsia="zh-CN"/>
              </w:rPr>
              <w:t>统一，最终达成</w:t>
            </w:r>
            <w:r>
              <w:rPr>
                <w:rFonts w:hint="eastAsia"/>
                <w:sz w:val="24"/>
                <w:szCs w:val="24"/>
              </w:rPr>
              <w:t>多方共赢</w:t>
            </w:r>
            <w:r>
              <w:rPr>
                <w:rFonts w:hint="eastAsia"/>
                <w:sz w:val="24"/>
                <w:szCs w:val="24"/>
                <w:lang w:val="en-US" w:eastAsia="zh-CN"/>
              </w:rPr>
              <w:t>的</w:t>
            </w:r>
            <w:r>
              <w:rPr>
                <w:rFonts w:hint="eastAsia"/>
                <w:sz w:val="24"/>
                <w:szCs w:val="24"/>
              </w:rPr>
              <w:t>可持续</w:t>
            </w:r>
            <w:r>
              <w:rPr>
                <w:rFonts w:hint="eastAsia"/>
                <w:sz w:val="24"/>
                <w:szCs w:val="24"/>
                <w:lang w:val="en-US" w:eastAsia="zh-CN"/>
              </w:rPr>
              <w:t>发展格局</w:t>
            </w:r>
            <w:r>
              <w:rPr>
                <w:rFonts w:hint="eastAsia"/>
                <w:sz w:val="24"/>
                <w:szCs w:val="24"/>
              </w:rPr>
              <w:t>。</w:t>
            </w:r>
          </w:p>
          <w:p w14:paraId="0804665C">
            <w:pPr>
              <w:spacing w:line="460" w:lineRule="exact"/>
              <w:rPr>
                <w:rFonts w:hint="eastAsia" w:eastAsiaTheme="majorEastAsia"/>
                <w:b/>
                <w:sz w:val="24"/>
                <w:lang w:val="en-US" w:eastAsia="zh-CN"/>
              </w:rPr>
            </w:pPr>
            <w:r>
              <w:rPr>
                <w:rFonts w:hint="eastAsia" w:eastAsiaTheme="majorEastAsia"/>
                <w:b/>
                <w:sz w:val="24"/>
                <w:lang w:val="en-US" w:eastAsia="zh-CN"/>
              </w:rPr>
              <w:t>3</w:t>
            </w:r>
            <w:r>
              <w:rPr>
                <w:rFonts w:hint="eastAsia" w:eastAsiaTheme="majorEastAsia"/>
                <w:b/>
                <w:sz w:val="24"/>
              </w:rPr>
              <w:t xml:space="preserve">. </w:t>
            </w:r>
            <w:r>
              <w:rPr>
                <w:rFonts w:hint="eastAsia" w:eastAsiaTheme="majorEastAsia"/>
                <w:b/>
                <w:sz w:val="24"/>
                <w:lang w:val="en-US" w:eastAsia="zh-CN"/>
              </w:rPr>
              <w:t>在数据库领域国产替代加速的背景下，公司如何通过自主研发的技术能力，在赋能客户数字化转型的同时，切实履行科技伦理责任并保障国家与客户的底层数据安全？</w:t>
            </w:r>
          </w:p>
          <w:p w14:paraId="6522BDA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sz w:val="24"/>
                <w:szCs w:val="24"/>
                <w:lang w:val="en-US" w:eastAsia="zh-CN"/>
              </w:rPr>
            </w:pPr>
            <w:r>
              <w:rPr>
                <w:rFonts w:hint="eastAsia"/>
                <w:sz w:val="24"/>
                <w:szCs w:val="24"/>
                <w:lang w:val="en-US" w:eastAsia="zh-CN"/>
              </w:rPr>
              <w:t>答：公司作为一家以科技创新为驱动的基础软件企业，已将科技伦理责任与数据安全保障贯穿于产品研发、技术迭代与客户服务的全过程。</w:t>
            </w:r>
          </w:p>
          <w:p w14:paraId="545AB01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cs="Times New Roman"/>
                <w:i w:val="0"/>
                <w:iCs w:val="0"/>
                <w:caps w:val="0"/>
                <w:spacing w:val="0"/>
                <w:sz w:val="24"/>
                <w:szCs w:val="24"/>
                <w:shd w:val="clear"/>
                <w:lang w:val="en-US" w:eastAsia="zh-CN"/>
              </w:rPr>
            </w:pPr>
            <w:r>
              <w:rPr>
                <w:rFonts w:hint="eastAsia"/>
                <w:sz w:val="24"/>
                <w:szCs w:val="24"/>
                <w:lang w:val="en-US" w:eastAsia="zh-CN"/>
              </w:rPr>
              <w:t>1）在科技伦理层面，</w:t>
            </w:r>
            <w:r>
              <w:rPr>
                <w:rFonts w:hint="eastAsia" w:ascii="Times New Roman" w:hAnsi="Times New Roman" w:eastAsia="宋体" w:cs="Times New Roman"/>
                <w:i w:val="0"/>
                <w:iCs w:val="0"/>
                <w:caps w:val="0"/>
                <w:spacing w:val="0"/>
                <w:sz w:val="24"/>
                <w:szCs w:val="24"/>
                <w:shd w:val="clear" w:fill="auto"/>
              </w:rPr>
              <w:t>公司始终坚守科技伦理底线，自觉承担科技向善、服务社会的责任，紧密贴合市场与产业发展需求，严格尊重与保护知识产权，积极践行绿色低碳与可持续发展理念。依托自主核心技术优势，公司坚持合规经营、规范发展，确保技术创新与应用符合社会主流价值取向，切实保障科技发展惠及大众、赋能千行百业数字化转型，以负责任的科技创新推动行业高质量、可持续发展</w:t>
            </w:r>
            <w:r>
              <w:rPr>
                <w:rFonts w:hint="eastAsia" w:cs="Times New Roman"/>
                <w:i w:val="0"/>
                <w:iCs w:val="0"/>
                <w:caps w:val="0"/>
                <w:spacing w:val="0"/>
                <w:sz w:val="24"/>
                <w:szCs w:val="24"/>
                <w:shd w:val="clear"/>
                <w:lang w:val="en-US" w:eastAsia="zh-CN"/>
              </w:rPr>
              <w:t>；</w:t>
            </w:r>
          </w:p>
          <w:p w14:paraId="3F7F6877">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sz w:val="24"/>
                <w:szCs w:val="24"/>
                <w:lang w:val="en-US" w:eastAsia="zh-CN"/>
              </w:rPr>
            </w:pPr>
            <w:r>
              <w:rPr>
                <w:rFonts w:hint="eastAsia"/>
                <w:sz w:val="24"/>
                <w:szCs w:val="24"/>
                <w:lang w:val="en-US" w:eastAsia="zh-CN"/>
              </w:rPr>
              <w:t>2）在数据安全层面，</w:t>
            </w:r>
            <w:r>
              <w:rPr>
                <w:rFonts w:hint="eastAsia" w:ascii="Times New Roman" w:hAnsi="Times New Roman" w:eastAsia="宋体" w:cs="Times New Roman"/>
                <w:i w:val="0"/>
                <w:iCs w:val="0"/>
                <w:caps w:val="0"/>
                <w:spacing w:val="0"/>
                <w:sz w:val="24"/>
                <w:szCs w:val="24"/>
                <w:shd w:val="clear" w:fill="auto"/>
              </w:rPr>
              <w:t>作为一家以数据库管理系统的研发与服务为核心的信息技术企业，公司深刻认识到信息安全对于自身长远发展以及赢得顾客持久信任的重要影响。在此基础上，公司秉持“满足客户要求、遵守法律法规、实施风险管理、确保信息安全、实现持续改进”的信息安全管理方针，积极建立健全的信息安全管理体系，为各利益相关方提供充分的信息安全保障。公司严格遵守《中华人民共和国个人信息保护法》《中华人民共和国数据安全法》等法律法规要求，制定《个人信息及隐私数据管理制度》，通过明确收集授权范围、实施分类分级存储、建立最小必要使用原则、规范共享转让审批流程、强化公开披露风险评估、完善删除销毁技术标准等精细化管控措施，实现企业合规运营与客户权益保障的双向平衡</w:t>
            </w:r>
            <w:r>
              <w:rPr>
                <w:rFonts w:hint="eastAsia" w:cs="Times New Roman"/>
                <w:i w:val="0"/>
                <w:iCs w:val="0"/>
                <w:caps w:val="0"/>
                <w:spacing w:val="0"/>
                <w:sz w:val="24"/>
                <w:szCs w:val="24"/>
                <w:shd w:val="clear"/>
                <w:lang w:eastAsia="zh-CN"/>
              </w:rPr>
              <w:t>。</w:t>
            </w:r>
          </w:p>
          <w:p w14:paraId="34372D9E">
            <w:pPr>
              <w:spacing w:line="460" w:lineRule="exact"/>
              <w:rPr>
                <w:rFonts w:hint="eastAsia"/>
                <w:sz w:val="24"/>
                <w:szCs w:val="24"/>
                <w:lang w:val="en-US" w:eastAsia="zh-CN"/>
              </w:rPr>
            </w:pPr>
          </w:p>
          <w:p w14:paraId="3A653674">
            <w:pPr>
              <w:spacing w:line="460" w:lineRule="exact"/>
              <w:rPr>
                <w:rFonts w:hint="eastAsia" w:eastAsiaTheme="majorEastAsia"/>
                <w:b/>
                <w:sz w:val="24"/>
                <w:lang w:val="en-US" w:eastAsia="zh-CN"/>
              </w:rPr>
            </w:pPr>
            <w:r>
              <w:rPr>
                <w:rFonts w:hint="eastAsia" w:eastAsiaTheme="majorEastAsia"/>
                <w:b/>
                <w:sz w:val="24"/>
                <w:lang w:val="en-US" w:eastAsia="zh-CN"/>
              </w:rPr>
              <w:t>4</w:t>
            </w:r>
            <w:r>
              <w:rPr>
                <w:rFonts w:hint="eastAsia" w:eastAsiaTheme="majorEastAsia"/>
                <w:b/>
                <w:sz w:val="24"/>
              </w:rPr>
              <w:t xml:space="preserve">. </w:t>
            </w:r>
            <w:r>
              <w:rPr>
                <w:rFonts w:hint="eastAsia" w:eastAsiaTheme="majorEastAsia"/>
                <w:b/>
                <w:sz w:val="24"/>
                <w:lang w:val="en-US" w:eastAsia="zh-CN"/>
              </w:rPr>
              <w:t>国产替代的核心是人才与持续创新，公司如何通过“产学研”协同及内部研发体系（如多研发中心布局），构建支撑长期国产替代战略的人才与技术护城河？</w:t>
            </w:r>
          </w:p>
          <w:p w14:paraId="5909713C">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sz w:val="24"/>
                <w:szCs w:val="24"/>
                <w:lang w:val="en-US" w:eastAsia="zh-CN"/>
              </w:rPr>
            </w:pPr>
            <w:r>
              <w:rPr>
                <w:rFonts w:hint="default"/>
                <w:sz w:val="24"/>
                <w:szCs w:val="24"/>
                <w:lang w:val="en-US" w:eastAsia="zh-CN"/>
              </w:rPr>
              <w:t>答：公司</w:t>
            </w:r>
            <w:r>
              <w:rPr>
                <w:rFonts w:hint="eastAsia"/>
                <w:sz w:val="24"/>
                <w:szCs w:val="24"/>
                <w:lang w:val="en-US" w:eastAsia="zh-CN"/>
              </w:rPr>
              <w:t>深耕数据库领域四十余年，</w:t>
            </w:r>
            <w:r>
              <w:rPr>
                <w:rFonts w:hint="default"/>
                <w:sz w:val="24"/>
                <w:szCs w:val="24"/>
                <w:lang w:val="en-US" w:eastAsia="zh-CN"/>
              </w:rPr>
              <w:t>始终坚持自主原创的技术路线，掌握多项关键核心技术并拥有完全自主知识产权，构建起中国数据库坚实的</w:t>
            </w:r>
            <w:r>
              <w:rPr>
                <w:rFonts w:hint="eastAsia"/>
                <w:sz w:val="24"/>
                <w:szCs w:val="24"/>
                <w:lang w:val="en-US" w:eastAsia="zh-CN"/>
              </w:rPr>
              <w:t>“</w:t>
            </w:r>
            <w:r>
              <w:rPr>
                <w:rFonts w:hint="default"/>
                <w:sz w:val="24"/>
                <w:szCs w:val="24"/>
                <w:lang w:val="en-US" w:eastAsia="zh-CN"/>
              </w:rPr>
              <w:t>代码根</w:t>
            </w:r>
            <w:r>
              <w:rPr>
                <w:rFonts w:hint="eastAsia"/>
                <w:sz w:val="24"/>
                <w:szCs w:val="24"/>
                <w:lang w:val="en-US" w:eastAsia="zh-CN"/>
              </w:rPr>
              <w:t>”，为国产数据库奠定了坚实的技术底座</w:t>
            </w:r>
            <w:r>
              <w:rPr>
                <w:rFonts w:hint="default"/>
                <w:sz w:val="24"/>
                <w:szCs w:val="24"/>
                <w:lang w:val="en-US" w:eastAsia="zh-CN"/>
              </w:rPr>
              <w:t>。</w:t>
            </w:r>
          </w:p>
          <w:p w14:paraId="2C430172">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sz w:val="24"/>
                <w:szCs w:val="24"/>
                <w:lang w:val="en-US" w:eastAsia="zh-CN"/>
              </w:rPr>
            </w:pPr>
            <w:r>
              <w:rPr>
                <w:rFonts w:hint="eastAsia"/>
                <w:sz w:val="24"/>
                <w:szCs w:val="24"/>
                <w:lang w:val="en-US" w:eastAsia="zh-CN"/>
              </w:rPr>
              <w:t>1）</w:t>
            </w:r>
            <w:r>
              <w:rPr>
                <w:rFonts w:hint="default"/>
                <w:sz w:val="24"/>
                <w:szCs w:val="24"/>
                <w:lang w:val="en-US" w:eastAsia="zh-CN"/>
              </w:rPr>
              <w:t>产学研协同方面</w:t>
            </w:r>
            <w:r>
              <w:rPr>
                <w:rFonts w:hint="eastAsia"/>
                <w:sz w:val="24"/>
                <w:szCs w:val="24"/>
                <w:lang w:val="en-US" w:eastAsia="zh-CN"/>
              </w:rPr>
              <w:t>：</w:t>
            </w:r>
            <w:r>
              <w:rPr>
                <w:rFonts w:hint="default"/>
                <w:sz w:val="24"/>
                <w:szCs w:val="24"/>
                <w:lang w:val="en-US" w:eastAsia="zh-CN"/>
              </w:rPr>
              <w:t>公司着力构建开放共赢的国产数据库创新生态圈，</w:t>
            </w:r>
            <w:r>
              <w:rPr>
                <w:rFonts w:hint="eastAsia"/>
                <w:sz w:val="24"/>
                <w:szCs w:val="24"/>
                <w:lang w:val="en-US" w:eastAsia="zh-CN"/>
              </w:rPr>
              <w:t>持续</w:t>
            </w:r>
            <w:r>
              <w:rPr>
                <w:rFonts w:hint="default"/>
                <w:sz w:val="24"/>
                <w:szCs w:val="24"/>
                <w:lang w:val="en-US" w:eastAsia="zh-CN"/>
              </w:rPr>
              <w:t>深化与高等院校、科研院所的产学研用</w:t>
            </w:r>
            <w:r>
              <w:rPr>
                <w:rFonts w:hint="eastAsia"/>
                <w:sz w:val="24"/>
                <w:szCs w:val="24"/>
                <w:lang w:val="en-US" w:eastAsia="zh-CN"/>
              </w:rPr>
              <w:t>深度融合，</w:t>
            </w:r>
            <w:r>
              <w:rPr>
                <w:rFonts w:hint="default"/>
                <w:sz w:val="24"/>
                <w:szCs w:val="24"/>
                <w:lang w:val="en-US" w:eastAsia="zh-CN"/>
              </w:rPr>
              <w:t>加速科技成果转化与产业化进程</w:t>
            </w:r>
            <w:r>
              <w:rPr>
                <w:rFonts w:hint="eastAsia"/>
                <w:sz w:val="24"/>
                <w:szCs w:val="24"/>
                <w:lang w:val="en-US" w:eastAsia="zh-CN"/>
              </w:rPr>
              <w:t>；</w:t>
            </w:r>
          </w:p>
          <w:p w14:paraId="11FF2132">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sz w:val="24"/>
                <w:szCs w:val="24"/>
                <w:lang w:val="en-US" w:eastAsia="zh-CN"/>
              </w:rPr>
            </w:pPr>
            <w:r>
              <w:rPr>
                <w:rFonts w:hint="eastAsia"/>
                <w:sz w:val="24"/>
                <w:szCs w:val="24"/>
                <w:lang w:val="en-US" w:eastAsia="zh-CN"/>
              </w:rPr>
              <w:t>2）</w:t>
            </w:r>
            <w:r>
              <w:rPr>
                <w:rFonts w:hint="default"/>
                <w:sz w:val="24"/>
                <w:szCs w:val="24"/>
                <w:lang w:val="en-US" w:eastAsia="zh-CN"/>
              </w:rPr>
              <w:t>产学研合作与人才培养方面</w:t>
            </w:r>
            <w:r>
              <w:rPr>
                <w:rFonts w:hint="eastAsia"/>
                <w:sz w:val="24"/>
                <w:szCs w:val="24"/>
                <w:lang w:val="en-US" w:eastAsia="zh-CN"/>
              </w:rPr>
              <w:t>：</w:t>
            </w:r>
            <w:r>
              <w:rPr>
                <w:rFonts w:hint="default"/>
                <w:sz w:val="24"/>
                <w:szCs w:val="24"/>
                <w:lang w:val="en-US" w:eastAsia="zh-CN"/>
              </w:rPr>
              <w:t>通过系列品牌活动、生态构建与人才培育</w:t>
            </w:r>
            <w:r>
              <w:rPr>
                <w:rFonts w:hint="eastAsia"/>
                <w:sz w:val="24"/>
                <w:szCs w:val="24"/>
                <w:lang w:val="en-US" w:eastAsia="zh-CN"/>
              </w:rPr>
              <w:t>等多元</w:t>
            </w:r>
            <w:r>
              <w:rPr>
                <w:rFonts w:hint="default"/>
                <w:sz w:val="24"/>
                <w:szCs w:val="24"/>
                <w:lang w:val="en-US" w:eastAsia="zh-CN"/>
              </w:rPr>
              <w:t>举措，</w:t>
            </w:r>
            <w:r>
              <w:rPr>
                <w:rFonts w:hint="eastAsia"/>
                <w:sz w:val="24"/>
                <w:szCs w:val="24"/>
                <w:lang w:val="en-US" w:eastAsia="zh-CN"/>
              </w:rPr>
              <w:t>公司在</w:t>
            </w:r>
            <w:r>
              <w:rPr>
                <w:rFonts w:hint="default"/>
                <w:sz w:val="24"/>
                <w:szCs w:val="24"/>
                <w:lang w:val="en-US" w:eastAsia="zh-CN"/>
              </w:rPr>
              <w:t>产学研合作与人才培养方面成果丰硕、成效显著。为国产数据库人才生态</w:t>
            </w:r>
            <w:r>
              <w:rPr>
                <w:rFonts w:hint="eastAsia"/>
                <w:sz w:val="24"/>
                <w:szCs w:val="24"/>
                <w:lang w:val="en-US" w:eastAsia="zh-CN"/>
              </w:rPr>
              <w:t>的</w:t>
            </w:r>
            <w:r>
              <w:rPr>
                <w:rFonts w:hint="default"/>
                <w:sz w:val="24"/>
                <w:szCs w:val="24"/>
                <w:lang w:val="en-US" w:eastAsia="zh-CN"/>
              </w:rPr>
              <w:t>繁荣贡献了积极力量，实现了品牌价值、产业协同与人才储备的多方共赢</w:t>
            </w:r>
            <w:r>
              <w:rPr>
                <w:rFonts w:hint="eastAsia"/>
                <w:sz w:val="24"/>
                <w:szCs w:val="24"/>
                <w:lang w:val="en-US" w:eastAsia="zh-CN"/>
              </w:rPr>
              <w:t>；</w:t>
            </w:r>
          </w:p>
          <w:p w14:paraId="60D9A5E3">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sz w:val="24"/>
                <w:szCs w:val="24"/>
                <w:lang w:val="en-US" w:eastAsia="zh-CN"/>
              </w:rPr>
            </w:pPr>
            <w:r>
              <w:rPr>
                <w:rFonts w:hint="eastAsia"/>
                <w:sz w:val="24"/>
                <w:szCs w:val="24"/>
                <w:lang w:val="en-US" w:eastAsia="zh-CN"/>
              </w:rPr>
              <w:t>3）内部研发体系方面：公司依托多地研发中心协同布局，</w:t>
            </w:r>
            <w:r>
              <w:rPr>
                <w:rFonts w:hint="eastAsia" w:ascii="Times New Roman" w:hAnsi="Times New Roman" w:eastAsia="宋体" w:cs="Times New Roman"/>
                <w:spacing w:val="0"/>
                <w:sz w:val="24"/>
                <w:szCs w:val="24"/>
              </w:rPr>
              <w:t>实现技术攻关的纵深推进与人才梯队的梯度培养。通过“外部协同创新+内部体系化研发”的双轮驱动，公司持续夯实人才储备与技术积累，为国产</w:t>
            </w:r>
            <w:r>
              <w:rPr>
                <w:rFonts w:hint="eastAsia" w:cs="Times New Roman"/>
                <w:spacing w:val="0"/>
                <w:sz w:val="24"/>
                <w:szCs w:val="24"/>
                <w:lang w:val="en-US" w:eastAsia="zh-CN"/>
              </w:rPr>
              <w:t>数据库</w:t>
            </w:r>
            <w:r>
              <w:rPr>
                <w:rFonts w:hint="eastAsia" w:ascii="Times New Roman" w:hAnsi="Times New Roman" w:eastAsia="宋体" w:cs="Times New Roman"/>
                <w:spacing w:val="0"/>
                <w:sz w:val="24"/>
                <w:szCs w:val="24"/>
              </w:rPr>
              <w:t>构筑起坚实的人才与技术双重护城河</w:t>
            </w:r>
            <w:r>
              <w:rPr>
                <w:rFonts w:hint="eastAsia" w:cs="Times New Roman"/>
                <w:spacing w:val="0"/>
                <w:sz w:val="24"/>
                <w:szCs w:val="24"/>
                <w:lang w:eastAsia="zh-CN"/>
              </w:rPr>
              <w:t>。</w:t>
            </w:r>
          </w:p>
          <w:p w14:paraId="6D970B4B">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sz w:val="24"/>
                <w:szCs w:val="24"/>
                <w:lang w:val="en-US" w:eastAsia="zh-CN"/>
              </w:rPr>
            </w:pPr>
          </w:p>
          <w:p w14:paraId="6F3A05BB">
            <w:pPr>
              <w:spacing w:line="460" w:lineRule="exact"/>
              <w:rPr>
                <w:rFonts w:hint="eastAsia" w:eastAsiaTheme="majorEastAsia"/>
                <w:b/>
                <w:sz w:val="24"/>
                <w:lang w:val="en-US" w:eastAsia="zh-CN"/>
              </w:rPr>
            </w:pPr>
            <w:r>
              <w:rPr>
                <w:rFonts w:hint="eastAsia" w:eastAsiaTheme="majorEastAsia"/>
                <w:b/>
                <w:sz w:val="24"/>
                <w:lang w:val="en-US" w:eastAsia="zh-CN"/>
              </w:rPr>
              <w:t>5</w:t>
            </w:r>
            <w:r>
              <w:rPr>
                <w:rFonts w:hint="eastAsia" w:eastAsiaTheme="majorEastAsia"/>
                <w:b/>
                <w:sz w:val="24"/>
              </w:rPr>
              <w:t xml:space="preserve">. </w:t>
            </w:r>
            <w:r>
              <w:rPr>
                <w:rFonts w:hint="eastAsia" w:eastAsiaTheme="majorEastAsia"/>
                <w:b/>
                <w:sz w:val="24"/>
                <w:lang w:val="en-US" w:eastAsia="zh-CN"/>
              </w:rPr>
              <w:t>在打破国外厂商垄断、实现共享存储集群等“卡脖子”技术突破后，公司下一步的国产替代战略重心是什么？</w:t>
            </w:r>
          </w:p>
          <w:p w14:paraId="57FC37A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sz w:val="24"/>
                <w:szCs w:val="24"/>
                <w:lang w:val="en-US" w:eastAsia="zh-CN"/>
              </w:rPr>
            </w:pPr>
            <w:r>
              <w:rPr>
                <w:rFonts w:hint="eastAsia"/>
                <w:sz w:val="24"/>
                <w:szCs w:val="24"/>
                <w:lang w:val="en-US" w:eastAsia="zh-CN"/>
              </w:rPr>
              <w:t>答：</w:t>
            </w:r>
            <w:r>
              <w:rPr>
                <w:rFonts w:hint="default"/>
                <w:sz w:val="24"/>
                <w:szCs w:val="24"/>
                <w:lang w:val="en-US" w:eastAsia="zh-CN"/>
              </w:rPr>
              <w:t>在共享存储集群等关键核心技术实现突破后，公司国产</w:t>
            </w:r>
            <w:r>
              <w:rPr>
                <w:rFonts w:hint="eastAsia"/>
                <w:sz w:val="24"/>
                <w:szCs w:val="24"/>
                <w:lang w:val="en-US" w:eastAsia="zh-CN"/>
              </w:rPr>
              <w:t>信息化建设</w:t>
            </w:r>
            <w:r>
              <w:rPr>
                <w:rFonts w:hint="default"/>
                <w:sz w:val="24"/>
                <w:szCs w:val="24"/>
                <w:lang w:val="en-US" w:eastAsia="zh-CN"/>
              </w:rPr>
              <w:t>战略的重心正逐步向新一代数据库一体机业务延伸。</w:t>
            </w:r>
          </w:p>
          <w:p w14:paraId="20F406A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sz w:val="24"/>
                <w:szCs w:val="24"/>
                <w:lang w:val="en-US" w:eastAsia="zh-CN"/>
              </w:rPr>
            </w:pPr>
            <w:r>
              <w:rPr>
                <w:rFonts w:hint="default"/>
                <w:sz w:val="24"/>
                <w:szCs w:val="24"/>
                <w:lang w:val="en-US" w:eastAsia="zh-CN"/>
              </w:rPr>
              <w:t>该产品通过软硬件深度融合与协同优化，致力于为用户提供更高性能、更易部署、更高可用性的数据基础设施，精准匹配金融、能源、电信等关键行业对自主可控与极致性能的双重需求。</w:t>
            </w:r>
            <w:r>
              <w:rPr>
                <w:rFonts w:hint="eastAsia"/>
                <w:sz w:val="24"/>
                <w:szCs w:val="24"/>
                <w:lang w:val="en-US" w:eastAsia="zh-CN"/>
              </w:rPr>
              <w:t>与此</w:t>
            </w:r>
            <w:r>
              <w:rPr>
                <w:rFonts w:hint="default"/>
                <w:sz w:val="24"/>
                <w:szCs w:val="24"/>
                <w:lang w:val="en-US" w:eastAsia="zh-CN"/>
              </w:rPr>
              <w:t>同时，公司将着力构建面向AI时代的数据底座，</w:t>
            </w:r>
            <w:r>
              <w:rPr>
                <w:rFonts w:hint="eastAsia"/>
                <w:sz w:val="24"/>
                <w:szCs w:val="24"/>
                <w:lang w:val="en-US" w:eastAsia="zh-CN"/>
              </w:rPr>
              <w:t>持续</w:t>
            </w:r>
            <w:r>
              <w:rPr>
                <w:rFonts w:hint="default"/>
                <w:sz w:val="24"/>
                <w:szCs w:val="24"/>
                <w:lang w:val="en-US" w:eastAsia="zh-CN"/>
              </w:rPr>
              <w:t>拓宽数据库产品的应用边界与市场空间。</w:t>
            </w:r>
            <w:r>
              <w:rPr>
                <w:rFonts w:hint="eastAsia"/>
                <w:sz w:val="24"/>
                <w:szCs w:val="24"/>
                <w:lang w:val="en-US" w:eastAsia="zh-CN"/>
              </w:rPr>
              <w:t>展望</w:t>
            </w:r>
            <w:r>
              <w:rPr>
                <w:rFonts w:hint="default"/>
                <w:sz w:val="24"/>
                <w:szCs w:val="24"/>
                <w:lang w:val="en-US" w:eastAsia="zh-CN"/>
              </w:rPr>
              <w:t>未来，公司将继续以技术创新为驱动，推动国产数据库从</w:t>
            </w:r>
            <w:r>
              <w:rPr>
                <w:rFonts w:hint="eastAsia"/>
                <w:sz w:val="24"/>
                <w:szCs w:val="24"/>
                <w:lang w:val="en-US" w:eastAsia="zh-CN"/>
              </w:rPr>
              <w:t>“</w:t>
            </w:r>
            <w:r>
              <w:rPr>
                <w:rFonts w:hint="default"/>
                <w:sz w:val="24"/>
                <w:szCs w:val="24"/>
                <w:lang w:val="en-US" w:eastAsia="zh-CN"/>
              </w:rPr>
              <w:t>可用</w:t>
            </w:r>
            <w:r>
              <w:rPr>
                <w:rFonts w:hint="eastAsia"/>
                <w:sz w:val="24"/>
                <w:szCs w:val="24"/>
                <w:lang w:val="en-US" w:eastAsia="zh-CN"/>
              </w:rPr>
              <w:t>”</w:t>
            </w:r>
            <w:r>
              <w:rPr>
                <w:rFonts w:hint="default"/>
                <w:sz w:val="24"/>
                <w:szCs w:val="24"/>
                <w:lang w:val="en-US" w:eastAsia="zh-CN"/>
              </w:rPr>
              <w:t>向</w:t>
            </w:r>
            <w:r>
              <w:rPr>
                <w:rFonts w:hint="eastAsia"/>
                <w:sz w:val="24"/>
                <w:szCs w:val="24"/>
                <w:lang w:val="en-US" w:eastAsia="zh-CN"/>
              </w:rPr>
              <w:t>“</w:t>
            </w:r>
            <w:r>
              <w:rPr>
                <w:rFonts w:hint="default"/>
                <w:sz w:val="24"/>
                <w:szCs w:val="24"/>
                <w:lang w:val="en-US" w:eastAsia="zh-CN"/>
              </w:rPr>
              <w:t>好用</w:t>
            </w:r>
            <w:r>
              <w:rPr>
                <w:rFonts w:hint="eastAsia"/>
                <w:sz w:val="24"/>
                <w:szCs w:val="24"/>
                <w:lang w:val="en-US" w:eastAsia="zh-CN"/>
              </w:rPr>
              <w:t>”</w:t>
            </w:r>
            <w:r>
              <w:rPr>
                <w:rFonts w:hint="default"/>
                <w:sz w:val="24"/>
                <w:szCs w:val="24"/>
                <w:lang w:val="en-US" w:eastAsia="zh-CN"/>
              </w:rPr>
              <w:t>迈进，全面</w:t>
            </w:r>
            <w:r>
              <w:rPr>
                <w:rFonts w:hint="eastAsia"/>
                <w:sz w:val="24"/>
                <w:szCs w:val="24"/>
                <w:lang w:val="en-US" w:eastAsia="zh-CN"/>
              </w:rPr>
              <w:t>赋能</w:t>
            </w:r>
            <w:r>
              <w:rPr>
                <w:rFonts w:hint="default"/>
                <w:sz w:val="24"/>
                <w:szCs w:val="24"/>
                <w:lang w:val="en-US" w:eastAsia="zh-CN"/>
              </w:rPr>
              <w:t>各行业数字化转型，</w:t>
            </w:r>
            <w:r>
              <w:rPr>
                <w:rFonts w:hint="eastAsia"/>
                <w:sz w:val="24"/>
                <w:szCs w:val="24"/>
                <w:lang w:val="en-US" w:eastAsia="zh-CN"/>
              </w:rPr>
              <w:t>为</w:t>
            </w:r>
            <w:r>
              <w:rPr>
                <w:rFonts w:hint="default"/>
                <w:sz w:val="24"/>
                <w:szCs w:val="24"/>
                <w:lang w:val="en-US" w:eastAsia="zh-CN"/>
              </w:rPr>
              <w:t>夯实数字中国建设的数据底座</w:t>
            </w:r>
            <w:r>
              <w:rPr>
                <w:rFonts w:hint="eastAsia"/>
                <w:sz w:val="24"/>
                <w:szCs w:val="24"/>
                <w:lang w:val="en-US" w:eastAsia="zh-CN"/>
              </w:rPr>
              <w:t>贡献坚实力量</w:t>
            </w:r>
            <w:r>
              <w:rPr>
                <w:rFonts w:hint="default"/>
                <w:sz w:val="24"/>
                <w:szCs w:val="24"/>
                <w:lang w:val="en-US" w:eastAsia="zh-CN"/>
              </w:rPr>
              <w:t>。</w:t>
            </w:r>
          </w:p>
          <w:p w14:paraId="5C0FD59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sz w:val="24"/>
                <w:szCs w:val="24"/>
                <w:lang w:val="en-US" w:eastAsia="zh-CN"/>
              </w:rPr>
            </w:pPr>
          </w:p>
          <w:p w14:paraId="7E649589">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eastAsiaTheme="majorEastAsia"/>
                <w:b/>
                <w:sz w:val="24"/>
                <w:lang w:val="en-US" w:eastAsia="zh-CN"/>
              </w:rPr>
            </w:pPr>
            <w:r>
              <w:rPr>
                <w:rFonts w:hint="eastAsia" w:eastAsiaTheme="majorEastAsia"/>
                <w:b/>
                <w:sz w:val="24"/>
                <w:lang w:val="en-US" w:eastAsia="zh-CN"/>
              </w:rPr>
              <w:t>6</w:t>
            </w:r>
            <w:r>
              <w:rPr>
                <w:rFonts w:hint="eastAsia" w:eastAsiaTheme="majorEastAsia"/>
                <w:b/>
                <w:sz w:val="24"/>
              </w:rPr>
              <w:t xml:space="preserve">. </w:t>
            </w:r>
            <w:r>
              <w:rPr>
                <w:rFonts w:hint="eastAsia" w:eastAsiaTheme="majorEastAsia"/>
                <w:b/>
                <w:sz w:val="24"/>
                <w:lang w:val="en-US" w:eastAsia="zh-CN"/>
              </w:rPr>
              <w:t>在绿色运营方面，公司完成通勤及公务车辆新能源替换、落地多项节水节电举措，后续在办公机房能耗、园区减排层面有哪些中长期环境改善规划？是否有考虑设立碳减排目标与规划、建设零碳园区等？</w:t>
            </w:r>
          </w:p>
          <w:p w14:paraId="47C51074">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eastAsia"/>
                <w:sz w:val="24"/>
                <w:szCs w:val="24"/>
                <w:lang w:val="en-US" w:eastAsia="zh-CN"/>
              </w:rPr>
            </w:pPr>
            <w:r>
              <w:rPr>
                <w:rFonts w:hint="eastAsia"/>
                <w:sz w:val="24"/>
                <w:szCs w:val="24"/>
                <w:lang w:val="en-US" w:eastAsia="zh-CN"/>
              </w:rPr>
              <w:t>答：在绿色运营方面，公司当前重点聚焦于办公区域的日常能耗管控环节，立足办公场景的实际用能特点，以照明、空调等用电设备为抓手实施全流程精细化管理，通过建立标准化的设备定时启停机制、规范用电使用时段等方式，有效降低办公场景中非必要的能源消耗，从日常细节层面减少资源浪费。后续，公司将结合园区的实际运营情况，持续细化覆盖全区域的日常能耗巡查与动态评估机制，从制度建设与执行落地两方面稳步夯实节能管理基础，稳步推动公司整体绿色运营水平不断提升。</w:t>
            </w:r>
          </w:p>
          <w:p w14:paraId="395190B5">
            <w:pPr>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eastAsiaTheme="majorEastAsia"/>
                <w:b/>
                <w:sz w:val="24"/>
                <w:lang w:val="en-US" w:eastAsia="zh-CN"/>
              </w:rPr>
            </w:pPr>
            <w:r>
              <w:rPr>
                <w:rFonts w:hint="eastAsia"/>
                <w:sz w:val="24"/>
                <w:szCs w:val="24"/>
                <w:lang w:val="en-US" w:eastAsia="zh-CN"/>
              </w:rPr>
              <w:t>关于碳减排目标与零碳园区建设等涉及公司整体布局的中长期规划，公司目前尚处于前期研究阶段，暂未设定明确具体的硬性实施计划。但公司将密切关注相关政策与技术发展趋势，结合公司情况，适时优化自身环境管理策略，为后续制定符合公司发展并可落地的规划及实施路径做好充足准备。</w:t>
            </w:r>
          </w:p>
        </w:tc>
      </w:tr>
      <w:tr w14:paraId="479D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2219" w:type="dxa"/>
            <w:vAlign w:val="center"/>
          </w:tcPr>
          <w:p w14:paraId="7F5E35DD">
            <w:pPr>
              <w:spacing w:line="460" w:lineRule="exact"/>
              <w:jc w:val="center"/>
              <w:rPr>
                <w:b/>
                <w:bCs/>
                <w:iCs/>
                <w:sz w:val="24"/>
                <w:szCs w:val="24"/>
              </w:rPr>
            </w:pPr>
            <w:r>
              <w:rPr>
                <w:b/>
                <w:bCs/>
                <w:iCs/>
                <w:sz w:val="24"/>
                <w:szCs w:val="24"/>
              </w:rPr>
              <w:t>关于本次活动是否涉及应当披露重大信息的说明</w:t>
            </w:r>
          </w:p>
        </w:tc>
        <w:tc>
          <w:tcPr>
            <w:tcW w:w="6138" w:type="dxa"/>
          </w:tcPr>
          <w:p w14:paraId="2C0AD04A">
            <w:pPr>
              <w:spacing w:line="460" w:lineRule="exact"/>
              <w:rPr>
                <w:bCs/>
                <w:iCs/>
                <w:sz w:val="24"/>
                <w:szCs w:val="24"/>
              </w:rPr>
            </w:pPr>
            <w:r>
              <w:rPr>
                <w:sz w:val="24"/>
                <w:szCs w:val="24"/>
              </w:rPr>
              <w:t>公司严格按照《信息披露管理制度》等相关规定，保证信息披露的真实、准确、完整，没有出现未公开重大信息泄露等情况。</w:t>
            </w:r>
          </w:p>
        </w:tc>
      </w:tr>
      <w:tr w14:paraId="1058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9" w:type="dxa"/>
            <w:vAlign w:val="center"/>
          </w:tcPr>
          <w:p w14:paraId="55DB138E">
            <w:pPr>
              <w:spacing w:line="460" w:lineRule="exact"/>
              <w:jc w:val="center"/>
              <w:rPr>
                <w:b/>
                <w:bCs/>
                <w:iCs/>
                <w:sz w:val="24"/>
                <w:szCs w:val="24"/>
              </w:rPr>
            </w:pPr>
            <w:r>
              <w:rPr>
                <w:b/>
                <w:bCs/>
                <w:iCs/>
                <w:sz w:val="24"/>
                <w:szCs w:val="24"/>
              </w:rPr>
              <w:t>附件清单（如有）</w:t>
            </w:r>
          </w:p>
        </w:tc>
        <w:tc>
          <w:tcPr>
            <w:tcW w:w="6138" w:type="dxa"/>
            <w:vAlign w:val="center"/>
          </w:tcPr>
          <w:p w14:paraId="0FC4A74D">
            <w:pPr>
              <w:pStyle w:val="21"/>
              <w:spacing w:line="460" w:lineRule="exact"/>
              <w:jc w:val="both"/>
              <w:rPr>
                <w:rFonts w:ascii="Times New Roman" w:hAnsi="Times New Roman"/>
                <w:sz w:val="24"/>
                <w:szCs w:val="24"/>
                <w:lang w:eastAsia="zh-CN"/>
              </w:rPr>
            </w:pPr>
            <w:r>
              <w:rPr>
                <w:rFonts w:hint="eastAsia" w:ascii="Times New Roman" w:hAnsi="Times New Roman"/>
                <w:bCs/>
                <w:iCs/>
                <w:sz w:val="24"/>
                <w:szCs w:val="24"/>
                <w:lang w:eastAsia="zh-CN"/>
              </w:rPr>
              <w:t>无</w:t>
            </w:r>
          </w:p>
        </w:tc>
      </w:tr>
      <w:tr w14:paraId="3E56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9" w:type="dxa"/>
            <w:vAlign w:val="center"/>
          </w:tcPr>
          <w:p w14:paraId="432B82FB">
            <w:pPr>
              <w:spacing w:line="460" w:lineRule="exact"/>
              <w:jc w:val="center"/>
              <w:rPr>
                <w:b/>
                <w:bCs/>
                <w:iCs/>
                <w:sz w:val="24"/>
                <w:szCs w:val="24"/>
              </w:rPr>
            </w:pPr>
            <w:r>
              <w:rPr>
                <w:b/>
                <w:bCs/>
                <w:iCs/>
                <w:sz w:val="24"/>
                <w:szCs w:val="24"/>
              </w:rPr>
              <w:t>日期</w:t>
            </w:r>
          </w:p>
        </w:tc>
        <w:tc>
          <w:tcPr>
            <w:tcW w:w="6138" w:type="dxa"/>
            <w:vAlign w:val="center"/>
          </w:tcPr>
          <w:p w14:paraId="58E912CB">
            <w:pPr>
              <w:pStyle w:val="21"/>
              <w:spacing w:line="460" w:lineRule="exact"/>
              <w:jc w:val="both"/>
              <w:rPr>
                <w:rFonts w:ascii="Times New Roman" w:hAnsi="Times New Roman"/>
                <w:bCs/>
                <w:iCs/>
                <w:sz w:val="24"/>
                <w:szCs w:val="24"/>
                <w:lang w:eastAsia="zh-CN"/>
              </w:rPr>
            </w:pPr>
            <w:r>
              <w:rPr>
                <w:rFonts w:hint="eastAsia" w:ascii="Times New Roman" w:hAnsi="Times New Roman"/>
                <w:bCs/>
                <w:iCs/>
                <w:sz w:val="24"/>
                <w:szCs w:val="24"/>
                <w:lang w:eastAsia="zh-CN"/>
              </w:rPr>
              <w:t>2</w:t>
            </w:r>
            <w:r>
              <w:rPr>
                <w:rFonts w:ascii="Times New Roman" w:hAnsi="Times New Roman"/>
                <w:bCs/>
                <w:iCs/>
                <w:sz w:val="24"/>
                <w:szCs w:val="24"/>
                <w:lang w:eastAsia="zh-CN"/>
              </w:rPr>
              <w:t>02</w:t>
            </w:r>
            <w:r>
              <w:rPr>
                <w:rFonts w:hint="eastAsia" w:ascii="Times New Roman" w:hAnsi="Times New Roman"/>
                <w:bCs/>
                <w:iCs/>
                <w:sz w:val="24"/>
                <w:szCs w:val="24"/>
                <w:lang w:val="en-US" w:eastAsia="zh-CN"/>
              </w:rPr>
              <w:t>6</w:t>
            </w:r>
            <w:r>
              <w:rPr>
                <w:rFonts w:ascii="Times New Roman" w:hAnsi="Times New Roman"/>
                <w:bCs/>
                <w:iCs/>
                <w:sz w:val="24"/>
                <w:szCs w:val="24"/>
                <w:lang w:eastAsia="zh-CN"/>
              </w:rPr>
              <w:t>年</w:t>
            </w:r>
            <w:r>
              <w:rPr>
                <w:rFonts w:hint="eastAsia" w:ascii="Times New Roman" w:hAnsi="Times New Roman"/>
                <w:bCs/>
                <w:iCs/>
                <w:sz w:val="24"/>
                <w:szCs w:val="24"/>
                <w:lang w:val="en-US" w:eastAsia="zh-CN"/>
              </w:rPr>
              <w:t>8</w:t>
            </w:r>
            <w:r>
              <w:rPr>
                <w:rFonts w:ascii="Times New Roman" w:hAnsi="Times New Roman"/>
                <w:bCs/>
                <w:iCs/>
                <w:sz w:val="24"/>
                <w:szCs w:val="24"/>
                <w:lang w:eastAsia="zh-CN"/>
              </w:rPr>
              <w:t>月</w:t>
            </w:r>
            <w:r>
              <w:rPr>
                <w:rFonts w:hint="eastAsia" w:ascii="Times New Roman" w:hAnsi="Times New Roman"/>
                <w:bCs/>
                <w:iCs/>
                <w:sz w:val="24"/>
                <w:szCs w:val="24"/>
                <w:lang w:val="en-US" w:eastAsia="zh-CN"/>
              </w:rPr>
              <w:t>6</w:t>
            </w:r>
            <w:bookmarkStart w:id="0" w:name="_GoBack"/>
            <w:bookmarkEnd w:id="0"/>
            <w:r>
              <w:rPr>
                <w:rFonts w:ascii="Times New Roman" w:hAnsi="Times New Roman"/>
                <w:bCs/>
                <w:iCs/>
                <w:sz w:val="24"/>
                <w:szCs w:val="24"/>
                <w:lang w:eastAsia="zh-CN"/>
              </w:rPr>
              <w:t>日</w:t>
            </w:r>
          </w:p>
        </w:tc>
      </w:tr>
    </w:tbl>
    <w:p w14:paraId="729674D5">
      <w:pPr>
        <w:spacing w:line="20" w:lineRule="exact"/>
        <w:rPr>
          <w:sz w:val="24"/>
          <w:szCs w:val="24"/>
        </w:rPr>
      </w:pPr>
    </w:p>
    <w:p w14:paraId="3567FB04">
      <w:pPr>
        <w:spacing w:line="20" w:lineRule="exact"/>
        <w:rPr>
          <w:sz w:val="24"/>
          <w:szCs w:val="24"/>
        </w:rPr>
      </w:pPr>
    </w:p>
    <w:p w14:paraId="216B03BC">
      <w:pPr>
        <w:spacing w:line="20" w:lineRule="exact"/>
        <w:rPr>
          <w:sz w:val="24"/>
          <w:szCs w:val="24"/>
        </w:rPr>
      </w:pPr>
    </w:p>
    <w:p w14:paraId="3AFD840E">
      <w:pPr>
        <w:spacing w:line="20" w:lineRule="exact"/>
        <w:rPr>
          <w:sz w:val="24"/>
          <w:szCs w:val="24"/>
        </w:rPr>
      </w:pPr>
    </w:p>
    <w:p w14:paraId="6C4A364F">
      <w:pPr>
        <w:spacing w:line="20" w:lineRule="exact"/>
        <w:rPr>
          <w:sz w:val="24"/>
          <w:szCs w:val="24"/>
        </w:rPr>
      </w:pPr>
    </w:p>
    <w:p w14:paraId="5E22348C">
      <w:pPr>
        <w:spacing w:line="20" w:lineRule="exact"/>
        <w:rPr>
          <w:sz w:val="24"/>
          <w:szCs w:val="24"/>
        </w:rPr>
      </w:pPr>
    </w:p>
    <w:p w14:paraId="73FFE5D6">
      <w:pPr>
        <w:spacing w:line="20" w:lineRule="exact"/>
        <w:rPr>
          <w:sz w:val="24"/>
          <w:szCs w:val="24"/>
        </w:rPr>
      </w:pPr>
    </w:p>
    <w:p w14:paraId="256DC89D">
      <w:pPr>
        <w:widowControl/>
        <w:jc w:val="left"/>
        <w:rPr>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RjYmQzNGM5MzM2ZDk1MTg0Yjc2NjM0ZGU1MGY3YzQifQ=="/>
  </w:docVars>
  <w:rsids>
    <w:rsidRoot w:val="00A3170D"/>
    <w:rsid w:val="000024BB"/>
    <w:rsid w:val="000044BB"/>
    <w:rsid w:val="00005621"/>
    <w:rsid w:val="00010521"/>
    <w:rsid w:val="0001258A"/>
    <w:rsid w:val="00021A3B"/>
    <w:rsid w:val="00033E03"/>
    <w:rsid w:val="000411C7"/>
    <w:rsid w:val="00044070"/>
    <w:rsid w:val="000475C2"/>
    <w:rsid w:val="00047C12"/>
    <w:rsid w:val="00050005"/>
    <w:rsid w:val="00050368"/>
    <w:rsid w:val="00053B49"/>
    <w:rsid w:val="00054368"/>
    <w:rsid w:val="00055605"/>
    <w:rsid w:val="00056263"/>
    <w:rsid w:val="00056FF5"/>
    <w:rsid w:val="00062896"/>
    <w:rsid w:val="00065C81"/>
    <w:rsid w:val="000661D9"/>
    <w:rsid w:val="0007148B"/>
    <w:rsid w:val="000761F2"/>
    <w:rsid w:val="00077A55"/>
    <w:rsid w:val="000804C3"/>
    <w:rsid w:val="0008513C"/>
    <w:rsid w:val="000857DF"/>
    <w:rsid w:val="000866E1"/>
    <w:rsid w:val="00093046"/>
    <w:rsid w:val="00096BCD"/>
    <w:rsid w:val="000A19AC"/>
    <w:rsid w:val="000A287E"/>
    <w:rsid w:val="000A7844"/>
    <w:rsid w:val="000B6AF6"/>
    <w:rsid w:val="000C5E87"/>
    <w:rsid w:val="000D6971"/>
    <w:rsid w:val="000E35F4"/>
    <w:rsid w:val="000F3E90"/>
    <w:rsid w:val="000F45C3"/>
    <w:rsid w:val="00104492"/>
    <w:rsid w:val="00105607"/>
    <w:rsid w:val="00105D10"/>
    <w:rsid w:val="001076E7"/>
    <w:rsid w:val="00113122"/>
    <w:rsid w:val="0011326E"/>
    <w:rsid w:val="00113DF7"/>
    <w:rsid w:val="0012666D"/>
    <w:rsid w:val="00131853"/>
    <w:rsid w:val="00141DC2"/>
    <w:rsid w:val="001429A6"/>
    <w:rsid w:val="00142C41"/>
    <w:rsid w:val="001453AE"/>
    <w:rsid w:val="00147810"/>
    <w:rsid w:val="00151913"/>
    <w:rsid w:val="001524BF"/>
    <w:rsid w:val="00156B16"/>
    <w:rsid w:val="00156FB7"/>
    <w:rsid w:val="00164097"/>
    <w:rsid w:val="00164CBD"/>
    <w:rsid w:val="00166552"/>
    <w:rsid w:val="00171D95"/>
    <w:rsid w:val="001849D2"/>
    <w:rsid w:val="001958CD"/>
    <w:rsid w:val="001A1687"/>
    <w:rsid w:val="001A1983"/>
    <w:rsid w:val="001A364D"/>
    <w:rsid w:val="001A6C29"/>
    <w:rsid w:val="001B323E"/>
    <w:rsid w:val="001B5AD7"/>
    <w:rsid w:val="001B66E1"/>
    <w:rsid w:val="001B7E76"/>
    <w:rsid w:val="001C0541"/>
    <w:rsid w:val="001C31DD"/>
    <w:rsid w:val="001C7ECB"/>
    <w:rsid w:val="001D22C2"/>
    <w:rsid w:val="001D3A7F"/>
    <w:rsid w:val="001D6F94"/>
    <w:rsid w:val="001E3A51"/>
    <w:rsid w:val="001E4499"/>
    <w:rsid w:val="001E563C"/>
    <w:rsid w:val="001E67BF"/>
    <w:rsid w:val="001E72B3"/>
    <w:rsid w:val="001F197F"/>
    <w:rsid w:val="00201FFE"/>
    <w:rsid w:val="002074C3"/>
    <w:rsid w:val="00207601"/>
    <w:rsid w:val="00215EBF"/>
    <w:rsid w:val="00221E94"/>
    <w:rsid w:val="00223701"/>
    <w:rsid w:val="0024512B"/>
    <w:rsid w:val="00246017"/>
    <w:rsid w:val="002468D1"/>
    <w:rsid w:val="00251015"/>
    <w:rsid w:val="00251D2A"/>
    <w:rsid w:val="0025223D"/>
    <w:rsid w:val="00255A27"/>
    <w:rsid w:val="00255A4A"/>
    <w:rsid w:val="0026498F"/>
    <w:rsid w:val="00277437"/>
    <w:rsid w:val="00285071"/>
    <w:rsid w:val="00285139"/>
    <w:rsid w:val="00286867"/>
    <w:rsid w:val="0029026D"/>
    <w:rsid w:val="002A14DE"/>
    <w:rsid w:val="002A1580"/>
    <w:rsid w:val="002A70D3"/>
    <w:rsid w:val="002B3613"/>
    <w:rsid w:val="002B50EC"/>
    <w:rsid w:val="002B7675"/>
    <w:rsid w:val="002C0278"/>
    <w:rsid w:val="002C3D7A"/>
    <w:rsid w:val="002C6A8E"/>
    <w:rsid w:val="002C6CA5"/>
    <w:rsid w:val="002D0058"/>
    <w:rsid w:val="002D082E"/>
    <w:rsid w:val="002D2CBC"/>
    <w:rsid w:val="002D5E85"/>
    <w:rsid w:val="002D6AC6"/>
    <w:rsid w:val="002E17BA"/>
    <w:rsid w:val="002E7D1A"/>
    <w:rsid w:val="00303B92"/>
    <w:rsid w:val="00303DF1"/>
    <w:rsid w:val="00305D01"/>
    <w:rsid w:val="00306E66"/>
    <w:rsid w:val="00310B8A"/>
    <w:rsid w:val="003131A9"/>
    <w:rsid w:val="00313EB3"/>
    <w:rsid w:val="00315D46"/>
    <w:rsid w:val="003224F0"/>
    <w:rsid w:val="00325D29"/>
    <w:rsid w:val="003307DF"/>
    <w:rsid w:val="00341F07"/>
    <w:rsid w:val="003444BC"/>
    <w:rsid w:val="00346FAB"/>
    <w:rsid w:val="00347C8D"/>
    <w:rsid w:val="00352503"/>
    <w:rsid w:val="0035479C"/>
    <w:rsid w:val="00373994"/>
    <w:rsid w:val="00377ACB"/>
    <w:rsid w:val="003837AB"/>
    <w:rsid w:val="00383AF0"/>
    <w:rsid w:val="00384AEC"/>
    <w:rsid w:val="00387452"/>
    <w:rsid w:val="0039227F"/>
    <w:rsid w:val="003A3AEC"/>
    <w:rsid w:val="003B780F"/>
    <w:rsid w:val="003C143E"/>
    <w:rsid w:val="003C5840"/>
    <w:rsid w:val="003C780B"/>
    <w:rsid w:val="003D1426"/>
    <w:rsid w:val="003D2569"/>
    <w:rsid w:val="003D2DA1"/>
    <w:rsid w:val="003E12D6"/>
    <w:rsid w:val="003E3025"/>
    <w:rsid w:val="003E48D0"/>
    <w:rsid w:val="003E4BBE"/>
    <w:rsid w:val="003F47FC"/>
    <w:rsid w:val="003F5DBB"/>
    <w:rsid w:val="003F6F70"/>
    <w:rsid w:val="003F7BFD"/>
    <w:rsid w:val="00401A35"/>
    <w:rsid w:val="00403B86"/>
    <w:rsid w:val="00404180"/>
    <w:rsid w:val="004041DC"/>
    <w:rsid w:val="00425198"/>
    <w:rsid w:val="0043039D"/>
    <w:rsid w:val="004329D8"/>
    <w:rsid w:val="00436B05"/>
    <w:rsid w:val="0044150F"/>
    <w:rsid w:val="00441944"/>
    <w:rsid w:val="0045062E"/>
    <w:rsid w:val="004525D8"/>
    <w:rsid w:val="00456AC1"/>
    <w:rsid w:val="0046107D"/>
    <w:rsid w:val="00463635"/>
    <w:rsid w:val="00463EF3"/>
    <w:rsid w:val="0046599C"/>
    <w:rsid w:val="00470602"/>
    <w:rsid w:val="004733C8"/>
    <w:rsid w:val="00476666"/>
    <w:rsid w:val="004767C7"/>
    <w:rsid w:val="00477866"/>
    <w:rsid w:val="0048101E"/>
    <w:rsid w:val="00481D1E"/>
    <w:rsid w:val="00483B2A"/>
    <w:rsid w:val="00491F8D"/>
    <w:rsid w:val="00495AB4"/>
    <w:rsid w:val="00497C49"/>
    <w:rsid w:val="004A0631"/>
    <w:rsid w:val="004A4AEF"/>
    <w:rsid w:val="004B7705"/>
    <w:rsid w:val="004C6B9F"/>
    <w:rsid w:val="004D0EAC"/>
    <w:rsid w:val="004D3B79"/>
    <w:rsid w:val="004E1EAF"/>
    <w:rsid w:val="004F2C4B"/>
    <w:rsid w:val="004F5870"/>
    <w:rsid w:val="0050192E"/>
    <w:rsid w:val="00504F2F"/>
    <w:rsid w:val="0050545C"/>
    <w:rsid w:val="005079C0"/>
    <w:rsid w:val="00510450"/>
    <w:rsid w:val="005120DC"/>
    <w:rsid w:val="005147B4"/>
    <w:rsid w:val="00515B41"/>
    <w:rsid w:val="005238CE"/>
    <w:rsid w:val="0052418C"/>
    <w:rsid w:val="0052498B"/>
    <w:rsid w:val="00526B8C"/>
    <w:rsid w:val="00533B12"/>
    <w:rsid w:val="00535256"/>
    <w:rsid w:val="005364DD"/>
    <w:rsid w:val="0054046E"/>
    <w:rsid w:val="00541C95"/>
    <w:rsid w:val="005465AE"/>
    <w:rsid w:val="00547372"/>
    <w:rsid w:val="0055134B"/>
    <w:rsid w:val="00552221"/>
    <w:rsid w:val="00552B37"/>
    <w:rsid w:val="005560E6"/>
    <w:rsid w:val="0055713A"/>
    <w:rsid w:val="00576737"/>
    <w:rsid w:val="00577738"/>
    <w:rsid w:val="00580F0D"/>
    <w:rsid w:val="005825E8"/>
    <w:rsid w:val="00592C3E"/>
    <w:rsid w:val="00592F85"/>
    <w:rsid w:val="005938A5"/>
    <w:rsid w:val="005A000C"/>
    <w:rsid w:val="005A0576"/>
    <w:rsid w:val="005A3F49"/>
    <w:rsid w:val="005A404A"/>
    <w:rsid w:val="005A4B83"/>
    <w:rsid w:val="005B0561"/>
    <w:rsid w:val="005B5751"/>
    <w:rsid w:val="005B5F16"/>
    <w:rsid w:val="005E03E9"/>
    <w:rsid w:val="005E18F1"/>
    <w:rsid w:val="005F4140"/>
    <w:rsid w:val="005F4CAA"/>
    <w:rsid w:val="005F6755"/>
    <w:rsid w:val="00601369"/>
    <w:rsid w:val="006016DB"/>
    <w:rsid w:val="00603280"/>
    <w:rsid w:val="00603B81"/>
    <w:rsid w:val="00604EFD"/>
    <w:rsid w:val="00611D5E"/>
    <w:rsid w:val="0061503F"/>
    <w:rsid w:val="00615EFD"/>
    <w:rsid w:val="00622F4F"/>
    <w:rsid w:val="0063325A"/>
    <w:rsid w:val="00640158"/>
    <w:rsid w:val="00640B5B"/>
    <w:rsid w:val="00647753"/>
    <w:rsid w:val="0065306C"/>
    <w:rsid w:val="00655D62"/>
    <w:rsid w:val="00657300"/>
    <w:rsid w:val="006656E7"/>
    <w:rsid w:val="00672C44"/>
    <w:rsid w:val="0067634A"/>
    <w:rsid w:val="00681BE3"/>
    <w:rsid w:val="00682C6C"/>
    <w:rsid w:val="00684C8B"/>
    <w:rsid w:val="00686B63"/>
    <w:rsid w:val="00687FDB"/>
    <w:rsid w:val="006A63A7"/>
    <w:rsid w:val="006B2354"/>
    <w:rsid w:val="006B3824"/>
    <w:rsid w:val="006B4312"/>
    <w:rsid w:val="006B6C28"/>
    <w:rsid w:val="006C25D6"/>
    <w:rsid w:val="006C466E"/>
    <w:rsid w:val="006C56F8"/>
    <w:rsid w:val="006C6097"/>
    <w:rsid w:val="006D79D6"/>
    <w:rsid w:val="006D7AF0"/>
    <w:rsid w:val="006E0BB1"/>
    <w:rsid w:val="006E3183"/>
    <w:rsid w:val="006F2745"/>
    <w:rsid w:val="006F5C8B"/>
    <w:rsid w:val="00700D77"/>
    <w:rsid w:val="00701ADE"/>
    <w:rsid w:val="0070301C"/>
    <w:rsid w:val="007059BD"/>
    <w:rsid w:val="00713BE9"/>
    <w:rsid w:val="007202DE"/>
    <w:rsid w:val="00720323"/>
    <w:rsid w:val="00721E1F"/>
    <w:rsid w:val="007220C0"/>
    <w:rsid w:val="00722BAF"/>
    <w:rsid w:val="007246D7"/>
    <w:rsid w:val="00727646"/>
    <w:rsid w:val="00735ACD"/>
    <w:rsid w:val="00736524"/>
    <w:rsid w:val="007370BE"/>
    <w:rsid w:val="0073785C"/>
    <w:rsid w:val="00741FF1"/>
    <w:rsid w:val="00744F8B"/>
    <w:rsid w:val="0076451F"/>
    <w:rsid w:val="00771A08"/>
    <w:rsid w:val="00775529"/>
    <w:rsid w:val="00777797"/>
    <w:rsid w:val="00777F09"/>
    <w:rsid w:val="00784EC6"/>
    <w:rsid w:val="00791093"/>
    <w:rsid w:val="00791FA4"/>
    <w:rsid w:val="007A6000"/>
    <w:rsid w:val="007A6208"/>
    <w:rsid w:val="007A6A53"/>
    <w:rsid w:val="007B2B80"/>
    <w:rsid w:val="007B2DBD"/>
    <w:rsid w:val="007B4F5B"/>
    <w:rsid w:val="007B712F"/>
    <w:rsid w:val="007C293D"/>
    <w:rsid w:val="007C4733"/>
    <w:rsid w:val="007C5C76"/>
    <w:rsid w:val="007C741A"/>
    <w:rsid w:val="007C7846"/>
    <w:rsid w:val="007D48AA"/>
    <w:rsid w:val="007D5AB1"/>
    <w:rsid w:val="007D61D0"/>
    <w:rsid w:val="007F1C80"/>
    <w:rsid w:val="00804E24"/>
    <w:rsid w:val="008058C0"/>
    <w:rsid w:val="00805A00"/>
    <w:rsid w:val="00806BBE"/>
    <w:rsid w:val="008157E7"/>
    <w:rsid w:val="008167F4"/>
    <w:rsid w:val="0082155C"/>
    <w:rsid w:val="00822F9C"/>
    <w:rsid w:val="00827A32"/>
    <w:rsid w:val="008370C0"/>
    <w:rsid w:val="00840180"/>
    <w:rsid w:val="0084093E"/>
    <w:rsid w:val="00842E40"/>
    <w:rsid w:val="0084640A"/>
    <w:rsid w:val="00846D0D"/>
    <w:rsid w:val="00850E79"/>
    <w:rsid w:val="00851ED2"/>
    <w:rsid w:val="00854015"/>
    <w:rsid w:val="00856C89"/>
    <w:rsid w:val="00870456"/>
    <w:rsid w:val="0087130F"/>
    <w:rsid w:val="008713BC"/>
    <w:rsid w:val="008768FF"/>
    <w:rsid w:val="00883E96"/>
    <w:rsid w:val="008872BB"/>
    <w:rsid w:val="00890034"/>
    <w:rsid w:val="008A5CF5"/>
    <w:rsid w:val="008B7ABD"/>
    <w:rsid w:val="008B7B5B"/>
    <w:rsid w:val="008C013A"/>
    <w:rsid w:val="008C5BE1"/>
    <w:rsid w:val="008D6222"/>
    <w:rsid w:val="008E76DE"/>
    <w:rsid w:val="008F2867"/>
    <w:rsid w:val="008F28A4"/>
    <w:rsid w:val="008F30FB"/>
    <w:rsid w:val="008F37C4"/>
    <w:rsid w:val="008F4F0A"/>
    <w:rsid w:val="008F6B37"/>
    <w:rsid w:val="0090450F"/>
    <w:rsid w:val="0090535C"/>
    <w:rsid w:val="00912F0C"/>
    <w:rsid w:val="00915934"/>
    <w:rsid w:val="009161D7"/>
    <w:rsid w:val="009303D0"/>
    <w:rsid w:val="0093635F"/>
    <w:rsid w:val="00941E73"/>
    <w:rsid w:val="009451C9"/>
    <w:rsid w:val="00947DF1"/>
    <w:rsid w:val="00953234"/>
    <w:rsid w:val="00956936"/>
    <w:rsid w:val="0095751E"/>
    <w:rsid w:val="00964BAF"/>
    <w:rsid w:val="00964D77"/>
    <w:rsid w:val="00964F9C"/>
    <w:rsid w:val="0096561A"/>
    <w:rsid w:val="00967FE0"/>
    <w:rsid w:val="00972743"/>
    <w:rsid w:val="00972BEC"/>
    <w:rsid w:val="0098137D"/>
    <w:rsid w:val="0098385B"/>
    <w:rsid w:val="009866B0"/>
    <w:rsid w:val="009915AC"/>
    <w:rsid w:val="009933B3"/>
    <w:rsid w:val="009A7E5E"/>
    <w:rsid w:val="009B0456"/>
    <w:rsid w:val="009B1A06"/>
    <w:rsid w:val="009B5C6E"/>
    <w:rsid w:val="009C2D17"/>
    <w:rsid w:val="009C51BD"/>
    <w:rsid w:val="009C65E5"/>
    <w:rsid w:val="009D090D"/>
    <w:rsid w:val="009D14F6"/>
    <w:rsid w:val="009D291C"/>
    <w:rsid w:val="009D3939"/>
    <w:rsid w:val="009D4879"/>
    <w:rsid w:val="009E05A6"/>
    <w:rsid w:val="009E07AA"/>
    <w:rsid w:val="009E0B3E"/>
    <w:rsid w:val="009E417B"/>
    <w:rsid w:val="009E523F"/>
    <w:rsid w:val="009F13D3"/>
    <w:rsid w:val="009F1BB3"/>
    <w:rsid w:val="009F3DB5"/>
    <w:rsid w:val="009F45F4"/>
    <w:rsid w:val="009F538C"/>
    <w:rsid w:val="00A04196"/>
    <w:rsid w:val="00A11E37"/>
    <w:rsid w:val="00A275F1"/>
    <w:rsid w:val="00A3170D"/>
    <w:rsid w:val="00A410D4"/>
    <w:rsid w:val="00A50E84"/>
    <w:rsid w:val="00A52198"/>
    <w:rsid w:val="00A56D97"/>
    <w:rsid w:val="00A6240E"/>
    <w:rsid w:val="00A673AD"/>
    <w:rsid w:val="00A72907"/>
    <w:rsid w:val="00A75DEC"/>
    <w:rsid w:val="00A907E0"/>
    <w:rsid w:val="00A92C45"/>
    <w:rsid w:val="00A96989"/>
    <w:rsid w:val="00AA1649"/>
    <w:rsid w:val="00AA165E"/>
    <w:rsid w:val="00AA2E0C"/>
    <w:rsid w:val="00AA689E"/>
    <w:rsid w:val="00AC1668"/>
    <w:rsid w:val="00AD0BF4"/>
    <w:rsid w:val="00AD4274"/>
    <w:rsid w:val="00AD74F8"/>
    <w:rsid w:val="00AE0A18"/>
    <w:rsid w:val="00AE1912"/>
    <w:rsid w:val="00AE5793"/>
    <w:rsid w:val="00AE736D"/>
    <w:rsid w:val="00AE75F4"/>
    <w:rsid w:val="00AF33A1"/>
    <w:rsid w:val="00AF390B"/>
    <w:rsid w:val="00AF5A2A"/>
    <w:rsid w:val="00AF7432"/>
    <w:rsid w:val="00B0063D"/>
    <w:rsid w:val="00B024B0"/>
    <w:rsid w:val="00B0453D"/>
    <w:rsid w:val="00B05901"/>
    <w:rsid w:val="00B06156"/>
    <w:rsid w:val="00B078DA"/>
    <w:rsid w:val="00B12559"/>
    <w:rsid w:val="00B20FC6"/>
    <w:rsid w:val="00B210F3"/>
    <w:rsid w:val="00B21268"/>
    <w:rsid w:val="00B25AC7"/>
    <w:rsid w:val="00B2758B"/>
    <w:rsid w:val="00B31078"/>
    <w:rsid w:val="00B3222D"/>
    <w:rsid w:val="00B35D81"/>
    <w:rsid w:val="00B37753"/>
    <w:rsid w:val="00B46F78"/>
    <w:rsid w:val="00B47DE3"/>
    <w:rsid w:val="00B50DC8"/>
    <w:rsid w:val="00B5145A"/>
    <w:rsid w:val="00B54B8D"/>
    <w:rsid w:val="00B614C8"/>
    <w:rsid w:val="00B64674"/>
    <w:rsid w:val="00B768B0"/>
    <w:rsid w:val="00B77EA7"/>
    <w:rsid w:val="00B819B7"/>
    <w:rsid w:val="00B81A4B"/>
    <w:rsid w:val="00B833C0"/>
    <w:rsid w:val="00B85E2B"/>
    <w:rsid w:val="00B86D5B"/>
    <w:rsid w:val="00B877C1"/>
    <w:rsid w:val="00B93D95"/>
    <w:rsid w:val="00B964C6"/>
    <w:rsid w:val="00BB4F5C"/>
    <w:rsid w:val="00BB6C15"/>
    <w:rsid w:val="00BC03F0"/>
    <w:rsid w:val="00BC167E"/>
    <w:rsid w:val="00BC4050"/>
    <w:rsid w:val="00BC4647"/>
    <w:rsid w:val="00BC4A02"/>
    <w:rsid w:val="00BC7345"/>
    <w:rsid w:val="00BD3449"/>
    <w:rsid w:val="00BE124F"/>
    <w:rsid w:val="00BE7298"/>
    <w:rsid w:val="00BF49DF"/>
    <w:rsid w:val="00BF5919"/>
    <w:rsid w:val="00C022E7"/>
    <w:rsid w:val="00C023A5"/>
    <w:rsid w:val="00C0373E"/>
    <w:rsid w:val="00C05263"/>
    <w:rsid w:val="00C059EF"/>
    <w:rsid w:val="00C065C9"/>
    <w:rsid w:val="00C07CA1"/>
    <w:rsid w:val="00C1573C"/>
    <w:rsid w:val="00C17CB2"/>
    <w:rsid w:val="00C201E6"/>
    <w:rsid w:val="00C24E6D"/>
    <w:rsid w:val="00C25C48"/>
    <w:rsid w:val="00C275B6"/>
    <w:rsid w:val="00C3060F"/>
    <w:rsid w:val="00C31634"/>
    <w:rsid w:val="00C34FFA"/>
    <w:rsid w:val="00C37048"/>
    <w:rsid w:val="00C42A3A"/>
    <w:rsid w:val="00C42F00"/>
    <w:rsid w:val="00C512A8"/>
    <w:rsid w:val="00C54C23"/>
    <w:rsid w:val="00C601E8"/>
    <w:rsid w:val="00C616D6"/>
    <w:rsid w:val="00C64FA4"/>
    <w:rsid w:val="00C72BF3"/>
    <w:rsid w:val="00C73D9C"/>
    <w:rsid w:val="00C80950"/>
    <w:rsid w:val="00C823B2"/>
    <w:rsid w:val="00C87544"/>
    <w:rsid w:val="00C95E2F"/>
    <w:rsid w:val="00C969C7"/>
    <w:rsid w:val="00CA1BE0"/>
    <w:rsid w:val="00CA52DE"/>
    <w:rsid w:val="00CB02C9"/>
    <w:rsid w:val="00CB62BD"/>
    <w:rsid w:val="00CC340F"/>
    <w:rsid w:val="00CC4402"/>
    <w:rsid w:val="00CC5FED"/>
    <w:rsid w:val="00CC70AE"/>
    <w:rsid w:val="00CD1D21"/>
    <w:rsid w:val="00CD7317"/>
    <w:rsid w:val="00CD7571"/>
    <w:rsid w:val="00CE0BB2"/>
    <w:rsid w:val="00CE6D1D"/>
    <w:rsid w:val="00CE7F82"/>
    <w:rsid w:val="00CF58EB"/>
    <w:rsid w:val="00CF598A"/>
    <w:rsid w:val="00CF5B8D"/>
    <w:rsid w:val="00D001DA"/>
    <w:rsid w:val="00D008A5"/>
    <w:rsid w:val="00D016FB"/>
    <w:rsid w:val="00D07CEE"/>
    <w:rsid w:val="00D108A5"/>
    <w:rsid w:val="00D1163C"/>
    <w:rsid w:val="00D14BF4"/>
    <w:rsid w:val="00D15080"/>
    <w:rsid w:val="00D210CE"/>
    <w:rsid w:val="00D27733"/>
    <w:rsid w:val="00D27FFC"/>
    <w:rsid w:val="00D30D46"/>
    <w:rsid w:val="00D31E5C"/>
    <w:rsid w:val="00D32535"/>
    <w:rsid w:val="00D4404C"/>
    <w:rsid w:val="00D45ADE"/>
    <w:rsid w:val="00D51DD3"/>
    <w:rsid w:val="00D5222C"/>
    <w:rsid w:val="00D525C5"/>
    <w:rsid w:val="00D5663D"/>
    <w:rsid w:val="00D56668"/>
    <w:rsid w:val="00D5716B"/>
    <w:rsid w:val="00D62D55"/>
    <w:rsid w:val="00D660C0"/>
    <w:rsid w:val="00D7313C"/>
    <w:rsid w:val="00D74B60"/>
    <w:rsid w:val="00D769E2"/>
    <w:rsid w:val="00D9188D"/>
    <w:rsid w:val="00D944C8"/>
    <w:rsid w:val="00DA2F0A"/>
    <w:rsid w:val="00DA596C"/>
    <w:rsid w:val="00DB1F83"/>
    <w:rsid w:val="00DC1C1E"/>
    <w:rsid w:val="00DC3560"/>
    <w:rsid w:val="00DC6BA4"/>
    <w:rsid w:val="00DD6A3E"/>
    <w:rsid w:val="00DD6D10"/>
    <w:rsid w:val="00DD6EC3"/>
    <w:rsid w:val="00DE1820"/>
    <w:rsid w:val="00DE3353"/>
    <w:rsid w:val="00DE43F2"/>
    <w:rsid w:val="00DF03C2"/>
    <w:rsid w:val="00DF3463"/>
    <w:rsid w:val="00DF5F9D"/>
    <w:rsid w:val="00DF6821"/>
    <w:rsid w:val="00DF79FB"/>
    <w:rsid w:val="00E00037"/>
    <w:rsid w:val="00E0224C"/>
    <w:rsid w:val="00E03FCE"/>
    <w:rsid w:val="00E05E1C"/>
    <w:rsid w:val="00E06E6F"/>
    <w:rsid w:val="00E12794"/>
    <w:rsid w:val="00E15B05"/>
    <w:rsid w:val="00E17AF1"/>
    <w:rsid w:val="00E3152A"/>
    <w:rsid w:val="00E3244D"/>
    <w:rsid w:val="00E340E2"/>
    <w:rsid w:val="00E476B4"/>
    <w:rsid w:val="00E50B44"/>
    <w:rsid w:val="00E53E5A"/>
    <w:rsid w:val="00E55A8B"/>
    <w:rsid w:val="00E56EAC"/>
    <w:rsid w:val="00E665B1"/>
    <w:rsid w:val="00E67A54"/>
    <w:rsid w:val="00E77256"/>
    <w:rsid w:val="00E80FBD"/>
    <w:rsid w:val="00E83BCE"/>
    <w:rsid w:val="00E92C41"/>
    <w:rsid w:val="00E92C6E"/>
    <w:rsid w:val="00E92C9F"/>
    <w:rsid w:val="00E9384C"/>
    <w:rsid w:val="00EA0BFD"/>
    <w:rsid w:val="00EA1BD8"/>
    <w:rsid w:val="00EA3FDE"/>
    <w:rsid w:val="00EB5160"/>
    <w:rsid w:val="00EB5D6D"/>
    <w:rsid w:val="00EB661E"/>
    <w:rsid w:val="00EC2B62"/>
    <w:rsid w:val="00EC2F76"/>
    <w:rsid w:val="00EC4476"/>
    <w:rsid w:val="00ED08FF"/>
    <w:rsid w:val="00ED22A3"/>
    <w:rsid w:val="00ED56A4"/>
    <w:rsid w:val="00EE315C"/>
    <w:rsid w:val="00EE4852"/>
    <w:rsid w:val="00EE755D"/>
    <w:rsid w:val="00EF0573"/>
    <w:rsid w:val="00EF0E47"/>
    <w:rsid w:val="00EF1FE2"/>
    <w:rsid w:val="00EF704F"/>
    <w:rsid w:val="00EF7AED"/>
    <w:rsid w:val="00F00100"/>
    <w:rsid w:val="00F00D89"/>
    <w:rsid w:val="00F06620"/>
    <w:rsid w:val="00F07FE2"/>
    <w:rsid w:val="00F146DF"/>
    <w:rsid w:val="00F17AB7"/>
    <w:rsid w:val="00F31848"/>
    <w:rsid w:val="00F33A97"/>
    <w:rsid w:val="00F348BE"/>
    <w:rsid w:val="00F3548B"/>
    <w:rsid w:val="00F364D1"/>
    <w:rsid w:val="00F50D5E"/>
    <w:rsid w:val="00F514BB"/>
    <w:rsid w:val="00F523A6"/>
    <w:rsid w:val="00F535C3"/>
    <w:rsid w:val="00F56CF5"/>
    <w:rsid w:val="00F663C3"/>
    <w:rsid w:val="00F66803"/>
    <w:rsid w:val="00F675DA"/>
    <w:rsid w:val="00F761A1"/>
    <w:rsid w:val="00F824D3"/>
    <w:rsid w:val="00F8495F"/>
    <w:rsid w:val="00F869B8"/>
    <w:rsid w:val="00F95DC1"/>
    <w:rsid w:val="00F96F84"/>
    <w:rsid w:val="00FA4453"/>
    <w:rsid w:val="00FB20FE"/>
    <w:rsid w:val="00FB2FD6"/>
    <w:rsid w:val="00FB34A7"/>
    <w:rsid w:val="00FC307D"/>
    <w:rsid w:val="00FD1AC8"/>
    <w:rsid w:val="00FD706D"/>
    <w:rsid w:val="00FD7BA7"/>
    <w:rsid w:val="00FE0CF8"/>
    <w:rsid w:val="00FE2F30"/>
    <w:rsid w:val="00FE39BD"/>
    <w:rsid w:val="00FE502B"/>
    <w:rsid w:val="00FF478A"/>
    <w:rsid w:val="029E00FC"/>
    <w:rsid w:val="02F0687C"/>
    <w:rsid w:val="02F14FBC"/>
    <w:rsid w:val="03B2469C"/>
    <w:rsid w:val="042A0CA0"/>
    <w:rsid w:val="04785EAF"/>
    <w:rsid w:val="04793419"/>
    <w:rsid w:val="04E96525"/>
    <w:rsid w:val="050B51ED"/>
    <w:rsid w:val="06742525"/>
    <w:rsid w:val="06D62676"/>
    <w:rsid w:val="078B5222"/>
    <w:rsid w:val="07DA0B42"/>
    <w:rsid w:val="07DF2382"/>
    <w:rsid w:val="08B50556"/>
    <w:rsid w:val="09923F2A"/>
    <w:rsid w:val="099F58A6"/>
    <w:rsid w:val="0A2234D4"/>
    <w:rsid w:val="0A31650A"/>
    <w:rsid w:val="0A623A94"/>
    <w:rsid w:val="0B8D747A"/>
    <w:rsid w:val="0BCC774B"/>
    <w:rsid w:val="0C230DF6"/>
    <w:rsid w:val="0C2374C2"/>
    <w:rsid w:val="0C2800DB"/>
    <w:rsid w:val="0C3D5A58"/>
    <w:rsid w:val="0E9500E6"/>
    <w:rsid w:val="0F3D4553"/>
    <w:rsid w:val="10FF0186"/>
    <w:rsid w:val="11CC15E8"/>
    <w:rsid w:val="13117193"/>
    <w:rsid w:val="1356689A"/>
    <w:rsid w:val="15026B67"/>
    <w:rsid w:val="151659C8"/>
    <w:rsid w:val="15C11E76"/>
    <w:rsid w:val="162931FE"/>
    <w:rsid w:val="17D96A05"/>
    <w:rsid w:val="19D96B89"/>
    <w:rsid w:val="19F73D5C"/>
    <w:rsid w:val="1ABE6EC5"/>
    <w:rsid w:val="1B9D071E"/>
    <w:rsid w:val="1BA84FDC"/>
    <w:rsid w:val="1BD03052"/>
    <w:rsid w:val="1BE726CF"/>
    <w:rsid w:val="1C501814"/>
    <w:rsid w:val="1CC478C9"/>
    <w:rsid w:val="1D6B4655"/>
    <w:rsid w:val="1D997ECC"/>
    <w:rsid w:val="1DCA0339"/>
    <w:rsid w:val="1E5B37F0"/>
    <w:rsid w:val="1E857F71"/>
    <w:rsid w:val="1EA43964"/>
    <w:rsid w:val="1F0B38B9"/>
    <w:rsid w:val="1F5D7A3B"/>
    <w:rsid w:val="1F647304"/>
    <w:rsid w:val="1F6822E4"/>
    <w:rsid w:val="200E7190"/>
    <w:rsid w:val="21BB518A"/>
    <w:rsid w:val="22312721"/>
    <w:rsid w:val="22700620"/>
    <w:rsid w:val="22D00436"/>
    <w:rsid w:val="23E07FFD"/>
    <w:rsid w:val="241035B6"/>
    <w:rsid w:val="24144B7C"/>
    <w:rsid w:val="24361832"/>
    <w:rsid w:val="248C7065"/>
    <w:rsid w:val="24F7674C"/>
    <w:rsid w:val="25733851"/>
    <w:rsid w:val="25B6299A"/>
    <w:rsid w:val="25E453BE"/>
    <w:rsid w:val="2613129A"/>
    <w:rsid w:val="2760140F"/>
    <w:rsid w:val="2A110261"/>
    <w:rsid w:val="2A986410"/>
    <w:rsid w:val="2B0634D9"/>
    <w:rsid w:val="2BF75ED5"/>
    <w:rsid w:val="2BFA46E3"/>
    <w:rsid w:val="2E167A29"/>
    <w:rsid w:val="2E6E5EBA"/>
    <w:rsid w:val="2F41228A"/>
    <w:rsid w:val="2F673CF2"/>
    <w:rsid w:val="30350239"/>
    <w:rsid w:val="306A1A2D"/>
    <w:rsid w:val="313B156A"/>
    <w:rsid w:val="31C102B1"/>
    <w:rsid w:val="32210257"/>
    <w:rsid w:val="34042771"/>
    <w:rsid w:val="34155C2D"/>
    <w:rsid w:val="346A5CF0"/>
    <w:rsid w:val="349B3E66"/>
    <w:rsid w:val="34F365E5"/>
    <w:rsid w:val="359702F7"/>
    <w:rsid w:val="35D6274C"/>
    <w:rsid w:val="35E44BE1"/>
    <w:rsid w:val="366B2408"/>
    <w:rsid w:val="368C0A48"/>
    <w:rsid w:val="36A55CFB"/>
    <w:rsid w:val="36EF544F"/>
    <w:rsid w:val="37B06CE3"/>
    <w:rsid w:val="37F91FA8"/>
    <w:rsid w:val="3A5F3324"/>
    <w:rsid w:val="3AA31506"/>
    <w:rsid w:val="3B0A3745"/>
    <w:rsid w:val="3B27392F"/>
    <w:rsid w:val="3C0C6B87"/>
    <w:rsid w:val="3C0D3179"/>
    <w:rsid w:val="3C5000BD"/>
    <w:rsid w:val="3DD50947"/>
    <w:rsid w:val="3EB407D8"/>
    <w:rsid w:val="3EBF7F62"/>
    <w:rsid w:val="3EFB607D"/>
    <w:rsid w:val="401806FD"/>
    <w:rsid w:val="40AE2A0E"/>
    <w:rsid w:val="441F0061"/>
    <w:rsid w:val="44906A00"/>
    <w:rsid w:val="44B21CE6"/>
    <w:rsid w:val="44FD4A00"/>
    <w:rsid w:val="452A6797"/>
    <w:rsid w:val="45E6452E"/>
    <w:rsid w:val="461D5C00"/>
    <w:rsid w:val="466F50E6"/>
    <w:rsid w:val="48DF402C"/>
    <w:rsid w:val="49AF4D54"/>
    <w:rsid w:val="49B0521A"/>
    <w:rsid w:val="4D246373"/>
    <w:rsid w:val="4D83229D"/>
    <w:rsid w:val="4D8324CA"/>
    <w:rsid w:val="4E5A1A7E"/>
    <w:rsid w:val="4E8567CB"/>
    <w:rsid w:val="4EC76F1B"/>
    <w:rsid w:val="500A5F00"/>
    <w:rsid w:val="51D72AFD"/>
    <w:rsid w:val="51D86411"/>
    <w:rsid w:val="52233A5B"/>
    <w:rsid w:val="554D70A2"/>
    <w:rsid w:val="56A41172"/>
    <w:rsid w:val="56A84E2A"/>
    <w:rsid w:val="58871702"/>
    <w:rsid w:val="58B33F35"/>
    <w:rsid w:val="58DE132A"/>
    <w:rsid w:val="59362F17"/>
    <w:rsid w:val="59834AC9"/>
    <w:rsid w:val="5AD325D0"/>
    <w:rsid w:val="5AF055CD"/>
    <w:rsid w:val="5B4A2162"/>
    <w:rsid w:val="5D027239"/>
    <w:rsid w:val="5D281115"/>
    <w:rsid w:val="5D4A130C"/>
    <w:rsid w:val="5D4B6E32"/>
    <w:rsid w:val="5DDF7B22"/>
    <w:rsid w:val="5F511756"/>
    <w:rsid w:val="5FA33B39"/>
    <w:rsid w:val="607A3FCC"/>
    <w:rsid w:val="60B033A3"/>
    <w:rsid w:val="6274486A"/>
    <w:rsid w:val="63375412"/>
    <w:rsid w:val="636E292F"/>
    <w:rsid w:val="63F7386F"/>
    <w:rsid w:val="64EF3B8F"/>
    <w:rsid w:val="650A1380"/>
    <w:rsid w:val="657C2DDE"/>
    <w:rsid w:val="659078BD"/>
    <w:rsid w:val="65C069C3"/>
    <w:rsid w:val="65CB5AD5"/>
    <w:rsid w:val="67A557D8"/>
    <w:rsid w:val="67C017B0"/>
    <w:rsid w:val="68E855F1"/>
    <w:rsid w:val="697119CE"/>
    <w:rsid w:val="6A067156"/>
    <w:rsid w:val="6A5B734B"/>
    <w:rsid w:val="6B53042A"/>
    <w:rsid w:val="6C4F6842"/>
    <w:rsid w:val="6CAB1D34"/>
    <w:rsid w:val="6E313F73"/>
    <w:rsid w:val="6E87341B"/>
    <w:rsid w:val="6EFA740C"/>
    <w:rsid w:val="6F1921A3"/>
    <w:rsid w:val="6F40247A"/>
    <w:rsid w:val="6FC15FB8"/>
    <w:rsid w:val="71563B04"/>
    <w:rsid w:val="73807E37"/>
    <w:rsid w:val="74813462"/>
    <w:rsid w:val="74E94603"/>
    <w:rsid w:val="751809A1"/>
    <w:rsid w:val="766758F0"/>
    <w:rsid w:val="76863A58"/>
    <w:rsid w:val="77E3782D"/>
    <w:rsid w:val="7869166A"/>
    <w:rsid w:val="78992B1D"/>
    <w:rsid w:val="7A745908"/>
    <w:rsid w:val="7AA95F54"/>
    <w:rsid w:val="7B206CDA"/>
    <w:rsid w:val="7B6C55D5"/>
    <w:rsid w:val="7B7F5DFF"/>
    <w:rsid w:val="7BC43B2B"/>
    <w:rsid w:val="7C883B46"/>
    <w:rsid w:val="7CCB2063"/>
    <w:rsid w:val="7CD7634B"/>
    <w:rsid w:val="7D1B20B5"/>
    <w:rsid w:val="7DFA2446"/>
    <w:rsid w:val="7FA355A5"/>
    <w:rsid w:val="7FCE382A"/>
    <w:rsid w:val="7FE023EF"/>
    <w:rsid w:val="F6854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unhideWhenUsed/>
    <w:qFormat/>
    <w:uiPriority w:val="99"/>
    <w:pPr>
      <w:jc w:val="left"/>
    </w:pPr>
  </w:style>
  <w:style w:type="paragraph" w:styleId="4">
    <w:name w:val="Balloon Text"/>
    <w:basedOn w:val="1"/>
    <w:link w:val="16"/>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8">
    <w:name w:val="annotation subject"/>
    <w:basedOn w:val="3"/>
    <w:next w:val="3"/>
    <w:link w:val="20"/>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nhideWhenUsed/>
    <w:qFormat/>
    <w:uiPriority w:val="99"/>
    <w:rPr>
      <w:color w:val="0000FF"/>
      <w:u w:val="single"/>
    </w:rPr>
  </w:style>
  <w:style w:type="character" w:styleId="13">
    <w:name w:val="annotation reference"/>
    <w:unhideWhenUsed/>
    <w:qFormat/>
    <w:uiPriority w:val="99"/>
    <w:rPr>
      <w:sz w:val="21"/>
      <w:szCs w:val="21"/>
    </w:rPr>
  </w:style>
  <w:style w:type="character" w:customStyle="1" w:styleId="14">
    <w:name w:val="标题 2 Char"/>
    <w:link w:val="2"/>
    <w:qFormat/>
    <w:uiPriority w:val="9"/>
    <w:rPr>
      <w:rFonts w:ascii="Cambria" w:hAnsi="Cambria" w:eastAsia="宋体" w:cs="Times New Roman"/>
      <w:b/>
      <w:bCs/>
      <w:sz w:val="32"/>
      <w:szCs w:val="32"/>
    </w:rPr>
  </w:style>
  <w:style w:type="character" w:customStyle="1" w:styleId="15">
    <w:name w:val="批注文字 Char"/>
    <w:link w:val="3"/>
    <w:semiHidden/>
    <w:qFormat/>
    <w:uiPriority w:val="99"/>
    <w:rPr>
      <w:rFonts w:ascii="Times New Roman" w:hAnsi="Times New Roman"/>
      <w:kern w:val="2"/>
      <w:sz w:val="21"/>
    </w:rPr>
  </w:style>
  <w:style w:type="character" w:customStyle="1" w:styleId="16">
    <w:name w:val="批注框文本 Char"/>
    <w:link w:val="4"/>
    <w:semiHidden/>
    <w:qFormat/>
    <w:uiPriority w:val="99"/>
    <w:rPr>
      <w:rFonts w:ascii="Times New Roman" w:hAnsi="Times New Roman"/>
      <w:kern w:val="2"/>
      <w:sz w:val="18"/>
      <w:szCs w:val="18"/>
    </w:rPr>
  </w:style>
  <w:style w:type="character" w:customStyle="1" w:styleId="17">
    <w:name w:val="页脚 Char"/>
    <w:link w:val="5"/>
    <w:qFormat/>
    <w:uiPriority w:val="99"/>
    <w:rPr>
      <w:sz w:val="18"/>
      <w:szCs w:val="18"/>
    </w:rPr>
  </w:style>
  <w:style w:type="character" w:customStyle="1" w:styleId="18">
    <w:name w:val="页眉 Char"/>
    <w:link w:val="6"/>
    <w:qFormat/>
    <w:uiPriority w:val="99"/>
    <w:rPr>
      <w:sz w:val="18"/>
      <w:szCs w:val="18"/>
    </w:rPr>
  </w:style>
  <w:style w:type="character" w:customStyle="1" w:styleId="19">
    <w:name w:val="HTML 预设格式 Char"/>
    <w:link w:val="7"/>
    <w:semiHidden/>
    <w:qFormat/>
    <w:uiPriority w:val="99"/>
    <w:rPr>
      <w:rFonts w:ascii="宋体" w:hAnsi="宋体" w:cs="宋体"/>
      <w:sz w:val="24"/>
      <w:szCs w:val="24"/>
    </w:rPr>
  </w:style>
  <w:style w:type="character" w:customStyle="1" w:styleId="20">
    <w:name w:val="批注主题 Char"/>
    <w:link w:val="8"/>
    <w:semiHidden/>
    <w:qFormat/>
    <w:uiPriority w:val="99"/>
    <w:rPr>
      <w:rFonts w:ascii="Times New Roman" w:hAnsi="Times New Roman"/>
      <w:b/>
      <w:bCs/>
      <w:kern w:val="2"/>
      <w:sz w:val="21"/>
    </w:rPr>
  </w:style>
  <w:style w:type="paragraph" w:customStyle="1" w:styleId="21">
    <w:name w:val="Table Paragraph"/>
    <w:basedOn w:val="1"/>
    <w:qFormat/>
    <w:uiPriority w:val="1"/>
    <w:pPr>
      <w:jc w:val="left"/>
    </w:pPr>
    <w:rPr>
      <w:rFonts w:ascii="Calibri" w:hAnsi="Calibri"/>
      <w:kern w:val="0"/>
      <w:sz w:val="22"/>
      <w:szCs w:val="22"/>
      <w:lang w:eastAsia="en-US"/>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_Style 22"/>
    <w:unhideWhenUsed/>
    <w:qFormat/>
    <w:uiPriority w:val="99"/>
    <w:rPr>
      <w:rFonts w:ascii="Times New Roman" w:hAnsi="Times New Roman" w:eastAsia="宋体" w:cs="Times New Roman"/>
      <w:kern w:val="2"/>
      <w:sz w:val="21"/>
      <w:lang w:val="en-US" w:eastAsia="zh-CN" w:bidi="ar-SA"/>
    </w:rPr>
  </w:style>
  <w:style w:type="paragraph" w:customStyle="1" w:styleId="24">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a7de118f-fa8d-4bb9-aad1-609bdaa1780d</errorID>
      <errorWord>公司</errorWord>
      <group>L1_Punc</group>
      <groupName>标点问题</groupName>
      <ability>L2_Punc_CN</ability>
      <abilityName>标点符号问题</abilityName>
      <candidateList>
        <item>，公司</item>
      </candidateList>
      <explain/>
      <paraID>63F92FFF</paraID>
      <start>75</start>
      <end>77</end>
      <status>unmodified</status>
      <modifiedWord/>
      <trackRevisions>false</trackRevisions>
    </reviewItem>
    <reviewItem>
      <errorID>2f4095c5-7743-433e-9dcc-d35777e11749</errorID>
      <errorWord>”地</errorWord>
      <group>L1_Word</group>
      <groupName>字词问题</groupName>
      <ability>L2_Typo</ability>
      <abilityName>字词错误</abilityName>
      <candidateList>
        <item>”</item>
      </candidateList>
      <explain/>
      <paraID>20F406AD</paraID>
      <start>161</start>
      <end>163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cfc20a77-71d5-4197-a1aa-1ff28e825fdf}">
  <ds:schemaRefs/>
</ds:datastoreItem>
</file>

<file path=customXml/itemProps2.xml><?xml version="1.0" encoding="utf-8"?>
<ds:datastoreItem xmlns:ds="http://schemas.openxmlformats.org/officeDocument/2006/customXml" ds:itemID="{F1C54FE4-4082-439E-AC9C-237803808159}">
  <ds:schemaRefs/>
</ds:datastoreItem>
</file>

<file path=docProps/app.xml><?xml version="1.0" encoding="utf-8"?>
<Properties xmlns="http://schemas.openxmlformats.org/officeDocument/2006/extended-properties" xmlns:vt="http://schemas.openxmlformats.org/officeDocument/2006/docPropsVTypes">
  <Template>Normal</Template>
  <Pages>6</Pages>
  <Words>3231</Words>
  <Characters>3308</Characters>
  <Lines>21</Lines>
  <Paragraphs>6</Paragraphs>
  <TotalTime>61</TotalTime>
  <ScaleCrop>false</ScaleCrop>
  <LinksUpToDate>false</LinksUpToDate>
  <CharactersWithSpaces>3393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2025-12-25T17:45:00Z</dcterms:created>
  <dc:creator>Administrator</dc:creator>
  <cp:lastModifiedBy>chenlong</cp:lastModifiedBy>
  <cp:lastPrinted>2022-11-14T17:48:00Z</cp:lastPrinted>
  <dcterms:modified xsi:type="dcterms:W3CDTF">2026-08-06T06:24:19Z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D50C35228D094B2EB9FF2C77960B4DD9_13</vt:lpwstr>
  </property>
  <property fmtid="{D5CDD505-2E9C-101B-9397-08002B2CF9AE}" pid="4" name="KSOTemplateDocerSaveRecord">
    <vt:lpwstr>eyJoZGlkIjoiZWY3MjNjM2IwZGM5OTAzNzRkMjM0YmYwMjJjM2MwMjUiLCJ1c2VySWQiOiI3NTY0NjExNjAifQ==</vt:lpwstr>
  </property>
</Properties>
</file>