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18FEF" w14:textId="77777777" w:rsidR="009A3FF6" w:rsidRPr="007324F3" w:rsidRDefault="009A3FF6" w:rsidP="009A3FF6">
      <w:pPr>
        <w:adjustRightInd w:val="0"/>
        <w:snapToGrid w:val="0"/>
        <w:spacing w:line="600" w:lineRule="exact"/>
        <w:rPr>
          <w:sz w:val="24"/>
        </w:rPr>
      </w:pPr>
      <w:r w:rsidRPr="007324F3">
        <w:rPr>
          <w:sz w:val="24"/>
        </w:rPr>
        <w:t>A</w:t>
      </w:r>
      <w:r w:rsidRPr="007324F3">
        <w:rPr>
          <w:sz w:val="24"/>
        </w:rPr>
        <w:t>股代码：</w:t>
      </w:r>
      <w:r w:rsidRPr="007324F3">
        <w:rPr>
          <w:sz w:val="24"/>
        </w:rPr>
        <w:t xml:space="preserve">688235 </w:t>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t>A</w:t>
      </w:r>
      <w:r w:rsidRPr="007324F3">
        <w:rPr>
          <w:sz w:val="24"/>
        </w:rPr>
        <w:t>股简称：百济神州</w:t>
      </w:r>
    </w:p>
    <w:p w14:paraId="618BAC0C" w14:textId="77777777" w:rsidR="009A3FF6" w:rsidRPr="007324F3" w:rsidRDefault="009A3FF6" w:rsidP="009A3FF6">
      <w:pPr>
        <w:adjustRightInd w:val="0"/>
        <w:snapToGrid w:val="0"/>
        <w:spacing w:line="600" w:lineRule="exact"/>
        <w:rPr>
          <w:sz w:val="24"/>
        </w:rPr>
      </w:pPr>
      <w:r w:rsidRPr="007324F3">
        <w:rPr>
          <w:sz w:val="24"/>
        </w:rPr>
        <w:t>港股代码：</w:t>
      </w:r>
      <w:r w:rsidRPr="007324F3">
        <w:rPr>
          <w:sz w:val="24"/>
        </w:rPr>
        <w:t xml:space="preserve">06160 </w:t>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ab/>
      </w:r>
      <w:r w:rsidRPr="007324F3">
        <w:rPr>
          <w:sz w:val="24"/>
        </w:rPr>
        <w:t>港股简称：百济神州</w:t>
      </w:r>
    </w:p>
    <w:p w14:paraId="46543BAD" w14:textId="77777777" w:rsidR="009A3FF6" w:rsidRPr="007324F3" w:rsidRDefault="009A3FF6" w:rsidP="009A3FF6">
      <w:pPr>
        <w:adjustRightInd w:val="0"/>
        <w:snapToGrid w:val="0"/>
        <w:spacing w:line="600" w:lineRule="exact"/>
        <w:rPr>
          <w:sz w:val="24"/>
        </w:rPr>
      </w:pPr>
      <w:r w:rsidRPr="007324F3">
        <w:rPr>
          <w:sz w:val="24"/>
        </w:rPr>
        <w:t>美股代码：</w:t>
      </w:r>
      <w:r>
        <w:rPr>
          <w:rFonts w:hint="eastAsia"/>
          <w:sz w:val="24"/>
        </w:rPr>
        <w:t>ONC</w:t>
      </w:r>
    </w:p>
    <w:p w14:paraId="2882243B" w14:textId="77777777" w:rsidR="009A3FF6" w:rsidRPr="007324F3" w:rsidRDefault="009A3FF6" w:rsidP="009A3FF6">
      <w:pPr>
        <w:adjustRightInd w:val="0"/>
        <w:snapToGrid w:val="0"/>
        <w:spacing w:beforeLines="50" w:before="156" w:line="600" w:lineRule="exact"/>
        <w:jc w:val="center"/>
        <w:rPr>
          <w:b/>
          <w:sz w:val="36"/>
          <w:szCs w:val="36"/>
        </w:rPr>
      </w:pPr>
      <w:r w:rsidRPr="007324F3">
        <w:rPr>
          <w:b/>
          <w:sz w:val="36"/>
          <w:szCs w:val="36"/>
        </w:rPr>
        <w:t>百济神州有限公司</w:t>
      </w:r>
    </w:p>
    <w:p w14:paraId="23B4B0BF" w14:textId="77777777" w:rsidR="009A3FF6" w:rsidRPr="007324F3" w:rsidRDefault="009A3FF6" w:rsidP="009A3FF6">
      <w:pPr>
        <w:adjustRightInd w:val="0"/>
        <w:snapToGrid w:val="0"/>
        <w:spacing w:line="500" w:lineRule="exact"/>
        <w:jc w:val="center"/>
        <w:rPr>
          <w:b/>
          <w:sz w:val="36"/>
          <w:szCs w:val="36"/>
        </w:rPr>
      </w:pPr>
      <w:r w:rsidRPr="007324F3">
        <w:rPr>
          <w:b/>
          <w:sz w:val="36"/>
          <w:szCs w:val="36"/>
        </w:rPr>
        <w:t>投资者关系活动记录表</w:t>
      </w:r>
    </w:p>
    <w:p w14:paraId="65ED4389" w14:textId="77777777" w:rsidR="009A3FF6" w:rsidRPr="007324F3" w:rsidRDefault="009A3FF6" w:rsidP="009A3FF6">
      <w:pPr>
        <w:adjustRightInd w:val="0"/>
        <w:snapToGrid w:val="0"/>
        <w:spacing w:line="500" w:lineRule="exact"/>
        <w:jc w:val="center"/>
        <w:rPr>
          <w:sz w:val="24"/>
          <w:szCs w:val="36"/>
        </w:rPr>
      </w:pPr>
      <w:r w:rsidRPr="00E73541">
        <w:rPr>
          <w:sz w:val="24"/>
          <w:szCs w:val="36"/>
        </w:rPr>
        <w:t>（</w:t>
      </w:r>
      <w:r w:rsidRPr="00E73541">
        <w:rPr>
          <w:sz w:val="24"/>
          <w:szCs w:val="36"/>
        </w:rPr>
        <w:t>202</w:t>
      </w:r>
      <w:r w:rsidRPr="00E73541">
        <w:rPr>
          <w:rFonts w:hint="eastAsia"/>
          <w:sz w:val="24"/>
          <w:szCs w:val="36"/>
        </w:rPr>
        <w:t>6</w:t>
      </w:r>
      <w:r w:rsidRPr="00E73541">
        <w:rPr>
          <w:sz w:val="24"/>
          <w:szCs w:val="36"/>
        </w:rPr>
        <w:t>年</w:t>
      </w:r>
      <w:r>
        <w:rPr>
          <w:rFonts w:hint="eastAsia"/>
          <w:sz w:val="24"/>
          <w:szCs w:val="36"/>
        </w:rPr>
        <w:t>8</w:t>
      </w:r>
      <w:r w:rsidRPr="00E73541">
        <w:rPr>
          <w:sz w:val="24"/>
          <w:szCs w:val="36"/>
        </w:rPr>
        <w:t>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7043"/>
      </w:tblGrid>
      <w:tr w:rsidR="009A3FF6" w:rsidRPr="007324F3" w14:paraId="6515F0D7" w14:textId="77777777" w:rsidTr="008429E6">
        <w:trPr>
          <w:jc w:val="center"/>
        </w:trPr>
        <w:tc>
          <w:tcPr>
            <w:tcW w:w="1526" w:type="dxa"/>
          </w:tcPr>
          <w:p w14:paraId="5A44C8CB" w14:textId="77777777" w:rsidR="009A3FF6" w:rsidRPr="007324F3" w:rsidRDefault="009A3FF6" w:rsidP="008429E6">
            <w:pPr>
              <w:adjustRightInd w:val="0"/>
              <w:spacing w:line="360" w:lineRule="auto"/>
              <w:contextualSpacing/>
              <w:rPr>
                <w:sz w:val="24"/>
              </w:rPr>
            </w:pPr>
            <w:r w:rsidRPr="007324F3">
              <w:rPr>
                <w:sz w:val="24"/>
              </w:rPr>
              <w:t>投资者关系活动类别</w:t>
            </w:r>
          </w:p>
        </w:tc>
        <w:tc>
          <w:tcPr>
            <w:tcW w:w="7238" w:type="dxa"/>
          </w:tcPr>
          <w:p w14:paraId="1BD7EE69" w14:textId="77777777" w:rsidR="009A3FF6" w:rsidRPr="007324F3" w:rsidRDefault="009A3FF6" w:rsidP="008429E6">
            <w:pPr>
              <w:adjustRightInd w:val="0"/>
              <w:spacing w:line="360" w:lineRule="auto"/>
              <w:contextualSpacing/>
              <w:rPr>
                <w:sz w:val="24"/>
              </w:rPr>
            </w:pPr>
            <w:r w:rsidRPr="007324F3">
              <w:rPr>
                <w:sz w:val="24"/>
              </w:rPr>
              <w:t>□</w:t>
            </w:r>
            <w:r w:rsidRPr="007324F3">
              <w:rPr>
                <w:sz w:val="24"/>
              </w:rPr>
              <w:t>特定对象调研</w:t>
            </w:r>
            <w:r w:rsidRPr="007324F3">
              <w:rPr>
                <w:sz w:val="24"/>
              </w:rPr>
              <w:t xml:space="preserve">             </w:t>
            </w:r>
            <w:r w:rsidRPr="0095781F">
              <w:rPr>
                <w:sz w:val="24"/>
              </w:rPr>
              <w:t>□</w:t>
            </w:r>
            <w:r w:rsidRPr="007324F3">
              <w:rPr>
                <w:sz w:val="24"/>
              </w:rPr>
              <w:t>分析师会议</w:t>
            </w:r>
          </w:p>
          <w:p w14:paraId="45E203BE" w14:textId="77777777" w:rsidR="009A3FF6" w:rsidRPr="007324F3" w:rsidRDefault="009A3FF6" w:rsidP="008429E6">
            <w:pPr>
              <w:adjustRightInd w:val="0"/>
              <w:spacing w:line="360" w:lineRule="auto"/>
              <w:contextualSpacing/>
              <w:rPr>
                <w:sz w:val="24"/>
              </w:rPr>
            </w:pPr>
            <w:r w:rsidRPr="007324F3">
              <w:rPr>
                <w:sz w:val="24"/>
              </w:rPr>
              <w:t>□</w:t>
            </w:r>
            <w:r w:rsidRPr="007324F3">
              <w:rPr>
                <w:sz w:val="24"/>
              </w:rPr>
              <w:t>媒体采访</w:t>
            </w:r>
            <w:r w:rsidRPr="007324F3">
              <w:rPr>
                <w:sz w:val="24"/>
              </w:rPr>
              <w:t xml:space="preserve">                 √</w:t>
            </w:r>
            <w:r w:rsidRPr="007324F3">
              <w:rPr>
                <w:sz w:val="24"/>
              </w:rPr>
              <w:t>业绩说明会</w:t>
            </w:r>
          </w:p>
          <w:p w14:paraId="0AB66273" w14:textId="77777777" w:rsidR="009A3FF6" w:rsidRPr="007324F3" w:rsidRDefault="009A3FF6" w:rsidP="008429E6">
            <w:pPr>
              <w:adjustRightInd w:val="0"/>
              <w:spacing w:line="360" w:lineRule="auto"/>
              <w:contextualSpacing/>
              <w:rPr>
                <w:sz w:val="24"/>
              </w:rPr>
            </w:pPr>
            <w:r w:rsidRPr="007324F3">
              <w:rPr>
                <w:sz w:val="24"/>
              </w:rPr>
              <w:t>□</w:t>
            </w:r>
            <w:r w:rsidRPr="007324F3">
              <w:rPr>
                <w:sz w:val="24"/>
              </w:rPr>
              <w:t>新闻发布会</w:t>
            </w:r>
            <w:r w:rsidRPr="007324F3">
              <w:rPr>
                <w:sz w:val="24"/>
              </w:rPr>
              <w:t xml:space="preserve">               □</w:t>
            </w:r>
            <w:r w:rsidRPr="007324F3">
              <w:rPr>
                <w:sz w:val="24"/>
              </w:rPr>
              <w:t>路演活动</w:t>
            </w:r>
          </w:p>
          <w:p w14:paraId="11EB81C3" w14:textId="77777777" w:rsidR="009A3FF6" w:rsidRPr="007324F3" w:rsidRDefault="009A3FF6" w:rsidP="008429E6">
            <w:pPr>
              <w:adjustRightInd w:val="0"/>
              <w:spacing w:line="360" w:lineRule="auto"/>
              <w:contextualSpacing/>
              <w:rPr>
                <w:sz w:val="24"/>
              </w:rPr>
            </w:pPr>
            <w:r w:rsidRPr="007324F3">
              <w:rPr>
                <w:sz w:val="24"/>
              </w:rPr>
              <w:t>□</w:t>
            </w:r>
            <w:r w:rsidRPr="007324F3">
              <w:rPr>
                <w:sz w:val="24"/>
              </w:rPr>
              <w:t>现场参观</w:t>
            </w:r>
            <w:r w:rsidRPr="007324F3">
              <w:rPr>
                <w:sz w:val="24"/>
              </w:rPr>
              <w:t xml:space="preserve">                 □</w:t>
            </w:r>
            <w:r w:rsidRPr="007324F3">
              <w:rPr>
                <w:sz w:val="24"/>
              </w:rPr>
              <w:t>一对一沟通</w:t>
            </w:r>
          </w:p>
          <w:p w14:paraId="12DDE139" w14:textId="77777777" w:rsidR="009A3FF6" w:rsidRPr="007324F3" w:rsidRDefault="009A3FF6" w:rsidP="008429E6">
            <w:pPr>
              <w:adjustRightInd w:val="0"/>
              <w:spacing w:line="360" w:lineRule="auto"/>
              <w:contextualSpacing/>
              <w:rPr>
                <w:sz w:val="24"/>
              </w:rPr>
            </w:pPr>
            <w:r w:rsidRPr="007324F3">
              <w:rPr>
                <w:sz w:val="24"/>
              </w:rPr>
              <w:t>□</w:t>
            </w:r>
            <w:r w:rsidRPr="007324F3">
              <w:rPr>
                <w:sz w:val="24"/>
              </w:rPr>
              <w:t>其他（电话会议）</w:t>
            </w:r>
          </w:p>
        </w:tc>
      </w:tr>
      <w:tr w:rsidR="009A3FF6" w:rsidRPr="007324F3" w14:paraId="52023026" w14:textId="77777777" w:rsidTr="008429E6">
        <w:trPr>
          <w:trHeight w:val="938"/>
          <w:jc w:val="center"/>
        </w:trPr>
        <w:tc>
          <w:tcPr>
            <w:tcW w:w="1526" w:type="dxa"/>
          </w:tcPr>
          <w:p w14:paraId="15C55D99" w14:textId="77777777" w:rsidR="009A3FF6" w:rsidRPr="007324F3" w:rsidRDefault="009A3FF6" w:rsidP="008429E6">
            <w:pPr>
              <w:adjustRightInd w:val="0"/>
              <w:spacing w:line="360" w:lineRule="auto"/>
              <w:contextualSpacing/>
              <w:rPr>
                <w:sz w:val="24"/>
              </w:rPr>
            </w:pPr>
            <w:r w:rsidRPr="007324F3">
              <w:rPr>
                <w:sz w:val="24"/>
              </w:rPr>
              <w:t>参与单位</w:t>
            </w:r>
          </w:p>
          <w:p w14:paraId="4FA462DD" w14:textId="77777777" w:rsidR="009A3FF6" w:rsidRPr="007324F3" w:rsidRDefault="009A3FF6" w:rsidP="008429E6">
            <w:pPr>
              <w:adjustRightInd w:val="0"/>
              <w:spacing w:line="360" w:lineRule="auto"/>
              <w:contextualSpacing/>
              <w:rPr>
                <w:sz w:val="24"/>
              </w:rPr>
            </w:pPr>
            <w:r w:rsidRPr="007324F3">
              <w:rPr>
                <w:sz w:val="24"/>
              </w:rPr>
              <w:t>及人员</w:t>
            </w:r>
          </w:p>
        </w:tc>
        <w:tc>
          <w:tcPr>
            <w:tcW w:w="7238" w:type="dxa"/>
          </w:tcPr>
          <w:p w14:paraId="70719F89" w14:textId="31C36AFA" w:rsidR="009A3FF6" w:rsidRPr="007324F3" w:rsidRDefault="001A16E3" w:rsidP="008429E6">
            <w:pPr>
              <w:tabs>
                <w:tab w:val="left" w:pos="1014"/>
                <w:tab w:val="left" w:pos="4360"/>
                <w:tab w:val="left" w:pos="5704"/>
              </w:tabs>
              <w:adjustRightInd w:val="0"/>
              <w:spacing w:line="312" w:lineRule="auto"/>
              <w:contextualSpacing/>
              <w:rPr>
                <w:sz w:val="22"/>
                <w:szCs w:val="22"/>
              </w:rPr>
            </w:pPr>
            <w:r w:rsidRPr="008E3C2E">
              <w:rPr>
                <w:sz w:val="22"/>
                <w:szCs w:val="22"/>
              </w:rPr>
              <w:t>Adage Capital</w:t>
            </w:r>
            <w:r w:rsidRPr="008E3C2E">
              <w:rPr>
                <w:sz w:val="22"/>
                <w:szCs w:val="22"/>
              </w:rPr>
              <w:t>、</w:t>
            </w:r>
            <w:r w:rsidRPr="008E3C2E">
              <w:rPr>
                <w:sz w:val="22"/>
                <w:szCs w:val="22"/>
              </w:rPr>
              <w:t>Affinity Asset Advisors</w:t>
            </w:r>
            <w:r w:rsidRPr="008E3C2E">
              <w:rPr>
                <w:sz w:val="22"/>
                <w:szCs w:val="22"/>
              </w:rPr>
              <w:t>、</w:t>
            </w:r>
            <w:r w:rsidRPr="008E3C2E">
              <w:rPr>
                <w:sz w:val="22"/>
                <w:szCs w:val="22"/>
              </w:rPr>
              <w:t>Aj Asset Management</w:t>
            </w:r>
            <w:r w:rsidRPr="008E3C2E">
              <w:rPr>
                <w:sz w:val="22"/>
                <w:szCs w:val="22"/>
              </w:rPr>
              <w:t>、</w:t>
            </w:r>
            <w:r w:rsidRPr="008E3C2E">
              <w:rPr>
                <w:sz w:val="22"/>
                <w:szCs w:val="22"/>
              </w:rPr>
              <w:t>Alkeon Capital Management</w:t>
            </w:r>
            <w:r w:rsidRPr="008E3C2E">
              <w:rPr>
                <w:sz w:val="22"/>
                <w:szCs w:val="22"/>
              </w:rPr>
              <w:t>、</w:t>
            </w:r>
            <w:r w:rsidRPr="008E3C2E">
              <w:rPr>
                <w:sz w:val="22"/>
                <w:szCs w:val="22"/>
              </w:rPr>
              <w:t>Ally Bridge</w:t>
            </w:r>
            <w:r w:rsidRPr="008E3C2E">
              <w:rPr>
                <w:sz w:val="22"/>
                <w:szCs w:val="22"/>
              </w:rPr>
              <w:t>、</w:t>
            </w:r>
            <w:r w:rsidRPr="008E3C2E">
              <w:rPr>
                <w:sz w:val="22"/>
                <w:szCs w:val="22"/>
              </w:rPr>
              <w:t>Apex Alpha Funds</w:t>
            </w:r>
            <w:r w:rsidRPr="008E3C2E">
              <w:rPr>
                <w:sz w:val="22"/>
                <w:szCs w:val="22"/>
              </w:rPr>
              <w:t>、</w:t>
            </w:r>
            <w:r w:rsidRPr="008E3C2E">
              <w:rPr>
                <w:sz w:val="22"/>
                <w:szCs w:val="22"/>
              </w:rPr>
              <w:t>Apothecary Capital</w:t>
            </w:r>
            <w:r w:rsidRPr="008E3C2E">
              <w:rPr>
                <w:sz w:val="22"/>
                <w:szCs w:val="22"/>
              </w:rPr>
              <w:t>、</w:t>
            </w:r>
            <w:r w:rsidRPr="008E3C2E">
              <w:rPr>
                <w:sz w:val="22"/>
                <w:szCs w:val="22"/>
              </w:rPr>
              <w:t>Artisan Partners</w:t>
            </w:r>
            <w:r w:rsidRPr="008E3C2E">
              <w:rPr>
                <w:sz w:val="22"/>
                <w:szCs w:val="22"/>
              </w:rPr>
              <w:t>、</w:t>
            </w:r>
            <w:r w:rsidRPr="008E3C2E">
              <w:rPr>
                <w:sz w:val="22"/>
                <w:szCs w:val="22"/>
              </w:rPr>
              <w:t>Ashler Capital</w:t>
            </w:r>
            <w:r w:rsidRPr="008E3C2E">
              <w:rPr>
                <w:sz w:val="22"/>
                <w:szCs w:val="22"/>
              </w:rPr>
              <w:t>、</w:t>
            </w:r>
            <w:r w:rsidRPr="008E3C2E">
              <w:rPr>
                <w:sz w:val="22"/>
                <w:szCs w:val="22"/>
              </w:rPr>
              <w:t>Atg Healthcare Investments Ag</w:t>
            </w:r>
            <w:r w:rsidRPr="008E3C2E">
              <w:rPr>
                <w:sz w:val="22"/>
                <w:szCs w:val="22"/>
              </w:rPr>
              <w:t>、</w:t>
            </w:r>
            <w:r w:rsidRPr="008E3C2E">
              <w:rPr>
                <w:sz w:val="22"/>
                <w:szCs w:val="22"/>
              </w:rPr>
              <w:t>Baker Brothers</w:t>
            </w:r>
            <w:r w:rsidRPr="008E3C2E">
              <w:rPr>
                <w:sz w:val="22"/>
                <w:szCs w:val="22"/>
              </w:rPr>
              <w:t>、</w:t>
            </w:r>
            <w:r w:rsidRPr="008E3C2E">
              <w:rPr>
                <w:sz w:val="22"/>
                <w:szCs w:val="22"/>
              </w:rPr>
              <w:t>Balyasny Asset Management</w:t>
            </w:r>
            <w:r w:rsidRPr="008E3C2E">
              <w:rPr>
                <w:sz w:val="22"/>
                <w:szCs w:val="22"/>
              </w:rPr>
              <w:t>、</w:t>
            </w:r>
            <w:r w:rsidRPr="008E3C2E">
              <w:rPr>
                <w:sz w:val="22"/>
                <w:szCs w:val="22"/>
              </w:rPr>
              <w:t>Barclays</w:t>
            </w:r>
            <w:r w:rsidRPr="008E3C2E">
              <w:rPr>
                <w:sz w:val="22"/>
                <w:szCs w:val="22"/>
              </w:rPr>
              <w:t>、</w:t>
            </w:r>
            <w:r w:rsidRPr="008E3C2E">
              <w:rPr>
                <w:sz w:val="22"/>
                <w:szCs w:val="22"/>
              </w:rPr>
              <w:t>Bernstein</w:t>
            </w:r>
            <w:r w:rsidRPr="008E3C2E">
              <w:rPr>
                <w:sz w:val="22"/>
                <w:szCs w:val="22"/>
              </w:rPr>
              <w:t>、</w:t>
            </w:r>
            <w:r w:rsidRPr="008E3C2E">
              <w:rPr>
                <w:sz w:val="22"/>
                <w:szCs w:val="22"/>
              </w:rPr>
              <w:t>Blackrock</w:t>
            </w:r>
            <w:r w:rsidRPr="008E3C2E">
              <w:rPr>
                <w:sz w:val="22"/>
                <w:szCs w:val="22"/>
              </w:rPr>
              <w:t>、</w:t>
            </w:r>
            <w:r w:rsidRPr="008E3C2E">
              <w:rPr>
                <w:sz w:val="22"/>
                <w:szCs w:val="22"/>
              </w:rPr>
              <w:t>Bluebox Asset Management</w:t>
            </w:r>
            <w:r w:rsidRPr="008E3C2E">
              <w:rPr>
                <w:sz w:val="22"/>
                <w:szCs w:val="22"/>
              </w:rPr>
              <w:t>、</w:t>
            </w:r>
            <w:r w:rsidRPr="008E3C2E">
              <w:rPr>
                <w:sz w:val="22"/>
                <w:szCs w:val="22"/>
              </w:rPr>
              <w:t>Bocom International</w:t>
            </w:r>
            <w:r w:rsidRPr="008E3C2E">
              <w:rPr>
                <w:sz w:val="22"/>
                <w:szCs w:val="22"/>
              </w:rPr>
              <w:t>、</w:t>
            </w:r>
            <w:r w:rsidRPr="008E3C2E">
              <w:rPr>
                <w:sz w:val="22"/>
                <w:szCs w:val="22"/>
              </w:rPr>
              <w:t>Bofa</w:t>
            </w:r>
            <w:r w:rsidRPr="008E3C2E">
              <w:rPr>
                <w:sz w:val="22"/>
                <w:szCs w:val="22"/>
              </w:rPr>
              <w:t>、</w:t>
            </w:r>
            <w:r w:rsidRPr="008E3C2E">
              <w:rPr>
                <w:sz w:val="22"/>
                <w:szCs w:val="22"/>
              </w:rPr>
              <w:t>Candriam</w:t>
            </w:r>
            <w:r w:rsidRPr="008E3C2E">
              <w:rPr>
                <w:sz w:val="22"/>
                <w:szCs w:val="22"/>
              </w:rPr>
              <w:t>、</w:t>
            </w:r>
            <w:r w:rsidRPr="008E3C2E">
              <w:rPr>
                <w:sz w:val="22"/>
                <w:szCs w:val="22"/>
              </w:rPr>
              <w:t>Cantor</w:t>
            </w:r>
            <w:r w:rsidRPr="008E3C2E">
              <w:rPr>
                <w:sz w:val="22"/>
                <w:szCs w:val="22"/>
              </w:rPr>
              <w:t>、</w:t>
            </w:r>
            <w:r w:rsidRPr="008E3C2E">
              <w:rPr>
                <w:sz w:val="22"/>
                <w:szCs w:val="22"/>
              </w:rPr>
              <w:t>Capital International</w:t>
            </w:r>
            <w:r w:rsidRPr="008E3C2E">
              <w:rPr>
                <w:sz w:val="22"/>
                <w:szCs w:val="22"/>
              </w:rPr>
              <w:t>、</w:t>
            </w:r>
            <w:r w:rsidRPr="008E3C2E">
              <w:rPr>
                <w:sz w:val="22"/>
                <w:szCs w:val="22"/>
              </w:rPr>
              <w:t>Capstone Capital</w:t>
            </w:r>
            <w:r w:rsidRPr="008E3C2E">
              <w:rPr>
                <w:sz w:val="22"/>
                <w:szCs w:val="22"/>
              </w:rPr>
              <w:t>、</w:t>
            </w:r>
            <w:r w:rsidRPr="008E3C2E">
              <w:rPr>
                <w:sz w:val="22"/>
                <w:szCs w:val="22"/>
              </w:rPr>
              <w:t>CICC</w:t>
            </w:r>
            <w:r w:rsidRPr="008E3C2E">
              <w:rPr>
                <w:sz w:val="22"/>
                <w:szCs w:val="22"/>
              </w:rPr>
              <w:t>、</w:t>
            </w:r>
            <w:r w:rsidRPr="008E3C2E">
              <w:rPr>
                <w:sz w:val="22"/>
                <w:szCs w:val="22"/>
              </w:rPr>
              <w:t>Citizens</w:t>
            </w:r>
            <w:r w:rsidRPr="008E3C2E">
              <w:rPr>
                <w:sz w:val="22"/>
                <w:szCs w:val="22"/>
              </w:rPr>
              <w:t>、</w:t>
            </w:r>
            <w:r w:rsidRPr="008E3C2E">
              <w:rPr>
                <w:sz w:val="22"/>
                <w:szCs w:val="22"/>
              </w:rPr>
              <w:t>Everbright Pgim Fund</w:t>
            </w:r>
            <w:r w:rsidRPr="008E3C2E">
              <w:rPr>
                <w:sz w:val="22"/>
                <w:szCs w:val="22"/>
              </w:rPr>
              <w:t>、</w:t>
            </w:r>
            <w:r w:rsidRPr="008E3C2E">
              <w:rPr>
                <w:sz w:val="22"/>
                <w:szCs w:val="22"/>
              </w:rPr>
              <w:t>Fi</w:t>
            </w:r>
            <w:r>
              <w:rPr>
                <w:rFonts w:hint="eastAsia"/>
                <w:sz w:val="22"/>
                <w:szCs w:val="22"/>
              </w:rPr>
              <w:t>delity International</w:t>
            </w:r>
            <w:r w:rsidRPr="008E3C2E">
              <w:rPr>
                <w:sz w:val="22"/>
                <w:szCs w:val="22"/>
              </w:rPr>
              <w:t>、</w:t>
            </w:r>
            <w:r w:rsidRPr="008E3C2E">
              <w:rPr>
                <w:sz w:val="22"/>
                <w:szCs w:val="22"/>
              </w:rPr>
              <w:t>F</w:t>
            </w:r>
            <w:r>
              <w:rPr>
                <w:rFonts w:hint="eastAsia"/>
                <w:sz w:val="22"/>
                <w:szCs w:val="22"/>
              </w:rPr>
              <w:t>idelity Research Management</w:t>
            </w:r>
            <w:r w:rsidRPr="008E3C2E">
              <w:rPr>
                <w:sz w:val="22"/>
                <w:szCs w:val="22"/>
              </w:rPr>
              <w:t>、</w:t>
            </w:r>
            <w:r w:rsidRPr="008E3C2E">
              <w:rPr>
                <w:sz w:val="22"/>
                <w:szCs w:val="22"/>
              </w:rPr>
              <w:t>Fullgoal Fund</w:t>
            </w:r>
            <w:r w:rsidRPr="008E3C2E">
              <w:rPr>
                <w:sz w:val="22"/>
                <w:szCs w:val="22"/>
              </w:rPr>
              <w:t>、</w:t>
            </w:r>
            <w:r w:rsidRPr="008E3C2E">
              <w:rPr>
                <w:sz w:val="22"/>
                <w:szCs w:val="22"/>
              </w:rPr>
              <w:t>Goldman Sachs</w:t>
            </w:r>
            <w:r w:rsidRPr="008E3C2E">
              <w:rPr>
                <w:sz w:val="22"/>
                <w:szCs w:val="22"/>
              </w:rPr>
              <w:t>、</w:t>
            </w:r>
            <w:r w:rsidRPr="008E3C2E">
              <w:rPr>
                <w:sz w:val="22"/>
                <w:szCs w:val="22"/>
              </w:rPr>
              <w:t>Guggenheim Partners</w:t>
            </w:r>
            <w:r w:rsidRPr="008E3C2E">
              <w:rPr>
                <w:sz w:val="22"/>
                <w:szCs w:val="22"/>
              </w:rPr>
              <w:t>、</w:t>
            </w:r>
            <w:r w:rsidRPr="008E3C2E">
              <w:rPr>
                <w:sz w:val="22"/>
                <w:szCs w:val="22"/>
              </w:rPr>
              <w:t>Harvest Fund</w:t>
            </w:r>
            <w:r w:rsidRPr="008E3C2E">
              <w:rPr>
                <w:sz w:val="22"/>
                <w:szCs w:val="22"/>
              </w:rPr>
              <w:t>、</w:t>
            </w:r>
            <w:r w:rsidRPr="008E3C2E">
              <w:rPr>
                <w:sz w:val="22"/>
                <w:szCs w:val="22"/>
              </w:rPr>
              <w:t>Hsbc</w:t>
            </w:r>
            <w:r w:rsidRPr="008E3C2E">
              <w:rPr>
                <w:sz w:val="22"/>
                <w:szCs w:val="22"/>
              </w:rPr>
              <w:t>、</w:t>
            </w:r>
            <w:r w:rsidRPr="008E3C2E">
              <w:rPr>
                <w:sz w:val="22"/>
                <w:szCs w:val="22"/>
              </w:rPr>
              <w:t>Invus</w:t>
            </w:r>
            <w:r w:rsidRPr="008E3C2E">
              <w:rPr>
                <w:sz w:val="22"/>
                <w:szCs w:val="22"/>
              </w:rPr>
              <w:t>、</w:t>
            </w:r>
            <w:r w:rsidRPr="008E3C2E">
              <w:rPr>
                <w:sz w:val="22"/>
                <w:szCs w:val="22"/>
              </w:rPr>
              <w:t>Janchor Partners</w:t>
            </w:r>
            <w:r w:rsidRPr="008E3C2E">
              <w:rPr>
                <w:sz w:val="22"/>
                <w:szCs w:val="22"/>
              </w:rPr>
              <w:t>、</w:t>
            </w:r>
            <w:r w:rsidRPr="008E3C2E">
              <w:rPr>
                <w:sz w:val="22"/>
                <w:szCs w:val="22"/>
              </w:rPr>
              <w:t>Jefferies</w:t>
            </w:r>
            <w:r w:rsidRPr="008E3C2E">
              <w:rPr>
                <w:sz w:val="22"/>
                <w:szCs w:val="22"/>
              </w:rPr>
              <w:t>、</w:t>
            </w:r>
            <w:r w:rsidRPr="008E3C2E">
              <w:rPr>
                <w:sz w:val="22"/>
                <w:szCs w:val="22"/>
              </w:rPr>
              <w:t>Jennison</w:t>
            </w:r>
            <w:r w:rsidRPr="008E3C2E">
              <w:rPr>
                <w:sz w:val="22"/>
                <w:szCs w:val="22"/>
              </w:rPr>
              <w:t>、</w:t>
            </w:r>
            <w:r w:rsidRPr="008E3C2E">
              <w:rPr>
                <w:sz w:val="22"/>
                <w:szCs w:val="22"/>
              </w:rPr>
              <w:t>JPM</w:t>
            </w:r>
            <w:r w:rsidRPr="008E3C2E">
              <w:rPr>
                <w:sz w:val="22"/>
                <w:szCs w:val="22"/>
              </w:rPr>
              <w:t>、</w:t>
            </w:r>
            <w:r w:rsidRPr="008E3C2E">
              <w:rPr>
                <w:sz w:val="22"/>
                <w:szCs w:val="22"/>
              </w:rPr>
              <w:t>Leerink Partners</w:t>
            </w:r>
            <w:r w:rsidRPr="008E3C2E">
              <w:rPr>
                <w:sz w:val="22"/>
                <w:szCs w:val="22"/>
              </w:rPr>
              <w:t>、</w:t>
            </w:r>
            <w:r w:rsidRPr="008E3C2E">
              <w:rPr>
                <w:sz w:val="22"/>
                <w:szCs w:val="22"/>
              </w:rPr>
              <w:t>Millennium</w:t>
            </w:r>
            <w:r w:rsidRPr="008E3C2E">
              <w:rPr>
                <w:sz w:val="22"/>
                <w:szCs w:val="22"/>
              </w:rPr>
              <w:t>、</w:t>
            </w:r>
            <w:r w:rsidRPr="008E3C2E">
              <w:rPr>
                <w:sz w:val="22"/>
                <w:szCs w:val="22"/>
              </w:rPr>
              <w:t>Morgan Stanley</w:t>
            </w:r>
            <w:r w:rsidRPr="008E3C2E">
              <w:rPr>
                <w:sz w:val="22"/>
                <w:szCs w:val="22"/>
              </w:rPr>
              <w:t>、</w:t>
            </w:r>
            <w:r w:rsidRPr="008E3C2E">
              <w:rPr>
                <w:sz w:val="22"/>
                <w:szCs w:val="22"/>
              </w:rPr>
              <w:t>Point72</w:t>
            </w:r>
            <w:r w:rsidRPr="008E3C2E">
              <w:rPr>
                <w:sz w:val="22"/>
                <w:szCs w:val="22"/>
              </w:rPr>
              <w:t>、</w:t>
            </w:r>
            <w:r w:rsidRPr="008E3C2E">
              <w:rPr>
                <w:sz w:val="22"/>
                <w:szCs w:val="22"/>
              </w:rPr>
              <w:t>Polar Capital</w:t>
            </w:r>
            <w:r w:rsidRPr="008E3C2E">
              <w:rPr>
                <w:sz w:val="22"/>
                <w:szCs w:val="22"/>
              </w:rPr>
              <w:t>、</w:t>
            </w:r>
            <w:r w:rsidRPr="008E3C2E">
              <w:rPr>
                <w:sz w:val="22"/>
                <w:szCs w:val="22"/>
              </w:rPr>
              <w:t>Polymer Capital</w:t>
            </w:r>
            <w:r w:rsidRPr="008E3C2E">
              <w:rPr>
                <w:sz w:val="22"/>
                <w:szCs w:val="22"/>
              </w:rPr>
              <w:t>、</w:t>
            </w:r>
            <w:r w:rsidRPr="008E3C2E">
              <w:rPr>
                <w:sz w:val="22"/>
                <w:szCs w:val="22"/>
              </w:rPr>
              <w:t>Schonfeld</w:t>
            </w:r>
            <w:r w:rsidRPr="008E3C2E">
              <w:rPr>
                <w:sz w:val="22"/>
                <w:szCs w:val="22"/>
              </w:rPr>
              <w:t>、</w:t>
            </w:r>
            <w:r w:rsidRPr="008E3C2E">
              <w:rPr>
                <w:sz w:val="22"/>
                <w:szCs w:val="22"/>
              </w:rPr>
              <w:t>Schroders</w:t>
            </w:r>
            <w:r w:rsidRPr="008E3C2E">
              <w:rPr>
                <w:sz w:val="22"/>
                <w:szCs w:val="22"/>
              </w:rPr>
              <w:t>、</w:t>
            </w:r>
            <w:r w:rsidRPr="008E3C2E">
              <w:rPr>
                <w:sz w:val="22"/>
                <w:szCs w:val="22"/>
              </w:rPr>
              <w:t>Sirenia Capital</w:t>
            </w:r>
            <w:r w:rsidRPr="008E3C2E">
              <w:rPr>
                <w:sz w:val="22"/>
                <w:szCs w:val="22"/>
              </w:rPr>
              <w:t>、</w:t>
            </w:r>
            <w:r w:rsidRPr="008E3C2E">
              <w:rPr>
                <w:sz w:val="22"/>
                <w:szCs w:val="22"/>
              </w:rPr>
              <w:t>Surveyor Capital</w:t>
            </w:r>
            <w:r w:rsidRPr="008E3C2E">
              <w:rPr>
                <w:sz w:val="22"/>
                <w:szCs w:val="22"/>
              </w:rPr>
              <w:t>、</w:t>
            </w:r>
            <w:r w:rsidRPr="008E3C2E">
              <w:rPr>
                <w:sz w:val="22"/>
                <w:szCs w:val="22"/>
              </w:rPr>
              <w:t>T.Rowe Price</w:t>
            </w:r>
            <w:r w:rsidRPr="008E3C2E">
              <w:rPr>
                <w:sz w:val="22"/>
                <w:szCs w:val="22"/>
              </w:rPr>
              <w:t>、</w:t>
            </w:r>
            <w:r w:rsidRPr="008E3C2E">
              <w:rPr>
                <w:sz w:val="22"/>
                <w:szCs w:val="22"/>
              </w:rPr>
              <w:t>Taipu Investment</w:t>
            </w:r>
            <w:r w:rsidRPr="008E3C2E">
              <w:rPr>
                <w:sz w:val="22"/>
                <w:szCs w:val="22"/>
              </w:rPr>
              <w:t>、</w:t>
            </w:r>
            <w:r w:rsidRPr="008E3C2E">
              <w:rPr>
                <w:sz w:val="22"/>
                <w:szCs w:val="22"/>
              </w:rPr>
              <w:t>T</w:t>
            </w:r>
            <w:r>
              <w:rPr>
                <w:rFonts w:hint="eastAsia"/>
                <w:sz w:val="22"/>
                <w:szCs w:val="22"/>
              </w:rPr>
              <w:t>D</w:t>
            </w:r>
            <w:r w:rsidRPr="008E3C2E">
              <w:rPr>
                <w:sz w:val="22"/>
                <w:szCs w:val="22"/>
              </w:rPr>
              <w:t xml:space="preserve"> Cowen</w:t>
            </w:r>
            <w:r w:rsidRPr="008E3C2E">
              <w:rPr>
                <w:sz w:val="22"/>
                <w:szCs w:val="22"/>
              </w:rPr>
              <w:t>、</w:t>
            </w:r>
            <w:r w:rsidRPr="008E3C2E">
              <w:rPr>
                <w:sz w:val="22"/>
                <w:szCs w:val="22"/>
              </w:rPr>
              <w:t>U</w:t>
            </w:r>
            <w:r>
              <w:rPr>
                <w:rFonts w:hint="eastAsia"/>
                <w:sz w:val="22"/>
                <w:szCs w:val="22"/>
              </w:rPr>
              <w:t>BS</w:t>
            </w:r>
            <w:r w:rsidRPr="008E3C2E">
              <w:rPr>
                <w:sz w:val="22"/>
                <w:szCs w:val="22"/>
              </w:rPr>
              <w:t>、</w:t>
            </w:r>
            <w:r w:rsidRPr="008E3C2E">
              <w:rPr>
                <w:sz w:val="22"/>
                <w:szCs w:val="22"/>
              </w:rPr>
              <w:t>Uob Kay Hian</w:t>
            </w:r>
            <w:r w:rsidRPr="008E3C2E">
              <w:rPr>
                <w:sz w:val="22"/>
                <w:szCs w:val="22"/>
              </w:rPr>
              <w:t>、</w:t>
            </w:r>
            <w:r w:rsidRPr="008E3C2E">
              <w:rPr>
                <w:sz w:val="22"/>
                <w:szCs w:val="22"/>
              </w:rPr>
              <w:t>Uobkh</w:t>
            </w:r>
            <w:r w:rsidRPr="008E3C2E">
              <w:rPr>
                <w:sz w:val="22"/>
                <w:szCs w:val="22"/>
              </w:rPr>
              <w:t>、</w:t>
            </w:r>
            <w:r w:rsidRPr="008E3C2E">
              <w:rPr>
                <w:sz w:val="22"/>
                <w:szCs w:val="22"/>
              </w:rPr>
              <w:t>Vestal Point</w:t>
            </w:r>
            <w:r w:rsidRPr="008E3C2E">
              <w:rPr>
                <w:sz w:val="22"/>
                <w:szCs w:val="22"/>
              </w:rPr>
              <w:t>、</w:t>
            </w:r>
            <w:r w:rsidRPr="008E3C2E">
              <w:rPr>
                <w:sz w:val="22"/>
                <w:szCs w:val="22"/>
              </w:rPr>
              <w:t>Wellington</w:t>
            </w:r>
            <w:r w:rsidRPr="008E3C2E">
              <w:rPr>
                <w:sz w:val="22"/>
                <w:szCs w:val="22"/>
              </w:rPr>
              <w:t>、</w:t>
            </w:r>
            <w:r w:rsidRPr="008E3C2E">
              <w:rPr>
                <w:sz w:val="22"/>
                <w:szCs w:val="22"/>
              </w:rPr>
              <w:t>Wells Fargo</w:t>
            </w:r>
            <w:r w:rsidRPr="008E3C2E">
              <w:rPr>
                <w:sz w:val="22"/>
                <w:szCs w:val="22"/>
              </w:rPr>
              <w:t>、</w:t>
            </w:r>
            <w:r w:rsidRPr="008E3C2E">
              <w:rPr>
                <w:sz w:val="22"/>
                <w:szCs w:val="22"/>
              </w:rPr>
              <w:t>White Oak Capital</w:t>
            </w:r>
            <w:r w:rsidRPr="008E3C2E">
              <w:rPr>
                <w:sz w:val="22"/>
                <w:szCs w:val="22"/>
              </w:rPr>
              <w:t>、</w:t>
            </w:r>
            <w:r w:rsidRPr="008E3C2E">
              <w:rPr>
                <w:sz w:val="22"/>
                <w:szCs w:val="22"/>
              </w:rPr>
              <w:t>Woodline</w:t>
            </w:r>
            <w:r w:rsidRPr="008E3C2E">
              <w:rPr>
                <w:sz w:val="22"/>
                <w:szCs w:val="22"/>
              </w:rPr>
              <w:t>等。</w:t>
            </w:r>
          </w:p>
        </w:tc>
      </w:tr>
      <w:tr w:rsidR="009A3FF6" w:rsidRPr="007324F3" w14:paraId="03947BC5" w14:textId="77777777" w:rsidTr="008429E6">
        <w:trPr>
          <w:trHeight w:val="544"/>
          <w:jc w:val="center"/>
        </w:trPr>
        <w:tc>
          <w:tcPr>
            <w:tcW w:w="1526" w:type="dxa"/>
          </w:tcPr>
          <w:p w14:paraId="38FDF281" w14:textId="77777777" w:rsidR="009A3FF6" w:rsidRPr="007324F3" w:rsidRDefault="009A3FF6" w:rsidP="008429E6">
            <w:pPr>
              <w:adjustRightInd w:val="0"/>
              <w:spacing w:line="360" w:lineRule="auto"/>
              <w:contextualSpacing/>
              <w:rPr>
                <w:sz w:val="24"/>
              </w:rPr>
            </w:pPr>
            <w:r w:rsidRPr="007324F3">
              <w:rPr>
                <w:sz w:val="24"/>
              </w:rPr>
              <w:t>时间</w:t>
            </w:r>
          </w:p>
        </w:tc>
        <w:tc>
          <w:tcPr>
            <w:tcW w:w="7238" w:type="dxa"/>
            <w:vAlign w:val="center"/>
          </w:tcPr>
          <w:p w14:paraId="014D0A65" w14:textId="77777777" w:rsidR="009A3FF6" w:rsidRPr="007324F3" w:rsidRDefault="009A3FF6" w:rsidP="008429E6">
            <w:pPr>
              <w:tabs>
                <w:tab w:val="left" w:pos="1014"/>
                <w:tab w:val="left" w:pos="4360"/>
                <w:tab w:val="left" w:pos="5704"/>
              </w:tabs>
              <w:adjustRightInd w:val="0"/>
              <w:spacing w:line="312" w:lineRule="auto"/>
              <w:contextualSpacing/>
              <w:rPr>
                <w:sz w:val="22"/>
                <w:szCs w:val="22"/>
              </w:rPr>
            </w:pPr>
            <w:r w:rsidRPr="007324F3">
              <w:rPr>
                <w:sz w:val="22"/>
                <w:szCs w:val="22"/>
              </w:rPr>
              <w:t>202</w:t>
            </w:r>
            <w:r>
              <w:rPr>
                <w:rFonts w:hint="eastAsia"/>
                <w:sz w:val="22"/>
                <w:szCs w:val="22"/>
              </w:rPr>
              <w:t>6</w:t>
            </w:r>
            <w:r w:rsidRPr="007324F3">
              <w:rPr>
                <w:sz w:val="22"/>
                <w:szCs w:val="22"/>
              </w:rPr>
              <w:t>年</w:t>
            </w:r>
            <w:r>
              <w:rPr>
                <w:rFonts w:hint="eastAsia"/>
                <w:sz w:val="22"/>
                <w:szCs w:val="22"/>
              </w:rPr>
              <w:t>8</w:t>
            </w:r>
            <w:r w:rsidRPr="007324F3">
              <w:rPr>
                <w:sz w:val="22"/>
                <w:szCs w:val="22"/>
              </w:rPr>
              <w:t>月</w:t>
            </w:r>
            <w:r>
              <w:rPr>
                <w:rFonts w:hint="eastAsia"/>
                <w:sz w:val="22"/>
                <w:szCs w:val="22"/>
              </w:rPr>
              <w:t>5</w:t>
            </w:r>
            <w:r w:rsidRPr="007324F3">
              <w:rPr>
                <w:sz w:val="22"/>
                <w:szCs w:val="22"/>
              </w:rPr>
              <w:t>日</w:t>
            </w:r>
          </w:p>
        </w:tc>
      </w:tr>
      <w:tr w:rsidR="009A3FF6" w:rsidRPr="007324F3" w14:paraId="156E446E" w14:textId="77777777" w:rsidTr="008429E6">
        <w:trPr>
          <w:jc w:val="center"/>
        </w:trPr>
        <w:tc>
          <w:tcPr>
            <w:tcW w:w="1526" w:type="dxa"/>
          </w:tcPr>
          <w:p w14:paraId="725CD515" w14:textId="77777777" w:rsidR="009A3FF6" w:rsidRPr="007324F3" w:rsidRDefault="009A3FF6" w:rsidP="008429E6">
            <w:pPr>
              <w:adjustRightInd w:val="0"/>
              <w:spacing w:line="360" w:lineRule="auto"/>
              <w:contextualSpacing/>
              <w:rPr>
                <w:sz w:val="24"/>
              </w:rPr>
            </w:pPr>
            <w:r w:rsidRPr="007324F3">
              <w:rPr>
                <w:sz w:val="24"/>
              </w:rPr>
              <w:t>地点</w:t>
            </w:r>
          </w:p>
        </w:tc>
        <w:tc>
          <w:tcPr>
            <w:tcW w:w="7238" w:type="dxa"/>
          </w:tcPr>
          <w:p w14:paraId="6E678BE2" w14:textId="77777777" w:rsidR="009A3FF6" w:rsidRPr="007324F3" w:rsidRDefault="009A3FF6" w:rsidP="008429E6">
            <w:pPr>
              <w:tabs>
                <w:tab w:val="left" w:pos="1014"/>
                <w:tab w:val="left" w:pos="4360"/>
                <w:tab w:val="left" w:pos="5704"/>
              </w:tabs>
              <w:adjustRightInd w:val="0"/>
              <w:spacing w:line="360" w:lineRule="auto"/>
              <w:contextualSpacing/>
              <w:rPr>
                <w:sz w:val="22"/>
                <w:szCs w:val="22"/>
              </w:rPr>
            </w:pPr>
            <w:r w:rsidRPr="007324F3">
              <w:rPr>
                <w:sz w:val="22"/>
                <w:szCs w:val="22"/>
              </w:rPr>
              <w:t>电话会议</w:t>
            </w:r>
          </w:p>
        </w:tc>
      </w:tr>
      <w:tr w:rsidR="009A3FF6" w:rsidRPr="007324F3" w14:paraId="1E91EBBA" w14:textId="77777777" w:rsidTr="008429E6">
        <w:trPr>
          <w:jc w:val="center"/>
        </w:trPr>
        <w:tc>
          <w:tcPr>
            <w:tcW w:w="1526" w:type="dxa"/>
          </w:tcPr>
          <w:p w14:paraId="4243F605" w14:textId="77777777" w:rsidR="009A3FF6" w:rsidRPr="007324F3" w:rsidRDefault="009A3FF6" w:rsidP="008429E6">
            <w:pPr>
              <w:adjustRightInd w:val="0"/>
              <w:spacing w:line="360" w:lineRule="auto"/>
              <w:contextualSpacing/>
              <w:rPr>
                <w:sz w:val="24"/>
              </w:rPr>
            </w:pPr>
            <w:r w:rsidRPr="007324F3">
              <w:rPr>
                <w:sz w:val="24"/>
              </w:rPr>
              <w:t>接待人员</w:t>
            </w:r>
          </w:p>
        </w:tc>
        <w:tc>
          <w:tcPr>
            <w:tcW w:w="7238" w:type="dxa"/>
          </w:tcPr>
          <w:p w14:paraId="4441F149" w14:textId="77777777" w:rsidR="009A3FF6" w:rsidRPr="002B433C" w:rsidRDefault="009A3FF6" w:rsidP="008429E6">
            <w:pPr>
              <w:tabs>
                <w:tab w:val="left" w:pos="1014"/>
                <w:tab w:val="left" w:pos="4360"/>
                <w:tab w:val="left" w:pos="5704"/>
              </w:tabs>
              <w:adjustRightInd w:val="0"/>
              <w:spacing w:line="360" w:lineRule="auto"/>
              <w:contextualSpacing/>
              <w:rPr>
                <w:sz w:val="22"/>
                <w:szCs w:val="22"/>
              </w:rPr>
            </w:pPr>
            <w:r w:rsidRPr="002B433C">
              <w:rPr>
                <w:rFonts w:hint="eastAsia"/>
                <w:sz w:val="22"/>
                <w:szCs w:val="22"/>
              </w:rPr>
              <w:t>公司联合创始人、董事长兼首席执行官：欧雷强</w:t>
            </w:r>
          </w:p>
          <w:p w14:paraId="30D264B2" w14:textId="77777777" w:rsidR="009A3FF6" w:rsidRPr="002B433C" w:rsidRDefault="009A3FF6" w:rsidP="008429E6">
            <w:pPr>
              <w:tabs>
                <w:tab w:val="left" w:pos="1014"/>
                <w:tab w:val="left" w:pos="4360"/>
                <w:tab w:val="left" w:pos="5704"/>
              </w:tabs>
              <w:adjustRightInd w:val="0"/>
              <w:spacing w:line="360" w:lineRule="auto"/>
              <w:contextualSpacing/>
              <w:rPr>
                <w:sz w:val="22"/>
                <w:szCs w:val="22"/>
              </w:rPr>
            </w:pPr>
            <w:r w:rsidRPr="002B433C">
              <w:rPr>
                <w:rFonts w:hint="eastAsia"/>
                <w:sz w:val="22"/>
                <w:szCs w:val="22"/>
              </w:rPr>
              <w:t>公司总裁兼首席运营官：吴晓滨博士</w:t>
            </w:r>
          </w:p>
          <w:p w14:paraId="126DDF14" w14:textId="77777777" w:rsidR="009A3FF6" w:rsidRPr="002B433C" w:rsidRDefault="009A3FF6" w:rsidP="008429E6">
            <w:pPr>
              <w:tabs>
                <w:tab w:val="left" w:pos="1014"/>
                <w:tab w:val="left" w:pos="4360"/>
                <w:tab w:val="left" w:pos="5704"/>
              </w:tabs>
              <w:adjustRightInd w:val="0"/>
              <w:spacing w:line="360" w:lineRule="auto"/>
              <w:contextualSpacing/>
              <w:rPr>
                <w:sz w:val="22"/>
                <w:szCs w:val="22"/>
              </w:rPr>
            </w:pPr>
            <w:r w:rsidRPr="002B433C">
              <w:rPr>
                <w:rFonts w:hint="eastAsia"/>
                <w:sz w:val="22"/>
                <w:szCs w:val="22"/>
              </w:rPr>
              <w:t>公司总裁、全球研发负责人：汪来博士</w:t>
            </w:r>
          </w:p>
          <w:p w14:paraId="1C13B0A6" w14:textId="77777777" w:rsidR="009A3FF6" w:rsidRPr="002B433C" w:rsidRDefault="009A3FF6" w:rsidP="008429E6">
            <w:pPr>
              <w:tabs>
                <w:tab w:val="left" w:pos="1014"/>
                <w:tab w:val="left" w:pos="4360"/>
                <w:tab w:val="left" w:pos="5704"/>
              </w:tabs>
              <w:adjustRightInd w:val="0"/>
              <w:spacing w:line="360" w:lineRule="auto"/>
              <w:contextualSpacing/>
              <w:rPr>
                <w:sz w:val="22"/>
                <w:szCs w:val="22"/>
              </w:rPr>
            </w:pPr>
            <w:r w:rsidRPr="002B433C">
              <w:rPr>
                <w:rFonts w:hint="eastAsia"/>
                <w:sz w:val="22"/>
                <w:szCs w:val="22"/>
              </w:rPr>
              <w:lastRenderedPageBreak/>
              <w:t>公司首席财务官：</w:t>
            </w:r>
            <w:r w:rsidRPr="002B433C">
              <w:rPr>
                <w:rFonts w:hint="eastAsia"/>
                <w:sz w:val="22"/>
                <w:szCs w:val="22"/>
              </w:rPr>
              <w:t>Aaron Rosenberg</w:t>
            </w:r>
          </w:p>
          <w:p w14:paraId="3A6C947D" w14:textId="77777777" w:rsidR="009A3FF6" w:rsidRPr="002B433C" w:rsidRDefault="009A3FF6" w:rsidP="008429E6">
            <w:pPr>
              <w:tabs>
                <w:tab w:val="left" w:pos="1014"/>
                <w:tab w:val="left" w:pos="4360"/>
                <w:tab w:val="left" w:pos="5704"/>
              </w:tabs>
              <w:adjustRightInd w:val="0"/>
              <w:spacing w:line="360" w:lineRule="auto"/>
              <w:contextualSpacing/>
              <w:rPr>
                <w:sz w:val="22"/>
                <w:szCs w:val="22"/>
              </w:rPr>
            </w:pPr>
            <w:r w:rsidRPr="002B433C">
              <w:rPr>
                <w:rFonts w:hint="eastAsia"/>
                <w:sz w:val="22"/>
                <w:szCs w:val="22"/>
              </w:rPr>
              <w:t>公司北美地区总经理：</w:t>
            </w:r>
            <w:r w:rsidRPr="002B433C">
              <w:rPr>
                <w:rFonts w:hint="eastAsia"/>
                <w:sz w:val="22"/>
                <w:szCs w:val="22"/>
              </w:rPr>
              <w:t>Matt Shaulis</w:t>
            </w:r>
          </w:p>
          <w:p w14:paraId="7289647C" w14:textId="77777777" w:rsidR="009A3FF6" w:rsidRPr="002B433C" w:rsidRDefault="009A3FF6" w:rsidP="008429E6">
            <w:pPr>
              <w:tabs>
                <w:tab w:val="left" w:pos="1014"/>
                <w:tab w:val="left" w:pos="4360"/>
                <w:tab w:val="left" w:pos="5704"/>
              </w:tabs>
              <w:adjustRightInd w:val="0"/>
              <w:spacing w:line="360" w:lineRule="auto"/>
              <w:contextualSpacing/>
              <w:rPr>
                <w:sz w:val="22"/>
                <w:szCs w:val="22"/>
              </w:rPr>
            </w:pPr>
            <w:r w:rsidRPr="002B433C">
              <w:rPr>
                <w:rFonts w:hint="eastAsia"/>
                <w:sz w:val="22"/>
                <w:szCs w:val="22"/>
              </w:rPr>
              <w:t>公司血液肿瘤首席医学官：</w:t>
            </w:r>
            <w:r w:rsidRPr="002B433C">
              <w:rPr>
                <w:rFonts w:hint="eastAsia"/>
                <w:sz w:val="22"/>
                <w:szCs w:val="22"/>
              </w:rPr>
              <w:t>Amit Agarwal</w:t>
            </w:r>
          </w:p>
          <w:p w14:paraId="1BE0EA87" w14:textId="77777777" w:rsidR="009A3FF6" w:rsidRPr="009F3D7D" w:rsidRDefault="009A3FF6" w:rsidP="008429E6">
            <w:pPr>
              <w:tabs>
                <w:tab w:val="left" w:pos="1014"/>
                <w:tab w:val="left" w:pos="4360"/>
                <w:tab w:val="left" w:pos="5704"/>
              </w:tabs>
              <w:adjustRightInd w:val="0"/>
              <w:spacing w:line="360" w:lineRule="auto"/>
              <w:contextualSpacing/>
              <w:rPr>
                <w:sz w:val="22"/>
                <w:szCs w:val="22"/>
              </w:rPr>
            </w:pPr>
            <w:r w:rsidRPr="002B433C">
              <w:rPr>
                <w:rFonts w:hint="eastAsia"/>
                <w:sz w:val="22"/>
                <w:szCs w:val="22"/>
              </w:rPr>
              <w:t>公司实体肿瘤首席医学官：</w:t>
            </w:r>
            <w:r w:rsidRPr="002B433C">
              <w:rPr>
                <w:rFonts w:hint="eastAsia"/>
                <w:sz w:val="22"/>
                <w:szCs w:val="22"/>
              </w:rPr>
              <w:t>Mark Lanasa</w:t>
            </w:r>
          </w:p>
        </w:tc>
      </w:tr>
      <w:tr w:rsidR="009A3FF6" w:rsidRPr="007324F3" w14:paraId="5616DD41" w14:textId="77777777" w:rsidTr="008429E6">
        <w:trPr>
          <w:jc w:val="center"/>
        </w:trPr>
        <w:tc>
          <w:tcPr>
            <w:tcW w:w="1526" w:type="dxa"/>
          </w:tcPr>
          <w:p w14:paraId="5F0CF843" w14:textId="77777777" w:rsidR="009A3FF6" w:rsidRPr="007324F3" w:rsidRDefault="009A3FF6" w:rsidP="008429E6">
            <w:pPr>
              <w:adjustRightInd w:val="0"/>
              <w:spacing w:line="360" w:lineRule="auto"/>
              <w:contextualSpacing/>
              <w:jc w:val="left"/>
              <w:rPr>
                <w:sz w:val="24"/>
              </w:rPr>
            </w:pPr>
            <w:r w:rsidRPr="007324F3">
              <w:rPr>
                <w:sz w:val="24"/>
              </w:rPr>
              <w:lastRenderedPageBreak/>
              <w:t>投资者关系活动主要内容介绍</w:t>
            </w:r>
          </w:p>
        </w:tc>
        <w:tc>
          <w:tcPr>
            <w:tcW w:w="7238" w:type="dxa"/>
          </w:tcPr>
          <w:p w14:paraId="0F9D1D4D" w14:textId="77777777" w:rsidR="009A3FF6" w:rsidRPr="007C3EE1" w:rsidRDefault="009A3FF6" w:rsidP="008429E6">
            <w:pPr>
              <w:overflowPunct w:val="0"/>
              <w:autoSpaceDE w:val="0"/>
              <w:autoSpaceDN w:val="0"/>
              <w:spacing w:line="360" w:lineRule="auto"/>
              <w:ind w:firstLineChars="200" w:firstLine="442"/>
              <w:rPr>
                <w:b/>
                <w:bCs/>
                <w:sz w:val="22"/>
                <w:szCs w:val="22"/>
                <w14:ligatures w14:val="standardContextual"/>
              </w:rPr>
            </w:pPr>
            <w:r w:rsidRPr="007C3EE1">
              <w:rPr>
                <w:rFonts w:hint="eastAsia"/>
                <w:b/>
                <w:bCs/>
                <w:sz w:val="22"/>
                <w:szCs w:val="22"/>
                <w14:ligatures w14:val="standardContextual"/>
              </w:rPr>
              <w:t>公司联合创始人、董事长兼首席执行官欧雷强概述业务最新进展：</w:t>
            </w:r>
          </w:p>
          <w:p w14:paraId="1979C939" w14:textId="77777777" w:rsidR="009A3FF6" w:rsidRPr="006671F3"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今年第二季度，我们在各项业务指标上均交出了一份非常强劲的成绩单。财务方面，本季度公司实现总收入</w:t>
            </w:r>
            <w:r w:rsidRPr="006671F3">
              <w:rPr>
                <w:rFonts w:hint="eastAsia"/>
                <w:sz w:val="22"/>
                <w:szCs w:val="22"/>
                <w14:ligatures w14:val="standardContextual"/>
              </w:rPr>
              <w:t>17</w:t>
            </w:r>
            <w:r w:rsidRPr="006671F3">
              <w:rPr>
                <w:rFonts w:hint="eastAsia"/>
                <w:sz w:val="22"/>
                <w:szCs w:val="22"/>
                <w14:ligatures w14:val="standardContextual"/>
              </w:rPr>
              <w:t>亿美元，美国存托股份（</w:t>
            </w:r>
            <w:r w:rsidRPr="006671F3">
              <w:rPr>
                <w:rFonts w:hint="eastAsia"/>
                <w:sz w:val="22"/>
                <w:szCs w:val="22"/>
                <w14:ligatures w14:val="standardContextual"/>
              </w:rPr>
              <w:t>ADS</w:t>
            </w:r>
            <w:r w:rsidRPr="006671F3">
              <w:rPr>
                <w:rFonts w:hint="eastAsia"/>
                <w:sz w:val="22"/>
                <w:szCs w:val="22"/>
                <w14:ligatures w14:val="standardContextual"/>
              </w:rPr>
              <w:t>）每股</w:t>
            </w:r>
            <w:r w:rsidRPr="006671F3">
              <w:rPr>
                <w:rFonts w:hint="eastAsia"/>
                <w:sz w:val="22"/>
                <w:szCs w:val="22"/>
                <w14:ligatures w14:val="standardContextual"/>
              </w:rPr>
              <w:t>GAAP</w:t>
            </w:r>
            <w:r w:rsidRPr="006671F3">
              <w:rPr>
                <w:rFonts w:hint="eastAsia"/>
                <w:sz w:val="22"/>
                <w:szCs w:val="22"/>
                <w14:ligatures w14:val="standardContextual"/>
              </w:rPr>
              <w:t>收益达</w:t>
            </w:r>
            <w:r w:rsidRPr="006671F3">
              <w:rPr>
                <w:rFonts w:hint="eastAsia"/>
                <w:sz w:val="22"/>
                <w:szCs w:val="22"/>
                <w14:ligatures w14:val="standardContextual"/>
              </w:rPr>
              <w:t>2.05</w:t>
            </w:r>
            <w:r w:rsidRPr="006671F3">
              <w:rPr>
                <w:rFonts w:hint="eastAsia"/>
                <w:sz w:val="22"/>
                <w:szCs w:val="22"/>
                <w14:ligatures w14:val="standardContextual"/>
              </w:rPr>
              <w:t>美元，同比分别实现</w:t>
            </w:r>
            <w:r w:rsidRPr="006671F3">
              <w:rPr>
                <w:rFonts w:hint="eastAsia"/>
                <w:sz w:val="22"/>
                <w:szCs w:val="22"/>
                <w14:ligatures w14:val="standardContextual"/>
              </w:rPr>
              <w:t>30%</w:t>
            </w:r>
            <w:r w:rsidRPr="006671F3">
              <w:rPr>
                <w:rFonts w:hint="eastAsia"/>
                <w:sz w:val="22"/>
                <w:szCs w:val="22"/>
                <w14:ligatures w14:val="standardContextual"/>
              </w:rPr>
              <w:t>和</w:t>
            </w:r>
            <w:r w:rsidRPr="006671F3">
              <w:rPr>
                <w:rFonts w:hint="eastAsia"/>
                <w:sz w:val="22"/>
                <w:szCs w:val="22"/>
                <w14:ligatures w14:val="standardContextual"/>
              </w:rPr>
              <w:t>144%</w:t>
            </w:r>
            <w:r w:rsidRPr="006671F3">
              <w:rPr>
                <w:rFonts w:hint="eastAsia"/>
                <w:sz w:val="22"/>
                <w:szCs w:val="22"/>
                <w14:ligatures w14:val="standardContextual"/>
              </w:rPr>
              <w:t>的增长。作为公司的基石产品，</w:t>
            </w:r>
            <w:r w:rsidRPr="006671F3">
              <w:rPr>
                <w:rFonts w:hint="eastAsia"/>
                <w:sz w:val="22"/>
                <w:szCs w:val="22"/>
                <w14:ligatures w14:val="standardContextual"/>
              </w:rPr>
              <w:t>BTK</w:t>
            </w:r>
            <w:r w:rsidRPr="006671F3">
              <w:rPr>
                <w:rFonts w:hint="eastAsia"/>
                <w:sz w:val="22"/>
                <w:szCs w:val="22"/>
                <w14:ligatures w14:val="standardContextual"/>
              </w:rPr>
              <w:t>抑制剂百悦泽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在市场上的表现持续超越我们的高预期。自首次上市</w:t>
            </w:r>
            <w:r w:rsidRPr="006671F3">
              <w:rPr>
                <w:rFonts w:hint="eastAsia"/>
                <w:sz w:val="22"/>
                <w:szCs w:val="22"/>
                <w14:ligatures w14:val="standardContextual"/>
              </w:rPr>
              <w:t>6</w:t>
            </w:r>
            <w:r w:rsidRPr="006671F3">
              <w:rPr>
                <w:rFonts w:hint="eastAsia"/>
                <w:sz w:val="22"/>
                <w:szCs w:val="22"/>
                <w14:ligatures w14:val="standardContextual"/>
              </w:rPr>
              <w:t>年半以来，百悦泽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交出了一份令人瞩目的答卷：新患者启动治疗规模持续保持强劲高位，早期用药持续性也呈现出积极趋势。同时，我们在所有</w:t>
            </w:r>
            <w:r w:rsidRPr="006671F3">
              <w:rPr>
                <w:rFonts w:hint="eastAsia"/>
                <w:sz w:val="22"/>
                <w:szCs w:val="22"/>
                <w14:ligatures w14:val="standardContextual"/>
              </w:rPr>
              <w:t>5</w:t>
            </w:r>
            <w:r w:rsidRPr="006671F3">
              <w:rPr>
                <w:rFonts w:hint="eastAsia"/>
                <w:sz w:val="22"/>
                <w:szCs w:val="22"/>
                <w14:ligatures w14:val="standardContextual"/>
              </w:rPr>
              <w:t>个获批适应症上均实现了强劲增长。基于这些强劲的业务表现，我们将</w:t>
            </w:r>
            <w:r w:rsidRPr="006671F3">
              <w:rPr>
                <w:rFonts w:hint="eastAsia"/>
                <w:sz w:val="22"/>
                <w:szCs w:val="22"/>
                <w14:ligatures w14:val="standardContextual"/>
              </w:rPr>
              <w:t>2026</w:t>
            </w:r>
            <w:r w:rsidRPr="006671F3">
              <w:rPr>
                <w:rFonts w:hint="eastAsia"/>
                <w:sz w:val="22"/>
                <w:szCs w:val="22"/>
                <w14:ligatures w14:val="standardContextual"/>
              </w:rPr>
              <w:t>年全年的收入和</w:t>
            </w:r>
            <w:r w:rsidRPr="006671F3">
              <w:rPr>
                <w:rFonts w:hint="eastAsia"/>
                <w:sz w:val="22"/>
                <w:szCs w:val="22"/>
                <w14:ligatures w14:val="standardContextual"/>
              </w:rPr>
              <w:t>GAAP</w:t>
            </w:r>
            <w:r w:rsidRPr="006671F3">
              <w:rPr>
                <w:rFonts w:hint="eastAsia"/>
                <w:sz w:val="22"/>
                <w:szCs w:val="22"/>
                <w14:ligatures w14:val="standardContextual"/>
              </w:rPr>
              <w:t>经营利润指引分别上调了</w:t>
            </w:r>
            <w:r w:rsidRPr="006671F3">
              <w:rPr>
                <w:rFonts w:hint="eastAsia"/>
                <w:sz w:val="22"/>
                <w:szCs w:val="22"/>
                <w14:ligatures w14:val="standardContextual"/>
              </w:rPr>
              <w:t>3</w:t>
            </w:r>
            <w:r w:rsidRPr="006671F3">
              <w:rPr>
                <w:rFonts w:hint="eastAsia"/>
                <w:sz w:val="22"/>
                <w:szCs w:val="22"/>
                <w14:ligatures w14:val="standardContextual"/>
              </w:rPr>
              <w:t>亿美元和</w:t>
            </w:r>
            <w:r w:rsidRPr="006671F3">
              <w:rPr>
                <w:rFonts w:hint="eastAsia"/>
                <w:sz w:val="22"/>
                <w:szCs w:val="22"/>
                <w14:ligatures w14:val="standardContextual"/>
              </w:rPr>
              <w:t>2.5</w:t>
            </w:r>
            <w:r w:rsidRPr="006671F3">
              <w:rPr>
                <w:rFonts w:hint="eastAsia"/>
                <w:sz w:val="22"/>
                <w:szCs w:val="22"/>
                <w14:ligatures w14:val="standardContextual"/>
              </w:rPr>
              <w:t>亿美元。稍后，</w:t>
            </w:r>
            <w:r w:rsidRPr="006671F3">
              <w:rPr>
                <w:rFonts w:hint="eastAsia"/>
                <w:sz w:val="22"/>
                <w:szCs w:val="22"/>
                <w14:ligatures w14:val="standardContextual"/>
              </w:rPr>
              <w:t>Aaron</w:t>
            </w:r>
            <w:r w:rsidRPr="006671F3">
              <w:rPr>
                <w:rFonts w:hint="eastAsia"/>
                <w:sz w:val="22"/>
                <w:szCs w:val="22"/>
                <w14:ligatures w14:val="standardContextual"/>
              </w:rPr>
              <w:t>将为大家作详细介绍。第二季度，除了令人瞩目的财务业绩，我们的研发管线也取得了同等重要的里程碑式进展。其中，百悦达</w:t>
            </w:r>
            <w:r w:rsidRPr="00095040">
              <w:rPr>
                <w:rFonts w:hint="eastAsia"/>
                <w:sz w:val="22"/>
                <w:szCs w:val="22"/>
                <w:vertAlign w:val="superscript"/>
                <w14:ligatures w14:val="standardContextual"/>
              </w:rPr>
              <w:t>®</w:t>
            </w:r>
            <w:r w:rsidRPr="006671F3">
              <w:rPr>
                <w:rFonts w:hint="eastAsia"/>
                <w:sz w:val="22"/>
                <w:szCs w:val="22"/>
                <w14:ligatures w14:val="standardContextual"/>
              </w:rPr>
              <w:t>正式获得美国</w:t>
            </w:r>
            <w:r w:rsidRPr="006671F3">
              <w:rPr>
                <w:rFonts w:hint="eastAsia"/>
                <w:sz w:val="22"/>
                <w:szCs w:val="22"/>
                <w14:ligatures w14:val="standardContextual"/>
              </w:rPr>
              <w:t>FDA</w:t>
            </w:r>
            <w:r w:rsidRPr="006671F3">
              <w:rPr>
                <w:rFonts w:hint="eastAsia"/>
                <w:sz w:val="22"/>
                <w:szCs w:val="22"/>
                <w14:ligatures w14:val="standardContextual"/>
              </w:rPr>
              <w:t>批准，成为套细胞淋巴瘤领域首个且唯一的</w:t>
            </w:r>
            <w:r w:rsidRPr="006671F3">
              <w:rPr>
                <w:rFonts w:hint="eastAsia"/>
                <w:sz w:val="22"/>
                <w:szCs w:val="22"/>
                <w14:ligatures w14:val="standardContextual"/>
              </w:rPr>
              <w:t>BCL2</w:t>
            </w:r>
            <w:r w:rsidRPr="006671F3">
              <w:rPr>
                <w:rFonts w:hint="eastAsia"/>
                <w:sz w:val="22"/>
                <w:szCs w:val="22"/>
                <w14:ligatures w14:val="standardContextual"/>
              </w:rPr>
              <w:t>抑制剂；百悦泽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w:t>
            </w:r>
            <w:r w:rsidRPr="006671F3">
              <w:rPr>
                <w:rFonts w:hint="eastAsia"/>
                <w:sz w:val="22"/>
                <w:szCs w:val="22"/>
                <w14:ligatures w14:val="standardContextual"/>
              </w:rPr>
              <w:t>3</w:t>
            </w:r>
            <w:r w:rsidRPr="006671F3">
              <w:rPr>
                <w:rFonts w:hint="eastAsia"/>
                <w:sz w:val="22"/>
                <w:szCs w:val="22"/>
                <w14:ligatures w14:val="standardContextual"/>
              </w:rPr>
              <w:t>期</w:t>
            </w:r>
            <w:r w:rsidRPr="006671F3">
              <w:rPr>
                <w:rFonts w:hint="eastAsia"/>
                <w:sz w:val="22"/>
                <w:szCs w:val="22"/>
                <w14:ligatures w14:val="standardContextual"/>
              </w:rPr>
              <w:t>MANGROVE</w:t>
            </w:r>
            <w:r w:rsidRPr="006671F3">
              <w:rPr>
                <w:rFonts w:hint="eastAsia"/>
                <w:sz w:val="22"/>
                <w:szCs w:val="22"/>
                <w14:ligatures w14:val="standardContextual"/>
              </w:rPr>
              <w:t>研究也取得了积极结果。我们还宣布将斥资</w:t>
            </w:r>
            <w:r w:rsidRPr="006671F3">
              <w:rPr>
                <w:rFonts w:hint="eastAsia"/>
                <w:sz w:val="22"/>
                <w:szCs w:val="22"/>
                <w14:ligatures w14:val="standardContextual"/>
              </w:rPr>
              <w:t>3</w:t>
            </w:r>
            <w:r w:rsidRPr="006671F3">
              <w:rPr>
                <w:rFonts w:hint="eastAsia"/>
                <w:sz w:val="22"/>
                <w:szCs w:val="22"/>
                <w14:ligatures w14:val="standardContextual"/>
              </w:rPr>
              <w:t>亿美元，扩建位于新泽西州霍普韦尔的旗舰生产基地。</w:t>
            </w:r>
          </w:p>
          <w:p w14:paraId="702956A9" w14:textId="77777777" w:rsidR="009A3FF6"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MANGROVE</w:t>
            </w:r>
            <w:r w:rsidRPr="006671F3">
              <w:rPr>
                <w:rFonts w:hint="eastAsia"/>
                <w:sz w:val="22"/>
                <w:szCs w:val="22"/>
                <w14:ligatures w14:val="standardContextual"/>
              </w:rPr>
              <w:t>研究的积极结果，进一步巩固了百悦泽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作为基石性</w:t>
            </w:r>
            <w:r w:rsidRPr="006671F3">
              <w:rPr>
                <w:rFonts w:hint="eastAsia"/>
                <w:sz w:val="22"/>
                <w:szCs w:val="22"/>
                <w14:ligatures w14:val="standardContextual"/>
              </w:rPr>
              <w:t>BTK</w:t>
            </w:r>
            <w:r w:rsidRPr="006671F3">
              <w:rPr>
                <w:rFonts w:hint="eastAsia"/>
                <w:sz w:val="22"/>
                <w:szCs w:val="22"/>
                <w14:ligatures w14:val="standardContextual"/>
              </w:rPr>
              <w:t>抑制剂不断累积的循证优势。</w:t>
            </w:r>
            <w:r w:rsidRPr="006671F3">
              <w:rPr>
                <w:rFonts w:hint="eastAsia"/>
                <w:sz w:val="22"/>
                <w:szCs w:val="22"/>
                <w14:ligatures w14:val="standardContextual"/>
              </w:rPr>
              <w:t>MANGROVE</w:t>
            </w:r>
            <w:r w:rsidRPr="006671F3">
              <w:rPr>
                <w:rFonts w:hint="eastAsia"/>
                <w:sz w:val="22"/>
                <w:szCs w:val="22"/>
                <w14:ligatures w14:val="standardContextual"/>
              </w:rPr>
              <w:t>研究的积极结果令人振奋，核心原因有以下两点：首先，它为一线套细胞淋巴瘤患者提供了首个无化疗治疗方案。其次，我们相信，数据为证，疗效不言自明。我们有信心，这一基于百悦泽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的无化疗方案，有望成为未来主要市场每年约</w:t>
            </w:r>
            <w:r w:rsidRPr="006671F3">
              <w:rPr>
                <w:rFonts w:hint="eastAsia"/>
                <w:sz w:val="22"/>
                <w:szCs w:val="22"/>
                <w14:ligatures w14:val="standardContextual"/>
              </w:rPr>
              <w:t>2.1</w:t>
            </w:r>
            <w:r w:rsidRPr="006671F3">
              <w:rPr>
                <w:rFonts w:hint="eastAsia"/>
                <w:sz w:val="22"/>
                <w:szCs w:val="22"/>
                <w14:ligatures w14:val="standardContextual"/>
              </w:rPr>
              <w:t>万例新确诊套细胞淋巴瘤患者的标准治疗。我们计划于</w:t>
            </w:r>
            <w:r w:rsidRPr="006671F3">
              <w:rPr>
                <w:rFonts w:hint="eastAsia"/>
                <w:sz w:val="22"/>
                <w:szCs w:val="22"/>
                <w14:ligatures w14:val="standardContextual"/>
              </w:rPr>
              <w:t>2026</w:t>
            </w:r>
            <w:r w:rsidRPr="006671F3">
              <w:rPr>
                <w:rFonts w:hint="eastAsia"/>
                <w:sz w:val="22"/>
                <w:szCs w:val="22"/>
                <w14:ligatures w14:val="standardContextual"/>
              </w:rPr>
              <w:t>年下半年向全球监管机构递交上市申请，并期待在即将召开的医学会议上公布完整数据。</w:t>
            </w:r>
          </w:p>
          <w:p w14:paraId="7CEE921E" w14:textId="77777777" w:rsidR="009A3FF6" w:rsidRPr="006671F3"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接下来为大家介绍百悦泽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的商业化成果。第二季度，百悦泽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全球收入超过</w:t>
            </w:r>
            <w:r w:rsidRPr="006671F3">
              <w:rPr>
                <w:rFonts w:hint="eastAsia"/>
                <w:sz w:val="22"/>
                <w:szCs w:val="22"/>
                <w14:ligatures w14:val="standardContextual"/>
              </w:rPr>
              <w:t>12</w:t>
            </w:r>
            <w:r w:rsidRPr="006671F3">
              <w:rPr>
                <w:rFonts w:hint="eastAsia"/>
                <w:sz w:val="22"/>
                <w:szCs w:val="22"/>
                <w14:ligatures w14:val="standardContextual"/>
              </w:rPr>
              <w:t>亿美元，同比增长</w:t>
            </w:r>
            <w:r w:rsidRPr="006671F3">
              <w:rPr>
                <w:rFonts w:hint="eastAsia"/>
                <w:sz w:val="22"/>
                <w:szCs w:val="22"/>
                <w14:ligatures w14:val="standardContextual"/>
              </w:rPr>
              <w:t>31%</w:t>
            </w:r>
            <w:r w:rsidRPr="006671F3">
              <w:rPr>
                <w:rFonts w:hint="eastAsia"/>
                <w:sz w:val="22"/>
                <w:szCs w:val="22"/>
                <w14:ligatures w14:val="standardContextual"/>
              </w:rPr>
              <w:t>。在美国及全球市场，百悦泽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均稳居</w:t>
            </w:r>
            <w:r w:rsidRPr="006671F3">
              <w:rPr>
                <w:rFonts w:hint="eastAsia"/>
                <w:sz w:val="22"/>
                <w:szCs w:val="22"/>
                <w14:ligatures w14:val="standardContextual"/>
              </w:rPr>
              <w:lastRenderedPageBreak/>
              <w:t>BTK</w:t>
            </w:r>
            <w:r w:rsidRPr="006671F3">
              <w:rPr>
                <w:rFonts w:hint="eastAsia"/>
                <w:sz w:val="22"/>
                <w:szCs w:val="22"/>
                <w14:ligatures w14:val="standardContextual"/>
              </w:rPr>
              <w:t>抑制剂首位，并拥有同类药物中最广泛的获批适应症，目前已获批用于</w:t>
            </w:r>
            <w:r w:rsidRPr="006671F3">
              <w:rPr>
                <w:rFonts w:hint="eastAsia"/>
                <w:sz w:val="22"/>
                <w:szCs w:val="22"/>
                <w14:ligatures w14:val="standardContextual"/>
              </w:rPr>
              <w:t>5</w:t>
            </w:r>
            <w:r w:rsidRPr="006671F3">
              <w:rPr>
                <w:rFonts w:hint="eastAsia"/>
                <w:sz w:val="22"/>
                <w:szCs w:val="22"/>
                <w14:ligatures w14:val="standardContextual"/>
              </w:rPr>
              <w:t>种</w:t>
            </w:r>
            <w:r w:rsidRPr="006671F3">
              <w:rPr>
                <w:rFonts w:hint="eastAsia"/>
                <w:sz w:val="22"/>
                <w:szCs w:val="22"/>
                <w14:ligatures w14:val="standardContextual"/>
              </w:rPr>
              <w:t>B</w:t>
            </w:r>
            <w:r w:rsidRPr="006671F3">
              <w:rPr>
                <w:rFonts w:hint="eastAsia"/>
                <w:sz w:val="22"/>
                <w:szCs w:val="22"/>
                <w14:ligatures w14:val="standardContextual"/>
              </w:rPr>
              <w:t>细胞恶性肿瘤的治疗。我们经常在讨论</w:t>
            </w:r>
            <w:r w:rsidRPr="006671F3">
              <w:rPr>
                <w:rFonts w:hint="eastAsia"/>
                <w:sz w:val="22"/>
                <w:szCs w:val="22"/>
                <w14:ligatures w14:val="standardContextual"/>
              </w:rPr>
              <w:t>CLL</w:t>
            </w:r>
            <w:r w:rsidRPr="006671F3">
              <w:rPr>
                <w:rFonts w:hint="eastAsia"/>
                <w:sz w:val="22"/>
                <w:szCs w:val="22"/>
                <w14:ligatures w14:val="standardContextual"/>
              </w:rPr>
              <w:t>时提及百悦泽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，这自有其道理。但需要记住的是，对于患有其他</w:t>
            </w:r>
            <w:r w:rsidRPr="006671F3">
              <w:rPr>
                <w:rFonts w:hint="eastAsia"/>
                <w:sz w:val="22"/>
                <w:szCs w:val="22"/>
                <w14:ligatures w14:val="standardContextual"/>
              </w:rPr>
              <w:t>B</w:t>
            </w:r>
            <w:r w:rsidRPr="006671F3">
              <w:rPr>
                <w:rFonts w:hint="eastAsia"/>
                <w:sz w:val="22"/>
                <w:szCs w:val="22"/>
                <w14:ligatures w14:val="standardContextual"/>
              </w:rPr>
              <w:t>细胞恶性肿瘤的患者而言，包括套细胞淋巴瘤（</w:t>
            </w:r>
            <w:r w:rsidRPr="006671F3">
              <w:rPr>
                <w:rFonts w:hint="eastAsia"/>
                <w:sz w:val="22"/>
                <w:szCs w:val="22"/>
                <w14:ligatures w14:val="standardContextual"/>
              </w:rPr>
              <w:t>MCL</w:t>
            </w:r>
            <w:r w:rsidRPr="006671F3">
              <w:rPr>
                <w:rFonts w:hint="eastAsia"/>
                <w:sz w:val="22"/>
                <w:szCs w:val="22"/>
                <w14:ligatures w14:val="standardContextual"/>
              </w:rPr>
              <w:t>）、华氏巨球蛋白血症、边缘区淋巴瘤和滤泡性淋巴瘤，百悦泽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也是一种非常重要的治疗选择。百悦泽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已在</w:t>
            </w:r>
            <w:r w:rsidRPr="006671F3">
              <w:rPr>
                <w:rFonts w:hint="eastAsia"/>
                <w:sz w:val="22"/>
                <w:szCs w:val="22"/>
                <w14:ligatures w14:val="standardContextual"/>
              </w:rPr>
              <w:t>80</w:t>
            </w:r>
            <w:r w:rsidRPr="006671F3">
              <w:rPr>
                <w:rFonts w:hint="eastAsia"/>
                <w:sz w:val="22"/>
                <w:szCs w:val="22"/>
                <w14:ligatures w14:val="standardContextual"/>
              </w:rPr>
              <w:t>多个市场治疗超过</w:t>
            </w:r>
            <w:r w:rsidRPr="006671F3">
              <w:rPr>
                <w:rFonts w:hint="eastAsia"/>
                <w:sz w:val="22"/>
                <w:szCs w:val="22"/>
                <w14:ligatures w14:val="standardContextual"/>
              </w:rPr>
              <w:t>30</w:t>
            </w:r>
            <w:r w:rsidRPr="006671F3">
              <w:rPr>
                <w:rFonts w:hint="eastAsia"/>
                <w:sz w:val="22"/>
                <w:szCs w:val="22"/>
                <w14:ligatures w14:val="standardContextual"/>
              </w:rPr>
              <w:t>万例患者。然而，仅凭市场份额并不能完全概括百悦泽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的优势。百悦泽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的制胜关键在于科学实力。这包括三个部分：差异化设计、差异化临床结果和差异化真实世界证据。</w:t>
            </w:r>
          </w:p>
          <w:p w14:paraId="67688B7F" w14:textId="77777777" w:rsidR="009A3FF6" w:rsidRPr="006671F3"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在百济神州，我们致力于持续产出并分享严谨的临床证据，全面阐释我们药物的特征，不负医患所托。百悦泽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作为单药治疗积累</w:t>
            </w:r>
            <w:r>
              <w:rPr>
                <w:rFonts w:hint="eastAsia"/>
                <w:sz w:val="22"/>
                <w:szCs w:val="22"/>
                <w14:ligatures w14:val="standardContextual"/>
              </w:rPr>
              <w:t>了</w:t>
            </w:r>
            <w:r w:rsidRPr="006671F3">
              <w:rPr>
                <w:rFonts w:hint="eastAsia"/>
                <w:sz w:val="22"/>
                <w:szCs w:val="22"/>
                <w14:ligatures w14:val="standardContextual"/>
              </w:rPr>
              <w:t>丰富</w:t>
            </w:r>
            <w:r>
              <w:rPr>
                <w:rFonts w:hint="eastAsia"/>
                <w:sz w:val="22"/>
                <w:szCs w:val="22"/>
                <w14:ligatures w14:val="standardContextual"/>
              </w:rPr>
              <w:t>的</w:t>
            </w:r>
            <w:r w:rsidRPr="006671F3">
              <w:rPr>
                <w:rFonts w:hint="eastAsia"/>
                <w:sz w:val="22"/>
                <w:szCs w:val="22"/>
                <w14:ligatures w14:val="standardContextual"/>
              </w:rPr>
              <w:t>3</w:t>
            </w:r>
            <w:r w:rsidRPr="006671F3">
              <w:rPr>
                <w:rFonts w:hint="eastAsia"/>
                <w:sz w:val="22"/>
                <w:szCs w:val="22"/>
                <w14:ligatures w14:val="standardContextual"/>
              </w:rPr>
              <w:t>期数据，百悦泽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公布的</w:t>
            </w:r>
            <w:r w:rsidRPr="006671F3">
              <w:rPr>
                <w:rFonts w:hint="eastAsia"/>
                <w:sz w:val="22"/>
                <w:szCs w:val="22"/>
                <w14:ligatures w14:val="standardContextual"/>
              </w:rPr>
              <w:t>3</w:t>
            </w:r>
            <w:r w:rsidRPr="006671F3">
              <w:rPr>
                <w:rFonts w:hint="eastAsia"/>
                <w:sz w:val="22"/>
                <w:szCs w:val="22"/>
                <w14:ligatures w14:val="standardContextual"/>
              </w:rPr>
              <w:t>期临床数据在所有</w:t>
            </w:r>
            <w:r w:rsidRPr="006671F3">
              <w:rPr>
                <w:rFonts w:hint="eastAsia"/>
                <w:sz w:val="22"/>
                <w:szCs w:val="22"/>
                <w14:ligatures w14:val="standardContextual"/>
              </w:rPr>
              <w:t>BTK</w:t>
            </w:r>
            <w:r w:rsidRPr="006671F3">
              <w:rPr>
                <w:rFonts w:hint="eastAsia"/>
                <w:sz w:val="22"/>
                <w:szCs w:val="22"/>
                <w14:ligatures w14:val="standardContextual"/>
              </w:rPr>
              <w:t>抑制剂单药治疗中最多。我们</w:t>
            </w:r>
            <w:r>
              <w:rPr>
                <w:rFonts w:hint="eastAsia"/>
                <w:sz w:val="22"/>
                <w:szCs w:val="22"/>
                <w14:ligatures w14:val="standardContextual"/>
              </w:rPr>
              <w:t>也正</w:t>
            </w:r>
            <w:r w:rsidRPr="006671F3">
              <w:rPr>
                <w:rFonts w:hint="eastAsia"/>
                <w:sz w:val="22"/>
                <w:szCs w:val="22"/>
                <w14:ligatures w14:val="standardContextual"/>
              </w:rPr>
              <w:t>在联合用药领域不断积累大量数据，在所有</w:t>
            </w:r>
            <w:r w:rsidRPr="006671F3">
              <w:rPr>
                <w:rFonts w:hint="eastAsia"/>
                <w:sz w:val="22"/>
                <w:szCs w:val="22"/>
                <w14:ligatures w14:val="standardContextual"/>
              </w:rPr>
              <w:t>BTK</w:t>
            </w:r>
            <w:r w:rsidRPr="006671F3">
              <w:rPr>
                <w:rFonts w:hint="eastAsia"/>
                <w:sz w:val="22"/>
                <w:szCs w:val="22"/>
                <w14:ligatures w14:val="standardContextual"/>
              </w:rPr>
              <w:t>抑制剂药物中，百悦泽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已公布和进行中的</w:t>
            </w:r>
            <w:r w:rsidRPr="006671F3">
              <w:rPr>
                <w:rFonts w:hint="eastAsia"/>
                <w:sz w:val="22"/>
                <w:szCs w:val="22"/>
                <w14:ligatures w14:val="standardContextual"/>
              </w:rPr>
              <w:t>3</w:t>
            </w:r>
            <w:r w:rsidRPr="006671F3">
              <w:rPr>
                <w:rFonts w:hint="eastAsia"/>
                <w:sz w:val="22"/>
                <w:szCs w:val="22"/>
                <w14:ligatures w14:val="standardContextual"/>
              </w:rPr>
              <w:t>期临床试验数据最多。这充分展示了百悦泽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临床开发计划的庞大体量，这有别于同行更为聚焦的策略。除</w:t>
            </w:r>
            <w:r w:rsidRPr="006671F3">
              <w:rPr>
                <w:rFonts w:hint="eastAsia"/>
                <w:sz w:val="22"/>
                <w:szCs w:val="22"/>
                <w14:ligatures w14:val="standardContextual"/>
              </w:rPr>
              <w:t>MANGROVE</w:t>
            </w:r>
            <w:r w:rsidRPr="006671F3">
              <w:rPr>
                <w:rFonts w:hint="eastAsia"/>
                <w:sz w:val="22"/>
                <w:szCs w:val="22"/>
                <w14:ligatures w14:val="standardContextual"/>
              </w:rPr>
              <w:t>研究外，未来三年内，百悦泽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还将迎来其他四项有望扩展市场的</w:t>
            </w:r>
            <w:r w:rsidRPr="006671F3">
              <w:rPr>
                <w:rFonts w:hint="eastAsia"/>
                <w:sz w:val="22"/>
                <w:szCs w:val="22"/>
                <w14:ligatures w14:val="standardContextual"/>
              </w:rPr>
              <w:t>3</w:t>
            </w:r>
            <w:r w:rsidRPr="006671F3">
              <w:rPr>
                <w:rFonts w:hint="eastAsia"/>
                <w:sz w:val="22"/>
                <w:szCs w:val="22"/>
                <w14:ligatures w14:val="standardContextual"/>
              </w:rPr>
              <w:t>期研究结果公布。这一系列重要数据的发布，将在未来进一步扩充百悦泽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的循证基础，并推动其获批适应症的持续拓展。</w:t>
            </w:r>
          </w:p>
          <w:p w14:paraId="30BC780E" w14:textId="77777777" w:rsidR="009A3FF6" w:rsidRPr="006671F3"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接下来，让我们简要回顾一下百悦泽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卓越表现的科学原理。从一开始，百悦泽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的设计初衷就是通过其卓越的效价与药代动力学（</w:t>
            </w:r>
            <w:r w:rsidRPr="006671F3">
              <w:rPr>
                <w:rFonts w:hint="eastAsia"/>
                <w:sz w:val="22"/>
                <w:szCs w:val="22"/>
                <w14:ligatures w14:val="standardContextual"/>
              </w:rPr>
              <w:t>PK</w:t>
            </w:r>
            <w:r w:rsidRPr="006671F3">
              <w:rPr>
                <w:rFonts w:hint="eastAsia"/>
                <w:sz w:val="22"/>
                <w:szCs w:val="22"/>
                <w14:ligatures w14:val="standardContextual"/>
              </w:rPr>
              <w:t>）特征，实现对</w:t>
            </w:r>
            <w:r w:rsidRPr="006671F3">
              <w:rPr>
                <w:rFonts w:hint="eastAsia"/>
                <w:sz w:val="22"/>
                <w:szCs w:val="22"/>
                <w14:ligatures w14:val="standardContextual"/>
              </w:rPr>
              <w:t>BTK</w:t>
            </w:r>
            <w:r w:rsidRPr="006671F3">
              <w:rPr>
                <w:rFonts w:hint="eastAsia"/>
                <w:sz w:val="22"/>
                <w:szCs w:val="22"/>
                <w14:ligatures w14:val="standardContextual"/>
              </w:rPr>
              <w:t>的完全且持续的抑制。我们的科学假设非常明确：持续的</w:t>
            </w:r>
            <w:r w:rsidRPr="006671F3">
              <w:rPr>
                <w:rFonts w:hint="eastAsia"/>
                <w:sz w:val="22"/>
                <w:szCs w:val="22"/>
                <w14:ligatures w14:val="standardContextual"/>
              </w:rPr>
              <w:t>BTK</w:t>
            </w:r>
            <w:r w:rsidRPr="006671F3">
              <w:rPr>
                <w:rFonts w:hint="eastAsia"/>
                <w:sz w:val="22"/>
                <w:szCs w:val="22"/>
                <w14:ligatures w14:val="standardContextual"/>
              </w:rPr>
              <w:t>靶点覆盖，必将带来更优的临床疗效。过去十余年的临床与真实世界证据已充分印证了这一假设——这正是接下来要展示的核心内容。</w:t>
            </w:r>
          </w:p>
          <w:p w14:paraId="495680A9" w14:textId="77777777" w:rsidR="009A3FF6" w:rsidRPr="006671F3"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在此我想强调，百悦泽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是目前唯一在头对头随机试验中，证实无进展生存期（</w:t>
            </w:r>
            <w:r w:rsidRPr="006671F3">
              <w:rPr>
                <w:rFonts w:hint="eastAsia"/>
                <w:sz w:val="22"/>
                <w:szCs w:val="22"/>
                <w14:ligatures w14:val="standardContextual"/>
              </w:rPr>
              <w:t>PFS</w:t>
            </w:r>
            <w:r w:rsidRPr="006671F3">
              <w:rPr>
                <w:rFonts w:hint="eastAsia"/>
                <w:sz w:val="22"/>
                <w:szCs w:val="22"/>
                <w14:ligatures w14:val="standardContextual"/>
              </w:rPr>
              <w:t>）优效于伊布替尼的</w:t>
            </w:r>
            <w:r w:rsidRPr="006671F3">
              <w:rPr>
                <w:rFonts w:hint="eastAsia"/>
                <w:sz w:val="22"/>
                <w:szCs w:val="22"/>
                <w14:ligatures w14:val="standardContextual"/>
              </w:rPr>
              <w:t>BTK</w:t>
            </w:r>
            <w:r w:rsidRPr="006671F3">
              <w:rPr>
                <w:rFonts w:hint="eastAsia"/>
                <w:sz w:val="22"/>
                <w:szCs w:val="22"/>
                <w14:ligatures w14:val="standardContextual"/>
              </w:rPr>
              <w:t>抑制剂。在</w:t>
            </w:r>
            <w:r w:rsidRPr="006671F3">
              <w:rPr>
                <w:rFonts w:hint="eastAsia"/>
                <w:sz w:val="22"/>
                <w:szCs w:val="22"/>
                <w14:ligatures w14:val="standardContextual"/>
              </w:rPr>
              <w:t>ALPINE</w:t>
            </w:r>
            <w:r w:rsidRPr="006671F3">
              <w:rPr>
                <w:rFonts w:hint="eastAsia"/>
                <w:sz w:val="22"/>
                <w:szCs w:val="22"/>
                <w14:ligatures w14:val="standardContextual"/>
              </w:rPr>
              <w:t>研究中，百悦泽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的风险比为</w:t>
            </w:r>
            <w:r w:rsidRPr="006671F3">
              <w:rPr>
                <w:rFonts w:hint="eastAsia"/>
                <w:sz w:val="22"/>
                <w:szCs w:val="22"/>
                <w14:ligatures w14:val="standardContextual"/>
              </w:rPr>
              <w:t>0.69</w:t>
            </w:r>
            <w:r w:rsidRPr="006671F3">
              <w:rPr>
                <w:rFonts w:hint="eastAsia"/>
                <w:sz w:val="22"/>
                <w:szCs w:val="22"/>
                <w14:ligatures w14:val="standardContextual"/>
              </w:rPr>
              <w:t>，且在中位随访达</w:t>
            </w:r>
            <w:r w:rsidRPr="006671F3">
              <w:rPr>
                <w:rFonts w:hint="eastAsia"/>
                <w:sz w:val="22"/>
                <w:szCs w:val="22"/>
                <w14:ligatures w14:val="standardContextual"/>
              </w:rPr>
              <w:t>42.5</w:t>
            </w:r>
            <w:r w:rsidRPr="006671F3">
              <w:rPr>
                <w:rFonts w:hint="eastAsia"/>
                <w:sz w:val="22"/>
                <w:szCs w:val="22"/>
                <w14:ligatures w14:val="standardContextual"/>
              </w:rPr>
              <w:t>个月时，生存曲线的分离依然得以维持。而在</w:t>
            </w:r>
            <w:r w:rsidRPr="006671F3">
              <w:rPr>
                <w:rFonts w:hint="eastAsia"/>
                <w:sz w:val="22"/>
                <w:szCs w:val="22"/>
                <w14:ligatures w14:val="standardContextual"/>
              </w:rPr>
              <w:t>ELEVATE-RR</w:t>
            </w:r>
            <w:r w:rsidRPr="006671F3">
              <w:rPr>
                <w:rFonts w:hint="eastAsia"/>
                <w:sz w:val="22"/>
                <w:szCs w:val="22"/>
                <w14:ligatures w14:val="standardContextual"/>
              </w:rPr>
              <w:t>研究中，阿可替尼在早期虽与伊布替尼的生存曲线出现分离，但该优势未能持续——两条曲线随后发生交叉，最终风险比为</w:t>
            </w:r>
            <w:r w:rsidRPr="006671F3">
              <w:rPr>
                <w:rFonts w:hint="eastAsia"/>
                <w:sz w:val="22"/>
                <w:szCs w:val="22"/>
                <w14:ligatures w14:val="standardContextual"/>
              </w:rPr>
              <w:t>1.00</w:t>
            </w:r>
            <w:r w:rsidRPr="006671F3">
              <w:rPr>
                <w:rFonts w:hint="eastAsia"/>
                <w:sz w:val="22"/>
                <w:szCs w:val="22"/>
                <w14:ligatures w14:val="standardContextual"/>
              </w:rPr>
              <w:t>。在</w:t>
            </w:r>
            <w:r w:rsidRPr="006671F3">
              <w:rPr>
                <w:rFonts w:hint="eastAsia"/>
                <w:sz w:val="22"/>
                <w:szCs w:val="22"/>
                <w14:ligatures w14:val="standardContextual"/>
              </w:rPr>
              <w:t>BRUIN-314</w:t>
            </w:r>
            <w:r w:rsidRPr="006671F3">
              <w:rPr>
                <w:rFonts w:hint="eastAsia"/>
                <w:sz w:val="22"/>
                <w:szCs w:val="22"/>
                <w14:ligatures w14:val="standardContextual"/>
              </w:rPr>
              <w:t>研究中，匹妥布替尼的风险比为</w:t>
            </w:r>
            <w:r w:rsidRPr="006671F3">
              <w:rPr>
                <w:rFonts w:hint="eastAsia"/>
                <w:sz w:val="22"/>
                <w:szCs w:val="22"/>
                <w14:ligatures w14:val="standardContextual"/>
              </w:rPr>
              <w:t>0.845</w:t>
            </w:r>
            <w:r w:rsidRPr="006671F3">
              <w:rPr>
                <w:rFonts w:hint="eastAsia"/>
                <w:sz w:val="22"/>
                <w:szCs w:val="22"/>
                <w14:ligatures w14:val="standardContextual"/>
              </w:rPr>
              <w:t>。简而言之，两组之间几乎没有差异，匹妥布替尼与伊布替尼的</w:t>
            </w:r>
            <w:r w:rsidRPr="006671F3">
              <w:rPr>
                <w:rFonts w:hint="eastAsia"/>
                <w:sz w:val="22"/>
                <w:szCs w:val="22"/>
                <w14:ligatures w14:val="standardContextual"/>
              </w:rPr>
              <w:t>PFS</w:t>
            </w:r>
            <w:r w:rsidRPr="006671F3">
              <w:rPr>
                <w:rFonts w:hint="eastAsia"/>
                <w:sz w:val="22"/>
                <w:szCs w:val="22"/>
                <w14:ligatures w14:val="standardContextual"/>
              </w:rPr>
              <w:t>事件数</w:t>
            </w:r>
            <w:r w:rsidRPr="006671F3">
              <w:rPr>
                <w:rFonts w:hint="eastAsia"/>
                <w:sz w:val="22"/>
                <w:szCs w:val="22"/>
                <w14:ligatures w14:val="standardContextual"/>
              </w:rPr>
              <w:lastRenderedPageBreak/>
              <w:t>分别为</w:t>
            </w:r>
            <w:r w:rsidRPr="006671F3">
              <w:rPr>
                <w:rFonts w:hint="eastAsia"/>
                <w:sz w:val="22"/>
                <w:szCs w:val="22"/>
                <w14:ligatures w14:val="standardContextual"/>
              </w:rPr>
              <w:t>48</w:t>
            </w:r>
            <w:r w:rsidRPr="006671F3">
              <w:rPr>
                <w:rFonts w:hint="eastAsia"/>
                <w:sz w:val="22"/>
                <w:szCs w:val="22"/>
                <w14:ligatures w14:val="standardContextual"/>
              </w:rPr>
              <w:t>例和</w:t>
            </w:r>
            <w:r w:rsidRPr="006671F3">
              <w:rPr>
                <w:rFonts w:hint="eastAsia"/>
                <w:sz w:val="22"/>
                <w:szCs w:val="22"/>
                <w14:ligatures w14:val="standardContextual"/>
              </w:rPr>
              <w:t>50</w:t>
            </w:r>
            <w:r w:rsidRPr="006671F3">
              <w:rPr>
                <w:rFonts w:hint="eastAsia"/>
                <w:sz w:val="22"/>
                <w:szCs w:val="22"/>
                <w14:ligatures w14:val="standardContextual"/>
              </w:rPr>
              <w:t>例。尽管交叉试验比较存在局限性，但百悦泽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依然是唯一展现出</w:t>
            </w:r>
            <w:r w:rsidRPr="006671F3">
              <w:rPr>
                <w:rFonts w:hint="eastAsia"/>
                <w:sz w:val="22"/>
                <w:szCs w:val="22"/>
                <w14:ligatures w14:val="standardContextual"/>
              </w:rPr>
              <w:t>PFS</w:t>
            </w:r>
            <w:r w:rsidRPr="006671F3">
              <w:rPr>
                <w:rFonts w:hint="eastAsia"/>
                <w:sz w:val="22"/>
                <w:szCs w:val="22"/>
                <w14:ligatures w14:val="standardContextual"/>
              </w:rPr>
              <w:t>持续优效于伊布替尼的</w:t>
            </w:r>
            <w:r w:rsidRPr="006671F3">
              <w:rPr>
                <w:rFonts w:hint="eastAsia"/>
                <w:sz w:val="22"/>
                <w:szCs w:val="22"/>
                <w14:ligatures w14:val="standardContextual"/>
              </w:rPr>
              <w:t>BTK</w:t>
            </w:r>
            <w:r w:rsidRPr="006671F3">
              <w:rPr>
                <w:rFonts w:hint="eastAsia"/>
                <w:sz w:val="22"/>
                <w:szCs w:val="22"/>
                <w14:ligatures w14:val="standardContextual"/>
              </w:rPr>
              <w:t>抑制剂。在耐受性方面，匹妥布替尼因不良事件导致停药的发生率，在数值上高于伊布替尼。相比之下，在各自的头对头试验中，百悦泽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与阿可替尼停药的发生率均显著低于伊布替尼。</w:t>
            </w:r>
          </w:p>
          <w:p w14:paraId="1692A97D" w14:textId="77777777" w:rsidR="009A3FF6" w:rsidRPr="006671F3"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在跨研究比较新一代</w:t>
            </w:r>
            <w:r w:rsidRPr="006671F3">
              <w:rPr>
                <w:rFonts w:hint="eastAsia"/>
                <w:sz w:val="22"/>
                <w:szCs w:val="22"/>
                <w14:ligatures w14:val="standardContextual"/>
              </w:rPr>
              <w:t>BTK</w:t>
            </w:r>
            <w:r w:rsidRPr="006671F3">
              <w:rPr>
                <w:rFonts w:hint="eastAsia"/>
                <w:sz w:val="22"/>
                <w:szCs w:val="22"/>
                <w14:ligatures w14:val="standardContextual"/>
              </w:rPr>
              <w:t>抑制剂的房颤发生率时，我们必须充分理解研究方案之间可能影响患者筛选和不良事件报告的差异。在</w:t>
            </w:r>
            <w:r w:rsidRPr="006671F3">
              <w:rPr>
                <w:rFonts w:hint="eastAsia"/>
                <w:sz w:val="22"/>
                <w:szCs w:val="22"/>
                <w14:ligatures w14:val="standardContextual"/>
              </w:rPr>
              <w:t>CLL</w:t>
            </w:r>
            <w:r w:rsidRPr="006671F3">
              <w:rPr>
                <w:rFonts w:hint="eastAsia"/>
                <w:sz w:val="22"/>
                <w:szCs w:val="22"/>
                <w14:ligatures w14:val="standardContextual"/>
              </w:rPr>
              <w:t>一线治疗中，百悦泽和阿可替尼研究采用了高度相似的入组资格标准和房颤报告。相比之下，匹妥布替尼研究采用了更为严格的入组资格标准，这可能导致其入组人群的整体健康状况更好。同时，这两项研究还引入了申办方对房颤事件的独立裁定机制。众所周知，房颤发生率会随年龄增长而显著上升。在一项涵盖美国初级保健诊所</w:t>
            </w:r>
            <w:r w:rsidRPr="006671F3">
              <w:rPr>
                <w:rFonts w:hint="eastAsia"/>
                <w:sz w:val="22"/>
                <w:szCs w:val="22"/>
                <w14:ligatures w14:val="standardContextual"/>
              </w:rPr>
              <w:t>1.7</w:t>
            </w:r>
            <w:r w:rsidRPr="006671F3">
              <w:rPr>
                <w:rFonts w:hint="eastAsia"/>
                <w:sz w:val="22"/>
                <w:szCs w:val="22"/>
                <w14:ligatures w14:val="standardContextual"/>
              </w:rPr>
              <w:t>万多例成年人的大型研究中，</w:t>
            </w:r>
            <w:r w:rsidRPr="006671F3">
              <w:rPr>
                <w:rFonts w:hint="eastAsia"/>
                <w:sz w:val="22"/>
                <w:szCs w:val="22"/>
                <w14:ligatures w14:val="standardContextual"/>
              </w:rPr>
              <w:t>70</w:t>
            </w:r>
            <w:r w:rsidRPr="006671F3">
              <w:rPr>
                <w:rFonts w:hint="eastAsia"/>
                <w:sz w:val="22"/>
                <w:szCs w:val="22"/>
                <w14:ligatures w14:val="standardContextual"/>
              </w:rPr>
              <w:t>至</w:t>
            </w:r>
            <w:r w:rsidRPr="006671F3">
              <w:rPr>
                <w:rFonts w:hint="eastAsia"/>
                <w:sz w:val="22"/>
                <w:szCs w:val="22"/>
                <w14:ligatures w14:val="standardContextual"/>
              </w:rPr>
              <w:t>74</w:t>
            </w:r>
            <w:r w:rsidRPr="006671F3">
              <w:rPr>
                <w:rFonts w:hint="eastAsia"/>
                <w:sz w:val="22"/>
                <w:szCs w:val="22"/>
                <w14:ligatures w14:val="standardContextual"/>
              </w:rPr>
              <w:t>岁人群的房颤绝对患病率比</w:t>
            </w:r>
            <w:r w:rsidRPr="006671F3">
              <w:rPr>
                <w:rFonts w:hint="eastAsia"/>
                <w:sz w:val="22"/>
                <w:szCs w:val="22"/>
                <w14:ligatures w14:val="standardContextual"/>
              </w:rPr>
              <w:t>65</w:t>
            </w:r>
            <w:r w:rsidRPr="006671F3">
              <w:rPr>
                <w:rFonts w:hint="eastAsia"/>
                <w:sz w:val="22"/>
                <w:szCs w:val="22"/>
                <w14:ligatures w14:val="standardContextual"/>
              </w:rPr>
              <w:t>至</w:t>
            </w:r>
            <w:r w:rsidRPr="006671F3">
              <w:rPr>
                <w:rFonts w:hint="eastAsia"/>
                <w:sz w:val="22"/>
                <w:szCs w:val="22"/>
                <w14:ligatures w14:val="standardContextual"/>
              </w:rPr>
              <w:t>69</w:t>
            </w:r>
            <w:r w:rsidRPr="006671F3">
              <w:rPr>
                <w:rFonts w:hint="eastAsia"/>
                <w:sz w:val="22"/>
                <w:szCs w:val="22"/>
                <w14:ligatures w14:val="standardContextual"/>
              </w:rPr>
              <w:t>岁人群高出近</w:t>
            </w:r>
            <w:r w:rsidRPr="006671F3">
              <w:rPr>
                <w:rFonts w:hint="eastAsia"/>
                <w:sz w:val="22"/>
                <w:szCs w:val="22"/>
                <w14:ligatures w14:val="standardContextual"/>
              </w:rPr>
              <w:t>4%</w:t>
            </w:r>
            <w:r w:rsidRPr="006671F3">
              <w:rPr>
                <w:rFonts w:hint="eastAsia"/>
                <w:sz w:val="22"/>
                <w:szCs w:val="22"/>
                <w14:ligatures w14:val="standardContextual"/>
              </w:rPr>
              <w:t>。因此，将上述年龄差异纳入考量确实非常重要。尽管在两项研究的入组标准存在差异，可能导致</w:t>
            </w:r>
            <w:r w:rsidRPr="006671F3">
              <w:rPr>
                <w:rFonts w:hint="eastAsia"/>
                <w:sz w:val="22"/>
                <w:szCs w:val="22"/>
                <w14:ligatures w14:val="standardContextual"/>
              </w:rPr>
              <w:t>BRUIN-313</w:t>
            </w:r>
            <w:r w:rsidRPr="006671F3">
              <w:rPr>
                <w:rFonts w:hint="eastAsia"/>
                <w:sz w:val="22"/>
                <w:szCs w:val="22"/>
                <w14:ligatures w14:val="standardContextual"/>
              </w:rPr>
              <w:t>研究中</w:t>
            </w:r>
            <w:r w:rsidRPr="006671F3">
              <w:rPr>
                <w:rFonts w:hint="eastAsia"/>
                <w:sz w:val="22"/>
                <w:szCs w:val="22"/>
                <w14:ligatures w14:val="standardContextual"/>
              </w:rPr>
              <w:t>75</w:t>
            </w:r>
            <w:r w:rsidRPr="006671F3">
              <w:rPr>
                <w:rFonts w:hint="eastAsia"/>
                <w:sz w:val="22"/>
                <w:szCs w:val="22"/>
                <w14:ligatures w14:val="standardContextual"/>
              </w:rPr>
              <w:t>岁以上患者比例，仅约为对方的一半，且匹妥布替尼研究的患者中位年龄低了</w:t>
            </w:r>
            <w:r w:rsidRPr="006671F3">
              <w:rPr>
                <w:rFonts w:hint="eastAsia"/>
                <w:sz w:val="22"/>
                <w:szCs w:val="22"/>
                <w14:ligatures w14:val="standardContextual"/>
              </w:rPr>
              <w:t>4</w:t>
            </w:r>
            <w:r w:rsidRPr="006671F3">
              <w:rPr>
                <w:rFonts w:hint="eastAsia"/>
                <w:sz w:val="22"/>
                <w:szCs w:val="22"/>
                <w14:ligatures w14:val="standardContextual"/>
              </w:rPr>
              <w:t>岁；再加上房颤的报告方法也存在差异，但各研究活性药物治疗组的房颤发生率总体相似。值得注意的是，如果将</w:t>
            </w:r>
            <w:r w:rsidRPr="006671F3">
              <w:rPr>
                <w:rFonts w:hint="eastAsia"/>
                <w:sz w:val="22"/>
                <w:szCs w:val="22"/>
                <w14:ligatures w14:val="standardContextual"/>
              </w:rPr>
              <w:t>BRUIN-313</w:t>
            </w:r>
            <w:r w:rsidRPr="006671F3">
              <w:rPr>
                <w:rFonts w:hint="eastAsia"/>
                <w:sz w:val="22"/>
                <w:szCs w:val="22"/>
                <w14:ligatures w14:val="standardContextual"/>
              </w:rPr>
              <w:t>和</w:t>
            </w:r>
            <w:r w:rsidRPr="006671F3">
              <w:rPr>
                <w:rFonts w:hint="eastAsia"/>
                <w:sz w:val="22"/>
                <w:szCs w:val="22"/>
                <w14:ligatures w14:val="standardContextual"/>
              </w:rPr>
              <w:t>314</w:t>
            </w:r>
            <w:r w:rsidRPr="006671F3">
              <w:rPr>
                <w:rFonts w:hint="eastAsia"/>
                <w:sz w:val="22"/>
                <w:szCs w:val="22"/>
                <w14:ligatures w14:val="standardContextual"/>
              </w:rPr>
              <w:t>研究中更严格的入组资格标准应用于</w:t>
            </w:r>
            <w:r w:rsidRPr="006671F3">
              <w:rPr>
                <w:rFonts w:hint="eastAsia"/>
                <w:sz w:val="22"/>
                <w:szCs w:val="22"/>
                <w14:ligatures w14:val="standardContextual"/>
              </w:rPr>
              <w:t>SEQUOIA</w:t>
            </w:r>
            <w:r w:rsidRPr="006671F3">
              <w:rPr>
                <w:rFonts w:hint="eastAsia"/>
                <w:sz w:val="22"/>
                <w:szCs w:val="22"/>
                <w14:ligatures w14:val="standardContextual"/>
              </w:rPr>
              <w:t>研究人群，百悦泽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组则可能有</w:t>
            </w:r>
            <w:r w:rsidRPr="006671F3">
              <w:rPr>
                <w:rFonts w:hint="eastAsia"/>
                <w:sz w:val="22"/>
                <w:szCs w:val="22"/>
                <w14:ligatures w14:val="standardContextual"/>
              </w:rPr>
              <w:t>15</w:t>
            </w:r>
            <w:r w:rsidRPr="006671F3">
              <w:rPr>
                <w:rFonts w:hint="eastAsia"/>
                <w:sz w:val="22"/>
                <w:szCs w:val="22"/>
                <w14:ligatures w14:val="standardContextual"/>
              </w:rPr>
              <w:t>例最高风险的患者被排除在外。事实上，这</w:t>
            </w:r>
            <w:r w:rsidRPr="006671F3">
              <w:rPr>
                <w:rFonts w:hint="eastAsia"/>
                <w:sz w:val="22"/>
                <w:szCs w:val="22"/>
                <w14:ligatures w14:val="standardContextual"/>
              </w:rPr>
              <w:t>15</w:t>
            </w:r>
            <w:r w:rsidRPr="006671F3">
              <w:rPr>
                <w:rFonts w:hint="eastAsia"/>
                <w:sz w:val="22"/>
                <w:szCs w:val="22"/>
                <w14:ligatures w14:val="standardContextual"/>
              </w:rPr>
              <w:t>例患者的≥</w:t>
            </w:r>
            <w:r w:rsidRPr="006671F3">
              <w:rPr>
                <w:rFonts w:hint="eastAsia"/>
                <w:sz w:val="22"/>
                <w:szCs w:val="22"/>
                <w14:ligatures w14:val="standardContextual"/>
              </w:rPr>
              <w:t>3</w:t>
            </w:r>
            <w:r w:rsidRPr="006671F3">
              <w:rPr>
                <w:rFonts w:hint="eastAsia"/>
                <w:sz w:val="22"/>
                <w:szCs w:val="22"/>
                <w14:ligatures w14:val="standardContextual"/>
              </w:rPr>
              <w:t>级严重感染的发生率约为整体研究人群的两倍，因不良事件导致的死亡率更是整体人群的两倍以上。这一分析充分表明，方案入组标准的差异对临床数据的解读具有重大影响。尽管有观点认为，匹妥布替尼由于房颤风险较低、耐受性较好，可能更适合老年患者；但它是该人群中研究最少的</w:t>
            </w:r>
            <w:r w:rsidRPr="006671F3">
              <w:rPr>
                <w:rFonts w:hint="eastAsia"/>
                <w:sz w:val="22"/>
                <w:szCs w:val="22"/>
                <w14:ligatures w14:val="standardContextual"/>
              </w:rPr>
              <w:t>BTK</w:t>
            </w:r>
            <w:r w:rsidRPr="006671F3">
              <w:rPr>
                <w:rFonts w:hint="eastAsia"/>
                <w:sz w:val="22"/>
                <w:szCs w:val="22"/>
                <w14:ligatures w14:val="standardContextual"/>
              </w:rPr>
              <w:t>抑制剂。匹妥布替尼缺乏相关的长期数据（随访时间仅为</w:t>
            </w:r>
            <w:r w:rsidRPr="006671F3">
              <w:rPr>
                <w:rFonts w:hint="eastAsia"/>
                <w:sz w:val="22"/>
                <w:szCs w:val="22"/>
                <w14:ligatures w14:val="standardContextual"/>
              </w:rPr>
              <w:t>28</w:t>
            </w:r>
            <w:r w:rsidRPr="006671F3">
              <w:rPr>
                <w:rFonts w:hint="eastAsia"/>
                <w:sz w:val="22"/>
                <w:szCs w:val="22"/>
                <w14:ligatures w14:val="standardContextual"/>
              </w:rPr>
              <w:t>个月），而且关于其耐受性更好、房颤发生率更低的说法并未得到数据支持。全面的临床证据，持续印证了百悦泽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同类最优的临床特征。</w:t>
            </w:r>
          </w:p>
          <w:p w14:paraId="137CEEF0" w14:textId="77777777" w:rsidR="009A3FF6" w:rsidRPr="006671F3"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我们最近在</w:t>
            </w:r>
            <w:r w:rsidRPr="006671F3">
              <w:rPr>
                <w:rFonts w:hint="eastAsia"/>
                <w:sz w:val="22"/>
                <w:szCs w:val="22"/>
                <w14:ligatures w14:val="standardContextual"/>
              </w:rPr>
              <w:t>CLL</w:t>
            </w:r>
            <w:r w:rsidRPr="006671F3">
              <w:rPr>
                <w:rFonts w:hint="eastAsia"/>
                <w:sz w:val="22"/>
                <w:szCs w:val="22"/>
                <w14:ligatures w14:val="standardContextual"/>
              </w:rPr>
              <w:t>领域得出的一个关键经验是：长期随访至关重要。许多治疗方案在三年时点往往能展现出卓越的疗效，但三年的时间，并</w:t>
            </w:r>
            <w:r w:rsidRPr="006671F3">
              <w:rPr>
                <w:rFonts w:hint="eastAsia"/>
                <w:sz w:val="22"/>
                <w:szCs w:val="22"/>
                <w14:ligatures w14:val="standardContextual"/>
              </w:rPr>
              <w:lastRenderedPageBreak/>
              <w:t>不足以真正验证其疗效的持久性。</w:t>
            </w:r>
            <w:r w:rsidRPr="00635EE0">
              <w:rPr>
                <w:rFonts w:hint="eastAsia"/>
                <w:sz w:val="22"/>
                <w:szCs w:val="22"/>
                <w14:ligatures w14:val="standardContextual"/>
              </w:rPr>
              <w:t>本页幻灯片展示了</w:t>
            </w:r>
            <w:r w:rsidRPr="00635EE0">
              <w:rPr>
                <w:sz w:val="22"/>
                <w:szCs w:val="22"/>
                <w14:ligatures w14:val="standardContextual"/>
              </w:rPr>
              <w:t>（</w:t>
            </w:r>
            <w:r w:rsidRPr="00635EE0">
              <w:rPr>
                <w:sz w:val="22"/>
                <w:szCs w:val="22"/>
                <w14:ligatures w14:val="standardContextual"/>
              </w:rPr>
              <w:t>2026</w:t>
            </w:r>
            <w:r w:rsidRPr="00635EE0">
              <w:rPr>
                <w:sz w:val="22"/>
                <w:szCs w:val="22"/>
                <w14:ligatures w14:val="standardContextual"/>
              </w:rPr>
              <w:t>年第</w:t>
            </w:r>
            <w:r w:rsidRPr="00635EE0">
              <w:rPr>
                <w:rFonts w:hint="eastAsia"/>
                <w:sz w:val="22"/>
                <w:szCs w:val="22"/>
                <w14:ligatures w14:val="standardContextual"/>
              </w:rPr>
              <w:t>二</w:t>
            </w:r>
            <w:r w:rsidRPr="00635EE0">
              <w:rPr>
                <w:sz w:val="22"/>
                <w:szCs w:val="22"/>
                <w14:ligatures w14:val="standardContextual"/>
              </w:rPr>
              <w:t>季度投资者关系演示材料第</w:t>
            </w:r>
            <w:r w:rsidRPr="00635EE0">
              <w:rPr>
                <w:rFonts w:hint="eastAsia"/>
                <w:sz w:val="22"/>
                <w:szCs w:val="22"/>
                <w14:ligatures w14:val="standardContextual"/>
              </w:rPr>
              <w:t>12</w:t>
            </w:r>
            <w:r w:rsidRPr="00635EE0">
              <w:rPr>
                <w:sz w:val="22"/>
                <w:szCs w:val="22"/>
                <w14:ligatures w14:val="standardContextual"/>
              </w:rPr>
              <w:t>页）</w:t>
            </w:r>
            <w:r w:rsidRPr="006671F3">
              <w:rPr>
                <w:rFonts w:hint="eastAsia"/>
                <w:sz w:val="22"/>
                <w:szCs w:val="22"/>
                <w14:ligatures w14:val="standardContextual"/>
              </w:rPr>
              <w:t>各项</w:t>
            </w:r>
            <w:r w:rsidRPr="006671F3">
              <w:rPr>
                <w:rFonts w:hint="eastAsia"/>
                <w:sz w:val="22"/>
                <w:szCs w:val="22"/>
                <w14:ligatures w14:val="standardContextual"/>
              </w:rPr>
              <w:t>CLL</w:t>
            </w:r>
            <w:r w:rsidRPr="006671F3">
              <w:rPr>
                <w:rFonts w:hint="eastAsia"/>
                <w:sz w:val="22"/>
                <w:szCs w:val="22"/>
                <w14:ligatures w14:val="standardContextual"/>
              </w:rPr>
              <w:t>一线治疗</w:t>
            </w:r>
            <w:r w:rsidRPr="006671F3">
              <w:rPr>
                <w:rFonts w:hint="eastAsia"/>
                <w:sz w:val="22"/>
                <w:szCs w:val="22"/>
                <w14:ligatures w14:val="standardContextual"/>
              </w:rPr>
              <w:t>3</w:t>
            </w:r>
            <w:r w:rsidRPr="006671F3">
              <w:rPr>
                <w:rFonts w:hint="eastAsia"/>
                <w:sz w:val="22"/>
                <w:szCs w:val="22"/>
                <w14:ligatures w14:val="standardContextual"/>
              </w:rPr>
              <w:t>期临床试验中，不同一线治疗方案在第</w:t>
            </w:r>
            <w:r w:rsidRPr="006671F3">
              <w:rPr>
                <w:rFonts w:hint="eastAsia"/>
                <w:sz w:val="22"/>
                <w:szCs w:val="22"/>
                <w14:ligatures w14:val="standardContextual"/>
              </w:rPr>
              <w:t>3</w:t>
            </w:r>
            <w:r w:rsidRPr="006671F3">
              <w:rPr>
                <w:rFonts w:hint="eastAsia"/>
                <w:sz w:val="22"/>
                <w:szCs w:val="22"/>
                <w14:ligatures w14:val="standardContextual"/>
              </w:rPr>
              <w:t>年至第</w:t>
            </w:r>
            <w:r w:rsidRPr="006671F3">
              <w:rPr>
                <w:rFonts w:hint="eastAsia"/>
                <w:sz w:val="22"/>
                <w:szCs w:val="22"/>
                <w14:ligatures w14:val="standardContextual"/>
              </w:rPr>
              <w:t>6</w:t>
            </w:r>
            <w:r w:rsidRPr="006671F3">
              <w:rPr>
                <w:rFonts w:hint="eastAsia"/>
                <w:sz w:val="22"/>
                <w:szCs w:val="22"/>
                <w14:ligatures w14:val="standardContextual"/>
              </w:rPr>
              <w:t>年期间的里程碑式无进展生存期数据。尽管交叉试验比较存在局限性，但有几个关键亮点依然非常醒目：第一，与其他两款持续用药的</w:t>
            </w:r>
            <w:r w:rsidRPr="006671F3">
              <w:rPr>
                <w:rFonts w:hint="eastAsia"/>
                <w:sz w:val="22"/>
                <w:szCs w:val="22"/>
                <w14:ligatures w14:val="standardContextual"/>
              </w:rPr>
              <w:t>BTK</w:t>
            </w:r>
            <w:r w:rsidRPr="006671F3">
              <w:rPr>
                <w:rFonts w:hint="eastAsia"/>
                <w:sz w:val="22"/>
                <w:szCs w:val="22"/>
                <w14:ligatures w14:val="standardContextual"/>
              </w:rPr>
              <w:t>抑制剂相比，百悦泽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w:t>
            </w:r>
            <w:r w:rsidRPr="006671F3">
              <w:rPr>
                <w:rFonts w:hint="eastAsia"/>
                <w:sz w:val="22"/>
                <w:szCs w:val="22"/>
                <w14:ligatures w14:val="standardContextual"/>
              </w:rPr>
              <w:t>PFS</w:t>
            </w:r>
            <w:r w:rsidRPr="006671F3">
              <w:rPr>
                <w:rFonts w:hint="eastAsia"/>
                <w:sz w:val="22"/>
                <w:szCs w:val="22"/>
                <w14:ligatures w14:val="standardContextual"/>
              </w:rPr>
              <w:t>率更高，且随着时间推移，这种优势差距在持续扩大。事实上，到第</w:t>
            </w:r>
            <w:r w:rsidRPr="006671F3">
              <w:rPr>
                <w:rFonts w:hint="eastAsia"/>
                <w:sz w:val="22"/>
                <w:szCs w:val="22"/>
                <w14:ligatures w14:val="standardContextual"/>
              </w:rPr>
              <w:t>6</w:t>
            </w:r>
            <w:r w:rsidRPr="006671F3">
              <w:rPr>
                <w:rFonts w:hint="eastAsia"/>
                <w:sz w:val="22"/>
                <w:szCs w:val="22"/>
                <w14:ligatures w14:val="standardContextual"/>
              </w:rPr>
              <w:t>年时，百悦泽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w:t>
            </w:r>
            <w:r w:rsidRPr="006671F3">
              <w:rPr>
                <w:rFonts w:hint="eastAsia"/>
                <w:sz w:val="22"/>
                <w:szCs w:val="22"/>
                <w14:ligatures w14:val="standardContextual"/>
              </w:rPr>
              <w:t>PFS</w:t>
            </w:r>
            <w:r w:rsidRPr="006671F3">
              <w:rPr>
                <w:rFonts w:hint="eastAsia"/>
                <w:sz w:val="22"/>
                <w:szCs w:val="22"/>
                <w14:ligatures w14:val="standardContextual"/>
              </w:rPr>
              <w:t>率领先幅度达到了</w:t>
            </w:r>
            <w:r w:rsidRPr="006671F3">
              <w:rPr>
                <w:rFonts w:hint="eastAsia"/>
                <w:sz w:val="22"/>
                <w:szCs w:val="22"/>
                <w14:ligatures w14:val="standardContextual"/>
              </w:rPr>
              <w:t>12%</w:t>
            </w:r>
            <w:r w:rsidRPr="006671F3">
              <w:rPr>
                <w:rFonts w:hint="eastAsia"/>
                <w:sz w:val="22"/>
                <w:szCs w:val="22"/>
                <w14:ligatures w14:val="standardContextual"/>
              </w:rPr>
              <w:t>——这意味着，每</w:t>
            </w:r>
            <w:r w:rsidRPr="006671F3">
              <w:rPr>
                <w:rFonts w:hint="eastAsia"/>
                <w:sz w:val="22"/>
                <w:szCs w:val="22"/>
                <w14:ligatures w14:val="standardContextual"/>
              </w:rPr>
              <w:t>8</w:t>
            </w:r>
            <w:r w:rsidRPr="006671F3">
              <w:rPr>
                <w:rFonts w:hint="eastAsia"/>
                <w:sz w:val="22"/>
                <w:szCs w:val="22"/>
                <w14:ligatures w14:val="standardContextual"/>
              </w:rPr>
              <w:t>例患者中就有</w:t>
            </w:r>
            <w:r w:rsidRPr="006671F3">
              <w:rPr>
                <w:rFonts w:hint="eastAsia"/>
                <w:sz w:val="22"/>
                <w:szCs w:val="22"/>
                <w14:ligatures w14:val="standardContextual"/>
              </w:rPr>
              <w:t>1</w:t>
            </w:r>
            <w:r w:rsidRPr="006671F3">
              <w:rPr>
                <w:rFonts w:hint="eastAsia"/>
                <w:sz w:val="22"/>
                <w:szCs w:val="22"/>
                <w14:ligatures w14:val="standardContextual"/>
              </w:rPr>
              <w:t>例未出现疾病进展。第二，百悦泽与维奈克拉联合奥妥珠单抗（</w:t>
            </w:r>
            <w:r w:rsidRPr="006671F3">
              <w:rPr>
                <w:rFonts w:hint="eastAsia"/>
                <w:sz w:val="22"/>
                <w:szCs w:val="22"/>
                <w14:ligatures w14:val="standardContextual"/>
              </w:rPr>
              <w:t>VO</w:t>
            </w:r>
            <w:r w:rsidRPr="006671F3">
              <w:rPr>
                <w:rFonts w:hint="eastAsia"/>
                <w:sz w:val="22"/>
                <w:szCs w:val="22"/>
                <w14:ligatures w14:val="standardContextual"/>
              </w:rPr>
              <w:t>）方案之间</w:t>
            </w:r>
            <w:r w:rsidRPr="006671F3">
              <w:rPr>
                <w:rFonts w:hint="eastAsia"/>
                <w:sz w:val="22"/>
                <w:szCs w:val="22"/>
                <w14:ligatures w14:val="standardContextual"/>
              </w:rPr>
              <w:t>PFS</w:t>
            </w:r>
            <w:r w:rsidRPr="006671F3">
              <w:rPr>
                <w:rFonts w:hint="eastAsia"/>
                <w:sz w:val="22"/>
                <w:szCs w:val="22"/>
                <w14:ligatures w14:val="standardContextual"/>
              </w:rPr>
              <w:t>率的差距更为显著。在第</w:t>
            </w:r>
            <w:r w:rsidRPr="006671F3">
              <w:rPr>
                <w:rFonts w:hint="eastAsia"/>
                <w:sz w:val="22"/>
                <w:szCs w:val="22"/>
                <w14:ligatures w14:val="standardContextual"/>
              </w:rPr>
              <w:t>6</w:t>
            </w:r>
            <w:r w:rsidRPr="006671F3">
              <w:rPr>
                <w:rFonts w:hint="eastAsia"/>
                <w:sz w:val="22"/>
                <w:szCs w:val="22"/>
                <w14:ligatures w14:val="standardContextual"/>
              </w:rPr>
              <w:t>年，这一领先幅度达到了</w:t>
            </w:r>
            <w:r w:rsidRPr="006671F3">
              <w:rPr>
                <w:rFonts w:hint="eastAsia"/>
                <w:sz w:val="22"/>
                <w:szCs w:val="22"/>
                <w14:ligatures w14:val="standardContextual"/>
              </w:rPr>
              <w:t>21%</w:t>
            </w:r>
            <w:r w:rsidRPr="006671F3">
              <w:rPr>
                <w:rFonts w:hint="eastAsia"/>
                <w:sz w:val="22"/>
                <w:szCs w:val="22"/>
                <w14:ligatures w14:val="standardContextual"/>
              </w:rPr>
              <w:t>，相当于每</w:t>
            </w:r>
            <w:r w:rsidRPr="006671F3">
              <w:rPr>
                <w:rFonts w:hint="eastAsia"/>
                <w:sz w:val="22"/>
                <w:szCs w:val="22"/>
                <w14:ligatures w14:val="standardContextual"/>
              </w:rPr>
              <w:t>5</w:t>
            </w:r>
            <w:r w:rsidRPr="006671F3">
              <w:rPr>
                <w:rFonts w:hint="eastAsia"/>
                <w:sz w:val="22"/>
                <w:szCs w:val="22"/>
                <w14:ligatures w14:val="standardContextual"/>
              </w:rPr>
              <w:t>例患者中就有</w:t>
            </w:r>
            <w:r w:rsidRPr="006671F3">
              <w:rPr>
                <w:rFonts w:hint="eastAsia"/>
                <w:sz w:val="22"/>
                <w:szCs w:val="22"/>
                <w14:ligatures w14:val="standardContextual"/>
              </w:rPr>
              <w:t>1</w:t>
            </w:r>
            <w:r w:rsidRPr="006671F3">
              <w:rPr>
                <w:rFonts w:hint="eastAsia"/>
                <w:sz w:val="22"/>
                <w:szCs w:val="22"/>
                <w14:ligatures w14:val="standardContextual"/>
              </w:rPr>
              <w:t>例未出现疾病进展。</w:t>
            </w:r>
          </w:p>
          <w:p w14:paraId="3AE72E73" w14:textId="77777777" w:rsidR="009A3FF6" w:rsidRPr="006671F3"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在整体人群中的疗效同样十分亮眼。高危患者群体的境况尤为触目。这也促使我们重新审视当前的固定疗程方案在高危患者占绝大多数的</w:t>
            </w:r>
            <w:r w:rsidRPr="006671F3">
              <w:rPr>
                <w:rFonts w:hint="eastAsia"/>
                <w:sz w:val="22"/>
                <w:szCs w:val="22"/>
                <w14:ligatures w14:val="standardContextual"/>
              </w:rPr>
              <w:t>CLL</w:t>
            </w:r>
            <w:r w:rsidRPr="006671F3">
              <w:rPr>
                <w:rFonts w:hint="eastAsia"/>
                <w:sz w:val="22"/>
                <w:szCs w:val="22"/>
                <w14:ligatures w14:val="standardContextual"/>
              </w:rPr>
              <w:t>中的应用。这绝非一小部分边缘患者。</w:t>
            </w:r>
            <w:r w:rsidRPr="00C61C88">
              <w:rPr>
                <w:rFonts w:hint="eastAsia"/>
                <w:sz w:val="22"/>
                <w:szCs w:val="22"/>
                <w14:ligatures w14:val="standardContextual"/>
              </w:rPr>
              <w:t>本页幻灯片</w:t>
            </w:r>
            <w:r w:rsidRPr="00C61C88">
              <w:rPr>
                <w:sz w:val="22"/>
                <w:szCs w:val="22"/>
                <w14:ligatures w14:val="standardContextual"/>
              </w:rPr>
              <w:t>（</w:t>
            </w:r>
            <w:r w:rsidRPr="00C61C88">
              <w:rPr>
                <w:sz w:val="22"/>
                <w:szCs w:val="22"/>
                <w14:ligatures w14:val="standardContextual"/>
              </w:rPr>
              <w:t>2026</w:t>
            </w:r>
            <w:r w:rsidRPr="00C61C88">
              <w:rPr>
                <w:sz w:val="22"/>
                <w:szCs w:val="22"/>
                <w14:ligatures w14:val="standardContextual"/>
              </w:rPr>
              <w:t>年第</w:t>
            </w:r>
            <w:r w:rsidRPr="00C61C88">
              <w:rPr>
                <w:rFonts w:hint="eastAsia"/>
                <w:sz w:val="22"/>
                <w:szCs w:val="22"/>
                <w14:ligatures w14:val="standardContextual"/>
              </w:rPr>
              <w:t>二</w:t>
            </w:r>
            <w:r w:rsidRPr="00C61C88">
              <w:rPr>
                <w:sz w:val="22"/>
                <w:szCs w:val="22"/>
                <w14:ligatures w14:val="standardContextual"/>
              </w:rPr>
              <w:t>季度投资者关系演示材料第</w:t>
            </w:r>
            <w:r w:rsidRPr="00C61C88">
              <w:rPr>
                <w:rFonts w:hint="eastAsia"/>
                <w:sz w:val="22"/>
                <w:szCs w:val="22"/>
                <w14:ligatures w14:val="standardContextual"/>
              </w:rPr>
              <w:t>13</w:t>
            </w:r>
            <w:r w:rsidRPr="00C61C88">
              <w:rPr>
                <w:sz w:val="22"/>
                <w:szCs w:val="22"/>
                <w14:ligatures w14:val="standardContextual"/>
              </w:rPr>
              <w:t>页）</w:t>
            </w:r>
            <w:r w:rsidRPr="006671F3">
              <w:rPr>
                <w:rFonts w:hint="eastAsia"/>
                <w:sz w:val="22"/>
                <w:szCs w:val="22"/>
                <w14:ligatures w14:val="standardContextual"/>
              </w:rPr>
              <w:t>直观展示了在</w:t>
            </w:r>
            <w:r w:rsidRPr="006671F3">
              <w:rPr>
                <w:rFonts w:hint="eastAsia"/>
                <w:sz w:val="22"/>
                <w:szCs w:val="22"/>
                <w14:ligatures w14:val="standardContextual"/>
              </w:rPr>
              <w:t>IGHV</w:t>
            </w:r>
            <w:r w:rsidRPr="006671F3">
              <w:rPr>
                <w:rFonts w:hint="eastAsia"/>
                <w:sz w:val="22"/>
                <w:szCs w:val="22"/>
                <w14:ligatures w14:val="standardContextual"/>
              </w:rPr>
              <w:t>未突变患者这一存在巨大未满足医疗需求的人群中，当前的固定疗程治疗方案与基石性百悦泽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的疗效对比。百悦泽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的生存获益仍然持久——其</w:t>
            </w:r>
            <w:r w:rsidRPr="006671F3">
              <w:rPr>
                <w:rFonts w:hint="eastAsia"/>
                <w:sz w:val="22"/>
                <w:szCs w:val="22"/>
                <w14:ligatures w14:val="standardContextual"/>
              </w:rPr>
              <w:t>3</w:t>
            </w:r>
            <w:r w:rsidRPr="006671F3">
              <w:rPr>
                <w:rFonts w:hint="eastAsia"/>
                <w:sz w:val="22"/>
                <w:szCs w:val="22"/>
                <w14:ligatures w14:val="standardContextual"/>
              </w:rPr>
              <w:t>年</w:t>
            </w:r>
            <w:r w:rsidRPr="006671F3">
              <w:rPr>
                <w:rFonts w:hint="eastAsia"/>
                <w:sz w:val="22"/>
                <w:szCs w:val="22"/>
                <w14:ligatures w14:val="standardContextual"/>
              </w:rPr>
              <w:t>PFS</w:t>
            </w:r>
            <w:r w:rsidRPr="006671F3">
              <w:rPr>
                <w:rFonts w:hint="eastAsia"/>
                <w:sz w:val="22"/>
                <w:szCs w:val="22"/>
                <w14:ligatures w14:val="standardContextual"/>
              </w:rPr>
              <w:t>率为</w:t>
            </w:r>
            <w:r w:rsidRPr="006671F3">
              <w:rPr>
                <w:rFonts w:hint="eastAsia"/>
                <w:sz w:val="22"/>
                <w:szCs w:val="22"/>
                <w14:ligatures w14:val="standardContextual"/>
              </w:rPr>
              <w:t>84%</w:t>
            </w:r>
            <w:r w:rsidRPr="006671F3">
              <w:rPr>
                <w:rFonts w:hint="eastAsia"/>
                <w:sz w:val="22"/>
                <w:szCs w:val="22"/>
                <w14:ligatures w14:val="standardContextual"/>
              </w:rPr>
              <w:t>，</w:t>
            </w:r>
            <w:r w:rsidRPr="006671F3">
              <w:rPr>
                <w:rFonts w:hint="eastAsia"/>
                <w:sz w:val="22"/>
                <w:szCs w:val="22"/>
                <w14:ligatures w14:val="standardContextual"/>
              </w:rPr>
              <w:t>6</w:t>
            </w:r>
            <w:r w:rsidRPr="006671F3">
              <w:rPr>
                <w:rFonts w:hint="eastAsia"/>
                <w:sz w:val="22"/>
                <w:szCs w:val="22"/>
                <w14:ligatures w14:val="standardContextual"/>
              </w:rPr>
              <w:t>年时仍维持在</w:t>
            </w:r>
            <w:r w:rsidRPr="006671F3">
              <w:rPr>
                <w:rFonts w:hint="eastAsia"/>
                <w:sz w:val="22"/>
                <w:szCs w:val="22"/>
                <w14:ligatures w14:val="standardContextual"/>
              </w:rPr>
              <w:t>70%</w:t>
            </w:r>
            <w:r w:rsidRPr="006671F3">
              <w:rPr>
                <w:rFonts w:hint="eastAsia"/>
                <w:sz w:val="22"/>
                <w:szCs w:val="22"/>
                <w14:ligatures w14:val="standardContextual"/>
              </w:rPr>
              <w:t>。相比之下，</w:t>
            </w:r>
            <w:r w:rsidRPr="006671F3">
              <w:rPr>
                <w:rFonts w:hint="eastAsia"/>
                <w:sz w:val="22"/>
                <w:szCs w:val="22"/>
                <w14:ligatures w14:val="standardContextual"/>
              </w:rPr>
              <w:t>VO</w:t>
            </w:r>
            <w:r w:rsidRPr="006671F3">
              <w:rPr>
                <w:rFonts w:hint="eastAsia"/>
                <w:sz w:val="22"/>
                <w:szCs w:val="22"/>
                <w14:ligatures w14:val="standardContextual"/>
              </w:rPr>
              <w:t>方案的</w:t>
            </w:r>
            <w:r w:rsidRPr="006671F3">
              <w:rPr>
                <w:rFonts w:hint="eastAsia"/>
                <w:sz w:val="22"/>
                <w:szCs w:val="22"/>
                <w14:ligatures w14:val="standardContextual"/>
              </w:rPr>
              <w:t>PFS</w:t>
            </w:r>
            <w:r w:rsidRPr="006671F3">
              <w:rPr>
                <w:rFonts w:hint="eastAsia"/>
                <w:sz w:val="22"/>
                <w:szCs w:val="22"/>
                <w14:ligatures w14:val="standardContextual"/>
              </w:rPr>
              <w:t>率从第</w:t>
            </w:r>
            <w:r w:rsidRPr="006671F3">
              <w:rPr>
                <w:rFonts w:hint="eastAsia"/>
                <w:sz w:val="22"/>
                <w:szCs w:val="22"/>
                <w14:ligatures w14:val="standardContextual"/>
              </w:rPr>
              <w:t>3</w:t>
            </w:r>
            <w:r w:rsidRPr="006671F3">
              <w:rPr>
                <w:rFonts w:hint="eastAsia"/>
                <w:sz w:val="22"/>
                <w:szCs w:val="22"/>
                <w14:ligatures w14:val="standardContextual"/>
              </w:rPr>
              <w:t>年的</w:t>
            </w:r>
            <w:r w:rsidRPr="006671F3">
              <w:rPr>
                <w:rFonts w:hint="eastAsia"/>
                <w:sz w:val="22"/>
                <w:szCs w:val="22"/>
                <w14:ligatures w14:val="standardContextual"/>
              </w:rPr>
              <w:t>82%</w:t>
            </w:r>
            <w:r w:rsidRPr="006671F3">
              <w:rPr>
                <w:rFonts w:hint="eastAsia"/>
                <w:sz w:val="22"/>
                <w:szCs w:val="22"/>
                <w14:ligatures w14:val="standardContextual"/>
              </w:rPr>
              <w:t>骤降至第</w:t>
            </w:r>
            <w:r w:rsidRPr="006671F3">
              <w:rPr>
                <w:rFonts w:hint="eastAsia"/>
                <w:sz w:val="22"/>
                <w:szCs w:val="22"/>
                <w14:ligatures w14:val="standardContextual"/>
              </w:rPr>
              <w:t>6</w:t>
            </w:r>
            <w:r w:rsidRPr="006671F3">
              <w:rPr>
                <w:rFonts w:hint="eastAsia"/>
                <w:sz w:val="22"/>
                <w:szCs w:val="22"/>
                <w14:ligatures w14:val="standardContextual"/>
              </w:rPr>
              <w:t>年的</w:t>
            </w:r>
            <w:r w:rsidRPr="006671F3">
              <w:rPr>
                <w:rFonts w:hint="eastAsia"/>
                <w:sz w:val="22"/>
                <w:szCs w:val="22"/>
                <w14:ligatures w14:val="standardContextual"/>
              </w:rPr>
              <w:t>42%</w:t>
            </w:r>
            <w:r w:rsidRPr="006671F3">
              <w:rPr>
                <w:rFonts w:hint="eastAsia"/>
                <w:sz w:val="22"/>
                <w:szCs w:val="22"/>
                <w14:ligatures w14:val="standardContextual"/>
              </w:rPr>
              <w:t>，出现了</w:t>
            </w:r>
            <w:r w:rsidRPr="006671F3">
              <w:rPr>
                <w:rFonts w:hint="eastAsia"/>
                <w:sz w:val="22"/>
                <w:szCs w:val="22"/>
                <w14:ligatures w14:val="standardContextual"/>
              </w:rPr>
              <w:t>40</w:t>
            </w:r>
            <w:r w:rsidRPr="006671F3">
              <w:rPr>
                <w:rFonts w:hint="eastAsia"/>
                <w:sz w:val="22"/>
                <w:szCs w:val="22"/>
                <w14:ligatures w14:val="standardContextual"/>
              </w:rPr>
              <w:t>个百分点的大幅下滑。而在</w:t>
            </w:r>
            <w:r w:rsidRPr="006671F3">
              <w:rPr>
                <w:rFonts w:hint="eastAsia"/>
                <w:sz w:val="22"/>
                <w:szCs w:val="22"/>
                <w14:ligatures w14:val="standardContextual"/>
              </w:rPr>
              <w:t>AV</w:t>
            </w:r>
            <w:r w:rsidRPr="006671F3">
              <w:rPr>
                <w:rFonts w:hint="eastAsia"/>
                <w:sz w:val="22"/>
                <w:szCs w:val="22"/>
                <w14:ligatures w14:val="standardContextual"/>
              </w:rPr>
              <w:t>（</w:t>
            </w:r>
            <w:r w:rsidRPr="006671F3">
              <w:rPr>
                <w:rFonts w:hint="eastAsia"/>
                <w:sz w:val="22"/>
                <w:szCs w:val="22"/>
                <w14:ligatures w14:val="standardContextual"/>
              </w:rPr>
              <w:t>Amplify</w:t>
            </w:r>
            <w:r w:rsidRPr="006671F3">
              <w:rPr>
                <w:rFonts w:hint="eastAsia"/>
                <w:sz w:val="22"/>
                <w:szCs w:val="22"/>
                <w14:ligatures w14:val="standardContextual"/>
              </w:rPr>
              <w:t>研究）方案方面，基于目前披露的有限数据，在相似的时间点，其</w:t>
            </w:r>
            <w:r w:rsidRPr="006671F3">
              <w:rPr>
                <w:rFonts w:hint="eastAsia"/>
                <w:sz w:val="22"/>
                <w:szCs w:val="22"/>
                <w14:ligatures w14:val="standardContextual"/>
              </w:rPr>
              <w:t>3</w:t>
            </w:r>
            <w:r w:rsidRPr="006671F3">
              <w:rPr>
                <w:rFonts w:hint="eastAsia"/>
                <w:sz w:val="22"/>
                <w:szCs w:val="22"/>
                <w14:ligatures w14:val="standardContextual"/>
              </w:rPr>
              <w:t>年</w:t>
            </w:r>
            <w:r w:rsidRPr="006671F3">
              <w:rPr>
                <w:rFonts w:hint="eastAsia"/>
                <w:sz w:val="22"/>
                <w:szCs w:val="22"/>
                <w14:ligatures w14:val="standardContextual"/>
              </w:rPr>
              <w:t>PFS</w:t>
            </w:r>
            <w:r w:rsidRPr="006671F3">
              <w:rPr>
                <w:rFonts w:hint="eastAsia"/>
                <w:sz w:val="22"/>
                <w:szCs w:val="22"/>
                <w14:ligatures w14:val="standardContextual"/>
              </w:rPr>
              <w:t>率仅为</w:t>
            </w:r>
            <w:r w:rsidRPr="006671F3">
              <w:rPr>
                <w:rFonts w:hint="eastAsia"/>
                <w:sz w:val="22"/>
                <w:szCs w:val="22"/>
                <w14:ligatures w14:val="standardContextual"/>
              </w:rPr>
              <w:t>69%</w:t>
            </w:r>
            <w:r w:rsidRPr="006671F3">
              <w:rPr>
                <w:rFonts w:hint="eastAsia"/>
                <w:sz w:val="22"/>
                <w:szCs w:val="22"/>
                <w14:ligatures w14:val="standardContextual"/>
              </w:rPr>
              <w:t>，同样低于</w:t>
            </w:r>
            <w:r w:rsidRPr="006671F3">
              <w:rPr>
                <w:rFonts w:hint="eastAsia"/>
                <w:sz w:val="22"/>
                <w:szCs w:val="22"/>
                <w14:ligatures w14:val="standardContextual"/>
              </w:rPr>
              <w:t>VO</w:t>
            </w:r>
            <w:r w:rsidRPr="006671F3">
              <w:rPr>
                <w:rFonts w:hint="eastAsia"/>
                <w:sz w:val="22"/>
                <w:szCs w:val="22"/>
                <w14:ligatures w14:val="standardContextual"/>
              </w:rPr>
              <w:t>方案。这传递了几则关键信息：首先，我们高度认可固定疗程的治疗理念，但现有的含维奈克拉的方案对高危患者而言并非理想之选，而在这一群体中，百悦泽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已经积累了同类最佳的基石性数据。其次，在</w:t>
            </w:r>
            <w:r w:rsidRPr="006671F3">
              <w:rPr>
                <w:rFonts w:hint="eastAsia"/>
                <w:sz w:val="22"/>
                <w:szCs w:val="22"/>
                <w14:ligatures w14:val="standardContextual"/>
              </w:rPr>
              <w:t>CLL</w:t>
            </w:r>
            <w:r w:rsidRPr="006671F3">
              <w:rPr>
                <w:rFonts w:hint="eastAsia"/>
                <w:sz w:val="22"/>
                <w:szCs w:val="22"/>
                <w14:ligatures w14:val="standardContextual"/>
              </w:rPr>
              <w:t>治疗中，长期随访至关重要</w:t>
            </w:r>
            <w:r>
              <w:rPr>
                <w:rFonts w:hint="eastAsia"/>
                <w:sz w:val="22"/>
                <w:szCs w:val="22"/>
                <w14:ligatures w14:val="standardContextual"/>
              </w:rPr>
              <w:t>，</w:t>
            </w:r>
            <w:r w:rsidRPr="006671F3">
              <w:rPr>
                <w:rFonts w:hint="eastAsia"/>
                <w:sz w:val="22"/>
                <w:szCs w:val="22"/>
                <w14:ligatures w14:val="standardContextual"/>
              </w:rPr>
              <w:t>许多方案在第</w:t>
            </w:r>
            <w:r w:rsidRPr="006671F3">
              <w:rPr>
                <w:rFonts w:hint="eastAsia"/>
                <w:sz w:val="22"/>
                <w:szCs w:val="22"/>
                <w14:ligatures w14:val="standardContextual"/>
              </w:rPr>
              <w:t>3</w:t>
            </w:r>
            <w:r w:rsidRPr="006671F3">
              <w:rPr>
                <w:rFonts w:hint="eastAsia"/>
                <w:sz w:val="22"/>
                <w:szCs w:val="22"/>
                <w14:ligatures w14:val="standardContextual"/>
              </w:rPr>
              <w:t>年时看似前景广阔，但到了第</w:t>
            </w:r>
            <w:r w:rsidRPr="006671F3">
              <w:rPr>
                <w:rFonts w:hint="eastAsia"/>
                <w:sz w:val="22"/>
                <w:szCs w:val="22"/>
                <w14:ligatures w14:val="standardContextual"/>
              </w:rPr>
              <w:t>6</w:t>
            </w:r>
            <w:r w:rsidRPr="006671F3">
              <w:rPr>
                <w:rFonts w:hint="eastAsia"/>
                <w:sz w:val="22"/>
                <w:szCs w:val="22"/>
                <w14:ligatures w14:val="standardContextual"/>
              </w:rPr>
              <w:t>年时，疗效结局往往会出现显著分化，高危患者更是首当其冲。正因如此，我们在临床研究中始终将长期随访置于优先考量。我们坚信，只有六年数据才能全面、客观地反映治疗效果的持久性，仅凭三年甚至更短时间的数据便仓促下结论的做法，令我们深感忧虑。令我们颇感意外的是，部分研究并未持续披露长期随访数据。然而，第三至第六年恰恰是评估</w:t>
            </w:r>
            <w:r w:rsidRPr="006671F3">
              <w:rPr>
                <w:rFonts w:hint="eastAsia"/>
                <w:sz w:val="22"/>
                <w:szCs w:val="22"/>
                <w14:ligatures w14:val="standardContextual"/>
              </w:rPr>
              <w:t>CLL</w:t>
            </w:r>
            <w:r w:rsidRPr="006671F3">
              <w:rPr>
                <w:rFonts w:hint="eastAsia"/>
                <w:sz w:val="22"/>
                <w:szCs w:val="22"/>
                <w14:ligatures w14:val="standardContextual"/>
              </w:rPr>
              <w:t>疗法真实长期获益的关键窗口。毕竟，</w:t>
            </w:r>
            <w:r w:rsidRPr="006671F3">
              <w:rPr>
                <w:rFonts w:hint="eastAsia"/>
                <w:sz w:val="22"/>
                <w:szCs w:val="22"/>
                <w14:ligatures w14:val="standardContextual"/>
              </w:rPr>
              <w:lastRenderedPageBreak/>
              <w:t>这关乎患者的最终获益。</w:t>
            </w:r>
          </w:p>
          <w:p w14:paraId="51EDD3A2" w14:textId="77777777" w:rsidR="009A3FF6" w:rsidRPr="006671F3"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基石性临床数据中的持久性优势，正在真实世界证据中不断得到强化，其表现高度一致且令人信服。在</w:t>
            </w:r>
            <w:r w:rsidRPr="006671F3">
              <w:rPr>
                <w:rFonts w:hint="eastAsia"/>
                <w:sz w:val="22"/>
                <w:szCs w:val="22"/>
                <w14:ligatures w14:val="standardContextual"/>
              </w:rPr>
              <w:t>2026</w:t>
            </w:r>
            <w:r w:rsidRPr="006671F3">
              <w:rPr>
                <w:rFonts w:hint="eastAsia"/>
                <w:sz w:val="22"/>
                <w:szCs w:val="22"/>
                <w14:ligatures w14:val="standardContextual"/>
              </w:rPr>
              <w:t>年</w:t>
            </w:r>
            <w:r w:rsidRPr="006671F3">
              <w:rPr>
                <w:rFonts w:hint="eastAsia"/>
                <w:sz w:val="22"/>
                <w:szCs w:val="22"/>
                <w14:ligatures w14:val="standardContextual"/>
              </w:rPr>
              <w:t>ASCO</w:t>
            </w:r>
            <w:r w:rsidRPr="006671F3">
              <w:rPr>
                <w:rFonts w:hint="eastAsia"/>
                <w:sz w:val="22"/>
                <w:szCs w:val="22"/>
                <w14:ligatures w14:val="standardContextual"/>
              </w:rPr>
              <w:t>年会上，我们公布了一项分析，该分析基于</w:t>
            </w:r>
            <w:r w:rsidRPr="006671F3">
              <w:rPr>
                <w:rFonts w:hint="eastAsia"/>
                <w:sz w:val="22"/>
                <w:szCs w:val="22"/>
                <w14:ligatures w14:val="standardContextual"/>
              </w:rPr>
              <w:t>10,500</w:t>
            </w:r>
            <w:r w:rsidRPr="006671F3">
              <w:rPr>
                <w:rFonts w:hint="eastAsia"/>
                <w:sz w:val="22"/>
                <w:szCs w:val="22"/>
                <w14:ligatures w14:val="standardContextual"/>
              </w:rPr>
              <w:t>多例初治</w:t>
            </w:r>
            <w:r w:rsidRPr="006671F3">
              <w:rPr>
                <w:rFonts w:hint="eastAsia"/>
                <w:sz w:val="22"/>
                <w:szCs w:val="22"/>
                <w14:ligatures w14:val="standardContextual"/>
              </w:rPr>
              <w:t>CLL</w:t>
            </w:r>
            <w:r w:rsidRPr="006671F3">
              <w:rPr>
                <w:rFonts w:hint="eastAsia"/>
                <w:sz w:val="22"/>
                <w:szCs w:val="22"/>
                <w14:ligatures w14:val="standardContextual"/>
              </w:rPr>
              <w:t>患者的</w:t>
            </w:r>
            <w:r w:rsidRPr="006671F3">
              <w:rPr>
                <w:rFonts w:hint="eastAsia"/>
                <w:sz w:val="22"/>
                <w:szCs w:val="22"/>
                <w14:ligatures w14:val="standardContextual"/>
              </w:rPr>
              <w:t>Medicare</w:t>
            </w:r>
            <w:r w:rsidRPr="006671F3">
              <w:rPr>
                <w:rFonts w:hint="eastAsia"/>
                <w:sz w:val="22"/>
                <w:szCs w:val="22"/>
                <w14:ligatures w14:val="standardContextual"/>
              </w:rPr>
              <w:t>（美国联邦医疗保险）按服务付费数据。这是迄今为止在该治疗领域收集的最大规模真实世界数据集。在这部分人群中，与阿可替尼和伊布替尼相比，百悦泽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死亡风险分别显著降低了</w:t>
            </w:r>
            <w:r w:rsidRPr="006671F3">
              <w:rPr>
                <w:rFonts w:hint="eastAsia"/>
                <w:sz w:val="22"/>
                <w:szCs w:val="22"/>
                <w14:ligatures w14:val="standardContextual"/>
              </w:rPr>
              <w:t>24%</w:t>
            </w:r>
            <w:r w:rsidRPr="006671F3">
              <w:rPr>
                <w:rFonts w:hint="eastAsia"/>
                <w:sz w:val="22"/>
                <w:szCs w:val="22"/>
                <w14:ligatures w14:val="standardContextual"/>
              </w:rPr>
              <w:t>和</w:t>
            </w:r>
            <w:r w:rsidRPr="006671F3">
              <w:rPr>
                <w:rFonts w:hint="eastAsia"/>
                <w:sz w:val="22"/>
                <w:szCs w:val="22"/>
                <w14:ligatures w14:val="standardContextual"/>
              </w:rPr>
              <w:t>36%</w:t>
            </w:r>
            <w:r w:rsidRPr="006671F3">
              <w:rPr>
                <w:rFonts w:hint="eastAsia"/>
                <w:sz w:val="22"/>
                <w:szCs w:val="22"/>
                <w14:ligatures w14:val="standardContextual"/>
              </w:rPr>
              <w:t>，且均具有统计学显著性。毫无疑问，凭借庞大的数据体量，以及研究结果对美国</w:t>
            </w:r>
            <w:r w:rsidRPr="006671F3">
              <w:rPr>
                <w:rFonts w:hint="eastAsia"/>
                <w:sz w:val="22"/>
                <w:szCs w:val="22"/>
                <w14:ligatures w14:val="standardContextual"/>
              </w:rPr>
              <w:t>Medicare</w:t>
            </w:r>
            <w:r w:rsidRPr="006671F3">
              <w:rPr>
                <w:rFonts w:hint="eastAsia"/>
                <w:sz w:val="22"/>
                <w:szCs w:val="22"/>
                <w14:ligatures w14:val="standardContextual"/>
              </w:rPr>
              <w:t>真实世界人群的重要价值，这项分析在</w:t>
            </w:r>
            <w:r w:rsidRPr="006671F3">
              <w:rPr>
                <w:rFonts w:hint="eastAsia"/>
                <w:sz w:val="22"/>
                <w:szCs w:val="22"/>
                <w14:ligatures w14:val="standardContextual"/>
              </w:rPr>
              <w:t>ASCO</w:t>
            </w:r>
            <w:r w:rsidRPr="006671F3">
              <w:rPr>
                <w:rFonts w:hint="eastAsia"/>
                <w:sz w:val="22"/>
                <w:szCs w:val="22"/>
                <w14:ligatures w14:val="standardContextual"/>
              </w:rPr>
              <w:t>年会上引起了临床医生的高度关注。目前，该研究已正式发表于同行评审期刊。重要的是，目前几项大型真实世界分析均显示百悦泽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具有持续优势，其中包括最近一项对</w:t>
            </w:r>
            <w:r w:rsidRPr="006671F3">
              <w:rPr>
                <w:rFonts w:hint="eastAsia"/>
                <w:sz w:val="22"/>
                <w:szCs w:val="22"/>
                <w14:ligatures w14:val="standardContextual"/>
              </w:rPr>
              <w:t>17,000</w:t>
            </w:r>
            <w:r w:rsidRPr="006671F3">
              <w:rPr>
                <w:rFonts w:hint="eastAsia"/>
                <w:sz w:val="22"/>
                <w:szCs w:val="22"/>
                <w14:ligatures w14:val="standardContextual"/>
              </w:rPr>
              <w:t>例一线</w:t>
            </w:r>
            <w:r w:rsidRPr="006671F3">
              <w:rPr>
                <w:rFonts w:hint="eastAsia"/>
                <w:sz w:val="22"/>
                <w:szCs w:val="22"/>
                <w14:ligatures w14:val="standardContextual"/>
              </w:rPr>
              <w:t>CLL</w:t>
            </w:r>
            <w:r w:rsidRPr="006671F3">
              <w:rPr>
                <w:rFonts w:hint="eastAsia"/>
                <w:sz w:val="22"/>
                <w:szCs w:val="22"/>
                <w14:ligatures w14:val="standardContextual"/>
              </w:rPr>
              <w:t>患者的索赔数据进行的研究，该研究也报告称，与阿可替尼相比，百悦泽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可改善生存期和治疗持久性。</w:t>
            </w:r>
          </w:p>
          <w:p w14:paraId="2BDCD03C" w14:textId="77777777" w:rsidR="009A3FF6" w:rsidRPr="006671F3"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放眼全局：百济神州是全球唯一在</w:t>
            </w:r>
            <w:r w:rsidRPr="006671F3">
              <w:rPr>
                <w:rFonts w:hint="eastAsia"/>
                <w:sz w:val="22"/>
                <w:szCs w:val="22"/>
                <w14:ligatures w14:val="standardContextual"/>
              </w:rPr>
              <w:t>CLL</w:t>
            </w:r>
            <w:r w:rsidRPr="006671F3">
              <w:rPr>
                <w:rFonts w:hint="eastAsia"/>
                <w:sz w:val="22"/>
                <w:szCs w:val="22"/>
                <w14:ligatures w14:val="standardContextual"/>
              </w:rPr>
              <w:t>和其他</w:t>
            </w:r>
            <w:r w:rsidRPr="006671F3">
              <w:rPr>
                <w:rFonts w:hint="eastAsia"/>
                <w:sz w:val="22"/>
                <w:szCs w:val="22"/>
                <w14:ligatures w14:val="standardContextual"/>
              </w:rPr>
              <w:t>B</w:t>
            </w:r>
            <w:r w:rsidRPr="006671F3">
              <w:rPr>
                <w:rFonts w:hint="eastAsia"/>
                <w:sz w:val="22"/>
                <w:szCs w:val="22"/>
                <w14:ligatures w14:val="standardContextual"/>
              </w:rPr>
              <w:t>细胞恶性肿瘤领域拥有三款基石性产品的公司。百悦泽</w:t>
            </w:r>
            <w:r w:rsidRPr="00095040">
              <w:rPr>
                <w:rFonts w:hint="eastAsia"/>
                <w:sz w:val="22"/>
                <w:szCs w:val="22"/>
                <w:vertAlign w:val="superscript"/>
                <w14:ligatures w14:val="standardContextual"/>
              </w:rPr>
              <w:t>®</w:t>
            </w:r>
            <w:r w:rsidRPr="006671F3">
              <w:rPr>
                <w:rFonts w:hint="eastAsia"/>
                <w:sz w:val="22"/>
                <w:szCs w:val="22"/>
                <w14:ligatures w14:val="standardContextual"/>
              </w:rPr>
              <w:t>——我们的基石性</w:t>
            </w:r>
            <w:r w:rsidRPr="006671F3">
              <w:rPr>
                <w:rFonts w:hint="eastAsia"/>
                <w:sz w:val="22"/>
                <w:szCs w:val="22"/>
                <w14:ligatures w14:val="standardContextual"/>
              </w:rPr>
              <w:t>BTK</w:t>
            </w:r>
            <w:r w:rsidRPr="006671F3">
              <w:rPr>
                <w:rFonts w:hint="eastAsia"/>
                <w:sz w:val="22"/>
                <w:szCs w:val="22"/>
                <w14:ligatures w14:val="standardContextual"/>
              </w:rPr>
              <w:t>抑制剂</w:t>
            </w:r>
            <w:r>
              <w:rPr>
                <w:rFonts w:hint="eastAsia"/>
                <w:sz w:val="22"/>
                <w:szCs w:val="22"/>
                <w14:ligatures w14:val="standardContextual"/>
              </w:rPr>
              <w:t>；</w:t>
            </w:r>
            <w:r w:rsidRPr="006671F3">
              <w:rPr>
                <w:rFonts w:hint="eastAsia"/>
                <w:sz w:val="22"/>
                <w:szCs w:val="22"/>
                <w14:ligatures w14:val="standardContextual"/>
              </w:rPr>
              <w:t>百悦达</w:t>
            </w:r>
            <w:r w:rsidRPr="00095040">
              <w:rPr>
                <w:rFonts w:hint="eastAsia"/>
                <w:sz w:val="22"/>
                <w:szCs w:val="22"/>
                <w:vertAlign w:val="superscript"/>
                <w14:ligatures w14:val="standardContextual"/>
              </w:rPr>
              <w:t>®</w:t>
            </w:r>
            <w:r w:rsidRPr="006671F3">
              <w:rPr>
                <w:rFonts w:hint="eastAsia"/>
                <w:sz w:val="22"/>
                <w:szCs w:val="22"/>
                <w14:ligatures w14:val="standardContextual"/>
              </w:rPr>
              <w:t>——我们近期获批的新一代潜在同类最优</w:t>
            </w:r>
            <w:r w:rsidRPr="006671F3">
              <w:rPr>
                <w:rFonts w:hint="eastAsia"/>
                <w:sz w:val="22"/>
                <w:szCs w:val="22"/>
                <w14:ligatures w14:val="standardContextual"/>
              </w:rPr>
              <w:t>BCL2</w:t>
            </w:r>
            <w:r w:rsidRPr="006671F3">
              <w:rPr>
                <w:rFonts w:hint="eastAsia"/>
                <w:sz w:val="22"/>
                <w:szCs w:val="22"/>
                <w14:ligatures w14:val="standardContextual"/>
              </w:rPr>
              <w:t>抑制剂</w:t>
            </w:r>
            <w:r>
              <w:rPr>
                <w:rFonts w:hint="eastAsia"/>
                <w:sz w:val="22"/>
                <w:szCs w:val="22"/>
                <w14:ligatures w14:val="standardContextual"/>
              </w:rPr>
              <w:t>；</w:t>
            </w:r>
            <w:r w:rsidRPr="006671F3">
              <w:rPr>
                <w:rFonts w:hint="eastAsia"/>
                <w:sz w:val="22"/>
                <w:szCs w:val="22"/>
                <w14:ligatures w14:val="standardContextual"/>
              </w:rPr>
              <w:t>以及</w:t>
            </w:r>
            <w:r w:rsidRPr="006671F3">
              <w:rPr>
                <w:rFonts w:hint="eastAsia"/>
                <w:sz w:val="22"/>
                <w:szCs w:val="22"/>
                <w14:ligatures w14:val="standardContextual"/>
              </w:rPr>
              <w:t>tacabrutideg</w:t>
            </w:r>
            <w:r w:rsidRPr="006671F3">
              <w:rPr>
                <w:rFonts w:hint="eastAsia"/>
                <w:sz w:val="22"/>
                <w:szCs w:val="22"/>
                <w14:ligatures w14:val="standardContextual"/>
              </w:rPr>
              <w:t>——我们潜在的同类首创且同类最优的</w:t>
            </w:r>
            <w:r w:rsidRPr="006671F3">
              <w:rPr>
                <w:rFonts w:hint="eastAsia"/>
                <w:sz w:val="22"/>
                <w:szCs w:val="22"/>
                <w14:ligatures w14:val="standardContextual"/>
              </w:rPr>
              <w:t>BTK</w:t>
            </w:r>
            <w:r w:rsidRPr="006671F3">
              <w:rPr>
                <w:rFonts w:hint="eastAsia"/>
                <w:sz w:val="22"/>
                <w:szCs w:val="22"/>
                <w14:ligatures w14:val="standardContextual"/>
              </w:rPr>
              <w:t>降解剂。只有百济神州有能力为每一位</w:t>
            </w:r>
            <w:r w:rsidRPr="006671F3">
              <w:rPr>
                <w:rFonts w:hint="eastAsia"/>
                <w:sz w:val="22"/>
                <w:szCs w:val="22"/>
                <w14:ligatures w14:val="standardContextual"/>
              </w:rPr>
              <w:t>CLL</w:t>
            </w:r>
            <w:r w:rsidRPr="006671F3">
              <w:rPr>
                <w:rFonts w:hint="eastAsia"/>
                <w:sz w:val="22"/>
                <w:szCs w:val="22"/>
                <w14:ligatures w14:val="standardContextual"/>
              </w:rPr>
              <w:t>患者提供同类最优的治疗方案——无论是单药还是联合治疗，无论其疾病分期、风险状态或治疗偏好如何。</w:t>
            </w:r>
          </w:p>
          <w:p w14:paraId="512D543B" w14:textId="77777777" w:rsidR="009A3FF6" w:rsidRDefault="009A3FF6" w:rsidP="008429E6">
            <w:pPr>
              <w:overflowPunct w:val="0"/>
              <w:autoSpaceDE w:val="0"/>
              <w:autoSpaceDN w:val="0"/>
              <w:spacing w:line="360" w:lineRule="auto"/>
              <w:ind w:firstLineChars="200" w:firstLine="440"/>
              <w:rPr>
                <w:sz w:val="22"/>
                <w:szCs w:val="22"/>
                <w14:ligatures w14:val="standardContextual"/>
              </w:rPr>
            </w:pPr>
            <w:r w:rsidRPr="006671F3">
              <w:rPr>
                <w:rFonts w:hint="eastAsia"/>
                <w:sz w:val="22"/>
                <w:szCs w:val="22"/>
                <w14:ligatures w14:val="standardContextual"/>
              </w:rPr>
              <w:t>我曾提到，</w:t>
            </w:r>
            <w:r w:rsidRPr="006671F3">
              <w:rPr>
                <w:rFonts w:hint="eastAsia"/>
                <w:sz w:val="22"/>
                <w:szCs w:val="22"/>
                <w14:ligatures w14:val="standardContextual"/>
              </w:rPr>
              <w:t>2026</w:t>
            </w:r>
            <w:r w:rsidRPr="006671F3">
              <w:rPr>
                <w:rFonts w:hint="eastAsia"/>
                <w:sz w:val="22"/>
                <w:szCs w:val="22"/>
                <w14:ligatures w14:val="standardContextual"/>
              </w:rPr>
              <w:t>年是我们实体瘤管线迎来拐点的关键之年。本季度公布的数据，进一步坚定了我们推进</w:t>
            </w:r>
            <w:r w:rsidRPr="006671F3">
              <w:rPr>
                <w:rFonts w:hint="eastAsia"/>
                <w:sz w:val="22"/>
                <w:szCs w:val="22"/>
                <w14:ligatures w14:val="standardContextual"/>
              </w:rPr>
              <w:t>CDK4</w:t>
            </w:r>
            <w:r w:rsidRPr="006671F3">
              <w:rPr>
                <w:rFonts w:hint="eastAsia"/>
                <w:sz w:val="22"/>
                <w:szCs w:val="22"/>
                <w14:ligatures w14:val="standardContextual"/>
              </w:rPr>
              <w:t>抑制剂、</w:t>
            </w:r>
            <w:r w:rsidRPr="006671F3">
              <w:rPr>
                <w:rFonts w:hint="eastAsia"/>
                <w:sz w:val="22"/>
                <w:szCs w:val="22"/>
                <w14:ligatures w14:val="standardContextual"/>
              </w:rPr>
              <w:t>B7-H4 ADC</w:t>
            </w:r>
            <w:r w:rsidRPr="006671F3">
              <w:rPr>
                <w:rFonts w:hint="eastAsia"/>
                <w:sz w:val="22"/>
                <w:szCs w:val="22"/>
                <w14:ligatures w14:val="standardContextual"/>
              </w:rPr>
              <w:t>以及</w:t>
            </w:r>
            <w:r w:rsidRPr="006671F3">
              <w:rPr>
                <w:rFonts w:hint="eastAsia"/>
                <w:sz w:val="22"/>
                <w:szCs w:val="22"/>
                <w14:ligatures w14:val="standardContextual"/>
              </w:rPr>
              <w:t xml:space="preserve">GPC3 </w:t>
            </w:r>
            <w:r w:rsidRPr="006671F3">
              <w:rPr>
                <w:rFonts w:hint="eastAsia"/>
                <w:sz w:val="22"/>
                <w:szCs w:val="22"/>
                <w14:ligatures w14:val="standardContextual"/>
              </w:rPr>
              <w:t>×</w:t>
            </w:r>
            <w:r w:rsidRPr="006671F3">
              <w:rPr>
                <w:rFonts w:hint="eastAsia"/>
                <w:sz w:val="22"/>
                <w:szCs w:val="22"/>
                <w14:ligatures w14:val="standardContextual"/>
              </w:rPr>
              <w:t xml:space="preserve"> 41BB</w:t>
            </w:r>
            <w:r w:rsidRPr="006671F3">
              <w:rPr>
                <w:rFonts w:hint="eastAsia"/>
                <w:sz w:val="22"/>
                <w:szCs w:val="22"/>
                <w14:ligatures w14:val="standardContextual"/>
              </w:rPr>
              <w:t>双特异性抗体进入后期临床开发的信心。展望即将到来的</w:t>
            </w:r>
            <w:r w:rsidRPr="006671F3">
              <w:rPr>
                <w:rFonts w:hint="eastAsia"/>
                <w:sz w:val="22"/>
                <w:szCs w:val="22"/>
                <w14:ligatures w14:val="standardContextual"/>
              </w:rPr>
              <w:t>ESMO</w:t>
            </w:r>
            <w:r w:rsidRPr="006671F3">
              <w:rPr>
                <w:rFonts w:hint="eastAsia"/>
                <w:sz w:val="22"/>
                <w:szCs w:val="22"/>
                <w14:ligatures w14:val="standardContextual"/>
              </w:rPr>
              <w:t>年会，我们还将分享另外两款潜在同类最优药物——</w:t>
            </w:r>
            <w:r w:rsidRPr="006671F3">
              <w:rPr>
                <w:rFonts w:hint="eastAsia"/>
                <w:sz w:val="22"/>
                <w:szCs w:val="22"/>
                <w14:ligatures w14:val="standardContextual"/>
              </w:rPr>
              <w:t>PRMT5</w:t>
            </w:r>
            <w:r w:rsidRPr="006671F3">
              <w:rPr>
                <w:rFonts w:hint="eastAsia"/>
                <w:sz w:val="22"/>
                <w:szCs w:val="22"/>
                <w14:ligatures w14:val="standardContextual"/>
              </w:rPr>
              <w:t>抑制剂和</w:t>
            </w:r>
            <w:r w:rsidRPr="006671F3">
              <w:rPr>
                <w:rFonts w:hint="eastAsia"/>
                <w:sz w:val="22"/>
                <w:szCs w:val="22"/>
                <w14:ligatures w14:val="standardContextual"/>
              </w:rPr>
              <w:t>CEA ADC</w:t>
            </w:r>
            <w:r w:rsidRPr="006671F3">
              <w:rPr>
                <w:rFonts w:hint="eastAsia"/>
                <w:sz w:val="22"/>
                <w:szCs w:val="22"/>
                <w14:ligatures w14:val="standardContextual"/>
              </w:rPr>
              <w:t>的概念验证数据。对公司、产品组合以及研发管线而言，这无疑是一个令人无比振奋的时刻。接下来，有请</w:t>
            </w:r>
            <w:r w:rsidRPr="009413DC">
              <w:rPr>
                <w:sz w:val="22"/>
                <w:szCs w:val="22"/>
                <w14:ligatures w14:val="standardContextual"/>
              </w:rPr>
              <w:t>首席财务官</w:t>
            </w:r>
            <w:r w:rsidRPr="009413DC">
              <w:rPr>
                <w:sz w:val="22"/>
                <w:szCs w:val="22"/>
                <w14:ligatures w14:val="standardContextual"/>
              </w:rPr>
              <w:t>Aaron</w:t>
            </w:r>
            <w:r w:rsidRPr="006671F3">
              <w:rPr>
                <w:rFonts w:hint="eastAsia"/>
                <w:sz w:val="22"/>
                <w:szCs w:val="22"/>
                <w14:ligatures w14:val="standardContextual"/>
              </w:rPr>
              <w:t>为大家解读财务业绩。</w:t>
            </w:r>
          </w:p>
          <w:p w14:paraId="53052B62" w14:textId="77777777" w:rsidR="009A3FF6" w:rsidRPr="009413DC" w:rsidRDefault="009A3FF6" w:rsidP="008429E6">
            <w:pPr>
              <w:overflowPunct w:val="0"/>
              <w:autoSpaceDE w:val="0"/>
              <w:autoSpaceDN w:val="0"/>
              <w:spacing w:line="360" w:lineRule="auto"/>
              <w:ind w:firstLineChars="200" w:firstLine="440"/>
              <w:rPr>
                <w:sz w:val="22"/>
                <w:szCs w:val="22"/>
                <w14:ligatures w14:val="standardContextual"/>
              </w:rPr>
            </w:pPr>
          </w:p>
          <w:p w14:paraId="085E212D" w14:textId="77777777" w:rsidR="009A3FF6" w:rsidRPr="00695B95" w:rsidRDefault="009A3FF6" w:rsidP="008429E6">
            <w:pPr>
              <w:overflowPunct w:val="0"/>
              <w:autoSpaceDE w:val="0"/>
              <w:autoSpaceDN w:val="0"/>
              <w:spacing w:line="360" w:lineRule="auto"/>
              <w:ind w:firstLineChars="200" w:firstLine="442"/>
              <w:rPr>
                <w:b/>
                <w:bCs/>
                <w:sz w:val="22"/>
                <w:szCs w:val="22"/>
                <w14:ligatures w14:val="standardContextual"/>
              </w:rPr>
            </w:pPr>
            <w:r w:rsidRPr="00695B95">
              <w:rPr>
                <w:rFonts w:hint="eastAsia"/>
                <w:b/>
                <w:bCs/>
                <w:sz w:val="22"/>
                <w:szCs w:val="22"/>
                <w14:ligatures w14:val="standardContextual"/>
              </w:rPr>
              <w:t>公司首席财务官</w:t>
            </w:r>
            <w:r w:rsidRPr="00695B95">
              <w:rPr>
                <w:b/>
                <w:bCs/>
                <w:sz w:val="22"/>
                <w:szCs w:val="22"/>
                <w14:ligatures w14:val="standardContextual"/>
              </w:rPr>
              <w:t>Aaron Rosenberg</w:t>
            </w:r>
            <w:r w:rsidRPr="00695B95">
              <w:rPr>
                <w:rFonts w:hint="eastAsia"/>
                <w:b/>
                <w:bCs/>
                <w:sz w:val="22"/>
                <w:szCs w:val="22"/>
                <w14:ligatures w14:val="standardContextual"/>
              </w:rPr>
              <w:t>介绍公司财务业绩及</w:t>
            </w:r>
            <w:r w:rsidRPr="00695B95">
              <w:rPr>
                <w:b/>
                <w:bCs/>
                <w:sz w:val="22"/>
                <w:szCs w:val="22"/>
                <w14:ligatures w14:val="standardContextual"/>
              </w:rPr>
              <w:t>2026</w:t>
            </w:r>
            <w:r w:rsidRPr="00695B95">
              <w:rPr>
                <w:rFonts w:hint="eastAsia"/>
                <w:b/>
                <w:bCs/>
                <w:sz w:val="22"/>
                <w:szCs w:val="22"/>
                <w14:ligatures w14:val="standardContextual"/>
              </w:rPr>
              <w:t>年</w:t>
            </w:r>
            <w:r>
              <w:rPr>
                <w:rFonts w:hint="eastAsia"/>
                <w:b/>
                <w:bCs/>
                <w:sz w:val="22"/>
                <w:szCs w:val="22"/>
                <w14:ligatures w14:val="standardContextual"/>
              </w:rPr>
              <w:t>更新</w:t>
            </w:r>
            <w:r w:rsidRPr="00695B95">
              <w:rPr>
                <w:rFonts w:hint="eastAsia"/>
                <w:b/>
                <w:bCs/>
                <w:sz w:val="22"/>
                <w:szCs w:val="22"/>
                <w14:ligatures w14:val="standardContextual"/>
              </w:rPr>
              <w:t>指引：</w:t>
            </w:r>
          </w:p>
          <w:p w14:paraId="1E2B7545" w14:textId="77777777" w:rsidR="009A3FF6" w:rsidRPr="00805AD6" w:rsidRDefault="009A3FF6" w:rsidP="008429E6">
            <w:pPr>
              <w:overflowPunct w:val="0"/>
              <w:autoSpaceDE w:val="0"/>
              <w:autoSpaceDN w:val="0"/>
              <w:spacing w:line="360" w:lineRule="auto"/>
              <w:ind w:firstLineChars="200" w:firstLine="440"/>
              <w:rPr>
                <w:sz w:val="22"/>
                <w:szCs w:val="22"/>
                <w14:ligatures w14:val="standardContextual"/>
              </w:rPr>
            </w:pPr>
            <w:r w:rsidRPr="00805AD6">
              <w:rPr>
                <w:rFonts w:hint="eastAsia"/>
                <w:sz w:val="22"/>
                <w:szCs w:val="22"/>
                <w14:ligatures w14:val="standardContextual"/>
              </w:rPr>
              <w:lastRenderedPageBreak/>
              <w:t>第二季度财务业绩彰显了公司卓越的执行力与稳健的基本面，同时我们秉持审慎投资原则，助力实现长期增长。</w:t>
            </w:r>
          </w:p>
          <w:p w14:paraId="043E9B35" w14:textId="77777777" w:rsidR="009A3FF6" w:rsidRPr="00805AD6" w:rsidRDefault="009A3FF6" w:rsidP="008429E6">
            <w:pPr>
              <w:overflowPunct w:val="0"/>
              <w:autoSpaceDE w:val="0"/>
              <w:autoSpaceDN w:val="0"/>
              <w:spacing w:line="360" w:lineRule="auto"/>
              <w:ind w:firstLineChars="200" w:firstLine="440"/>
              <w:rPr>
                <w:sz w:val="22"/>
                <w:szCs w:val="22"/>
                <w14:ligatures w14:val="standardContextual"/>
              </w:rPr>
            </w:pPr>
            <w:r w:rsidRPr="00805AD6">
              <w:rPr>
                <w:rFonts w:hint="eastAsia"/>
                <w:sz w:val="22"/>
                <w:szCs w:val="22"/>
                <w14:ligatures w14:val="standardContextual"/>
              </w:rPr>
              <w:t>首先来看商业化表现。本季度各产品组合均表现强劲，实现广泛增长。本季度总收入达</w:t>
            </w:r>
            <w:r w:rsidRPr="00805AD6">
              <w:rPr>
                <w:rFonts w:hint="eastAsia"/>
                <w:sz w:val="22"/>
                <w:szCs w:val="22"/>
                <w14:ligatures w14:val="standardContextual"/>
              </w:rPr>
              <w:t>17</w:t>
            </w:r>
            <w:r w:rsidRPr="00805AD6">
              <w:rPr>
                <w:rFonts w:hint="eastAsia"/>
                <w:sz w:val="22"/>
                <w:szCs w:val="22"/>
                <w14:ligatures w14:val="standardContextual"/>
              </w:rPr>
              <w:t>亿美元，同比增长</w:t>
            </w:r>
            <w:r w:rsidRPr="00805AD6">
              <w:rPr>
                <w:rFonts w:hint="eastAsia"/>
                <w:sz w:val="22"/>
                <w:szCs w:val="22"/>
                <w14:ligatures w14:val="standardContextual"/>
              </w:rPr>
              <w:t>30%</w:t>
            </w:r>
            <w:r w:rsidRPr="00805AD6">
              <w:rPr>
                <w:rFonts w:hint="eastAsia"/>
                <w:sz w:val="22"/>
                <w:szCs w:val="22"/>
                <w14:ligatures w14:val="standardContextual"/>
              </w:rPr>
              <w:t>。百悦泽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在美国市场的销售额达到</w:t>
            </w:r>
            <w:r w:rsidRPr="00805AD6">
              <w:rPr>
                <w:rFonts w:hint="eastAsia"/>
                <w:sz w:val="22"/>
                <w:szCs w:val="22"/>
                <w14:ligatures w14:val="standardContextual"/>
              </w:rPr>
              <w:t>8.93</w:t>
            </w:r>
            <w:r w:rsidRPr="00805AD6">
              <w:rPr>
                <w:rFonts w:hint="eastAsia"/>
                <w:sz w:val="22"/>
                <w:szCs w:val="22"/>
                <w14:ligatures w14:val="standardContextual"/>
              </w:rPr>
              <w:t>亿美元，同比增长</w:t>
            </w:r>
            <w:r w:rsidRPr="00805AD6">
              <w:rPr>
                <w:rFonts w:hint="eastAsia"/>
                <w:sz w:val="22"/>
                <w:szCs w:val="22"/>
                <w14:ligatures w14:val="standardContextual"/>
              </w:rPr>
              <w:t>31%</w:t>
            </w:r>
            <w:r w:rsidRPr="00805AD6">
              <w:rPr>
                <w:rFonts w:hint="eastAsia"/>
                <w:sz w:val="22"/>
                <w:szCs w:val="22"/>
                <w14:ligatures w14:val="standardContextual"/>
              </w:rPr>
              <w:t>。这一强劲表现超出我们的预期，主要是受多重底层驱动因素提振。尽管竞争激烈，但在第二季度，首次接受百悦泽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治疗的新患者市场份额始终维持在最高水平。凭借全面的疗效与持久性证据、扎实的临床数据及真实世界经验，越来越多的医生选择百悦泽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。我们还欣喜地看到，除</w:t>
            </w:r>
            <w:r w:rsidRPr="00805AD6">
              <w:rPr>
                <w:rFonts w:hint="eastAsia"/>
                <w:sz w:val="22"/>
                <w:szCs w:val="22"/>
                <w14:ligatures w14:val="standardContextual"/>
              </w:rPr>
              <w:t>CLL</w:t>
            </w:r>
            <w:r w:rsidRPr="00805AD6">
              <w:rPr>
                <w:rFonts w:hint="eastAsia"/>
                <w:sz w:val="22"/>
                <w:szCs w:val="22"/>
                <w14:ligatures w14:val="standardContextual"/>
              </w:rPr>
              <w:t>以外的适应症的收入持续强劲增长，彰显百悦泽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适应症的广泛性与业务结构的持续多元化。虽然治疗持续时间数据尚未成熟，但现有数据显示其持久性优于同类产品的历史基准数据。</w:t>
            </w:r>
            <w:r w:rsidRPr="00805AD6">
              <w:rPr>
                <w:rFonts w:hint="eastAsia"/>
                <w:sz w:val="22"/>
                <w:szCs w:val="22"/>
                <w14:ligatures w14:val="standardContextual"/>
              </w:rPr>
              <w:t>SEQUOIA</w:t>
            </w:r>
            <w:r w:rsidRPr="00805AD6">
              <w:rPr>
                <w:rFonts w:hint="eastAsia"/>
                <w:sz w:val="22"/>
                <w:szCs w:val="22"/>
                <w14:ligatures w14:val="standardContextual"/>
              </w:rPr>
              <w:t>研究优异的长期数据，以及证实百悦泽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停药时间显著优于阿可替尼和伊布替尼的最新真实世界研究，符合我们在商业化表现上看到的强劲势头。最后，去年年底推出的片剂缩小了药片体积，在减轻患者负担的同时，提升了用药依从性。依从性的提高对改善患者预后至关重要，这一积极趋势令人备受鼓舞。这些驱动因素并非美国市场独有，我们预期它们将长期支撑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在全球范围内实现持久的需求增长。除百悦泽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外，百泽安</w:t>
            </w:r>
            <w:r w:rsidRPr="00095040">
              <w:rPr>
                <w:rFonts w:hint="eastAsia"/>
                <w:sz w:val="22"/>
                <w:szCs w:val="22"/>
                <w:vertAlign w:val="superscript"/>
                <w14:ligatures w14:val="standardContextual"/>
              </w:rPr>
              <w:t>®</w:t>
            </w:r>
            <w:r w:rsidRPr="00805AD6">
              <w:rPr>
                <w:rFonts w:hint="eastAsia"/>
                <w:sz w:val="22"/>
                <w:szCs w:val="22"/>
                <w14:ligatures w14:val="standardContextual"/>
              </w:rPr>
              <w:t>全球销售额达</w:t>
            </w:r>
            <w:r w:rsidRPr="00805AD6">
              <w:rPr>
                <w:rFonts w:hint="eastAsia"/>
                <w:sz w:val="22"/>
                <w:szCs w:val="22"/>
                <w14:ligatures w14:val="standardContextual"/>
              </w:rPr>
              <w:t>2.29</w:t>
            </w:r>
            <w:r w:rsidRPr="00805AD6">
              <w:rPr>
                <w:rFonts w:hint="eastAsia"/>
                <w:sz w:val="22"/>
                <w:szCs w:val="22"/>
                <w14:ligatures w14:val="standardContextual"/>
              </w:rPr>
              <w:t>亿美元，同比增长</w:t>
            </w:r>
            <w:r w:rsidRPr="00805AD6">
              <w:rPr>
                <w:rFonts w:hint="eastAsia"/>
                <w:sz w:val="22"/>
                <w:szCs w:val="22"/>
                <w14:ligatures w14:val="standardContextual"/>
              </w:rPr>
              <w:t>18%</w:t>
            </w:r>
            <w:r w:rsidRPr="00805AD6">
              <w:rPr>
                <w:rFonts w:hint="eastAsia"/>
                <w:sz w:val="22"/>
                <w:szCs w:val="22"/>
                <w14:ligatures w14:val="standardContextual"/>
              </w:rPr>
              <w:t>，面对激烈竞争，百泽安</w:t>
            </w:r>
            <w:r w:rsidRPr="00095040">
              <w:rPr>
                <w:rFonts w:hint="eastAsia"/>
                <w:sz w:val="22"/>
                <w:szCs w:val="22"/>
                <w:vertAlign w:val="superscript"/>
                <w14:ligatures w14:val="standardContextual"/>
              </w:rPr>
              <w:t>®</w:t>
            </w:r>
            <w:r w:rsidRPr="00805AD6">
              <w:rPr>
                <w:rFonts w:hint="eastAsia"/>
                <w:sz w:val="22"/>
                <w:szCs w:val="22"/>
                <w14:ligatures w14:val="standardContextual"/>
              </w:rPr>
              <w:t>在中国的市场领导地位依然稳固。百泽安</w:t>
            </w:r>
            <w:r w:rsidRPr="00095040">
              <w:rPr>
                <w:rFonts w:hint="eastAsia"/>
                <w:sz w:val="22"/>
                <w:szCs w:val="22"/>
                <w:vertAlign w:val="superscript"/>
                <w14:ligatures w14:val="standardContextual"/>
              </w:rPr>
              <w:t>®</w:t>
            </w:r>
            <w:r w:rsidRPr="00805AD6">
              <w:rPr>
                <w:rFonts w:hint="eastAsia"/>
                <w:sz w:val="22"/>
                <w:szCs w:val="22"/>
                <w14:ligatures w14:val="standardContextual"/>
              </w:rPr>
              <w:t>的全球商业化正稳步推进</w:t>
            </w:r>
            <w:r>
              <w:rPr>
                <w:rFonts w:hint="eastAsia"/>
                <w:sz w:val="22"/>
                <w:szCs w:val="22"/>
                <w14:ligatures w14:val="standardContextual"/>
              </w:rPr>
              <w:t>，</w:t>
            </w:r>
            <w:r w:rsidRPr="00805AD6">
              <w:rPr>
                <w:rFonts w:hint="eastAsia"/>
                <w:sz w:val="22"/>
                <w:szCs w:val="22"/>
                <w14:ligatures w14:val="standardContextual"/>
              </w:rPr>
              <w:t>这也将为百泽安</w:t>
            </w:r>
            <w:r w:rsidRPr="00095040">
              <w:rPr>
                <w:rFonts w:hint="eastAsia"/>
                <w:sz w:val="22"/>
                <w:szCs w:val="22"/>
                <w:vertAlign w:val="superscript"/>
                <w14:ligatures w14:val="standardContextual"/>
              </w:rPr>
              <w:t>®</w:t>
            </w:r>
            <w:r w:rsidRPr="00805AD6">
              <w:rPr>
                <w:rFonts w:hint="eastAsia"/>
                <w:sz w:val="22"/>
                <w:szCs w:val="22"/>
                <w14:ligatures w14:val="standardContextual"/>
              </w:rPr>
              <w:t>联合百赫安</w:t>
            </w:r>
            <w:r w:rsidRPr="00095040">
              <w:rPr>
                <w:rFonts w:hint="eastAsia"/>
                <w:sz w:val="22"/>
                <w:szCs w:val="22"/>
                <w:vertAlign w:val="superscript"/>
                <w14:ligatures w14:val="standardContextual"/>
              </w:rPr>
              <w:t>®</w:t>
            </w:r>
            <w:r w:rsidRPr="00805AD6">
              <w:rPr>
                <w:rFonts w:hint="eastAsia"/>
                <w:sz w:val="22"/>
                <w:szCs w:val="22"/>
                <w14:ligatures w14:val="standardContextual"/>
              </w:rPr>
              <w:t>及化疗用于一线</w:t>
            </w:r>
            <w:r w:rsidRPr="00805AD6">
              <w:rPr>
                <w:rFonts w:hint="eastAsia"/>
                <w:sz w:val="22"/>
                <w:szCs w:val="22"/>
                <w14:ligatures w14:val="standardContextual"/>
              </w:rPr>
              <w:t>HER2+ GEA</w:t>
            </w:r>
            <w:r w:rsidRPr="00805AD6">
              <w:rPr>
                <w:rFonts w:hint="eastAsia"/>
                <w:sz w:val="22"/>
                <w:szCs w:val="22"/>
                <w14:ligatures w14:val="standardContextual"/>
              </w:rPr>
              <w:t>适应症的获批起到潜在催化作用。安进授权产品组合贡献</w:t>
            </w:r>
            <w:r w:rsidRPr="00805AD6">
              <w:rPr>
                <w:rFonts w:hint="eastAsia"/>
                <w:sz w:val="22"/>
                <w:szCs w:val="22"/>
                <w14:ligatures w14:val="standardContextual"/>
              </w:rPr>
              <w:t>1.57</w:t>
            </w:r>
            <w:r w:rsidRPr="00805AD6">
              <w:rPr>
                <w:rFonts w:hint="eastAsia"/>
                <w:sz w:val="22"/>
                <w:szCs w:val="22"/>
                <w14:ligatures w14:val="standardContextual"/>
              </w:rPr>
              <w:t>亿美元收入，同比增长</w:t>
            </w:r>
            <w:r w:rsidRPr="00805AD6">
              <w:rPr>
                <w:rFonts w:hint="eastAsia"/>
                <w:sz w:val="22"/>
                <w:szCs w:val="22"/>
                <w14:ligatures w14:val="standardContextual"/>
              </w:rPr>
              <w:t>25%</w:t>
            </w:r>
            <w:r w:rsidRPr="00805AD6">
              <w:rPr>
                <w:rFonts w:hint="eastAsia"/>
                <w:sz w:val="22"/>
                <w:szCs w:val="22"/>
                <w14:ligatures w14:val="standardContextual"/>
              </w:rPr>
              <w:t>。</w:t>
            </w:r>
          </w:p>
          <w:p w14:paraId="70D4EA23" w14:textId="77777777" w:rsidR="009A3FF6" w:rsidRPr="00805AD6" w:rsidRDefault="009A3FF6" w:rsidP="008429E6">
            <w:pPr>
              <w:overflowPunct w:val="0"/>
              <w:autoSpaceDE w:val="0"/>
              <w:autoSpaceDN w:val="0"/>
              <w:spacing w:line="360" w:lineRule="auto"/>
              <w:ind w:firstLineChars="200" w:firstLine="440"/>
              <w:rPr>
                <w:sz w:val="22"/>
                <w:szCs w:val="22"/>
                <w14:ligatures w14:val="standardContextual"/>
              </w:rPr>
            </w:pPr>
            <w:r w:rsidRPr="00805AD6">
              <w:rPr>
                <w:rFonts w:hint="eastAsia"/>
                <w:sz w:val="22"/>
                <w:szCs w:val="22"/>
                <w14:ligatures w14:val="standardContextual"/>
              </w:rPr>
              <w:t>下面我想强调，公司在全球各区域的增长，均呈现出全面开花的态势。美国仍然是最大市场，本季度贡献约</w:t>
            </w:r>
            <w:r w:rsidRPr="00805AD6">
              <w:rPr>
                <w:rFonts w:hint="eastAsia"/>
                <w:sz w:val="22"/>
                <w:szCs w:val="22"/>
                <w14:ligatures w14:val="standardContextual"/>
              </w:rPr>
              <w:t>8.99</w:t>
            </w:r>
            <w:r w:rsidRPr="00805AD6">
              <w:rPr>
                <w:rFonts w:hint="eastAsia"/>
                <w:sz w:val="22"/>
                <w:szCs w:val="22"/>
                <w14:ligatures w14:val="standardContextual"/>
              </w:rPr>
              <w:t>亿美元收入，同比增长</w:t>
            </w:r>
            <w:r w:rsidRPr="00805AD6">
              <w:rPr>
                <w:rFonts w:hint="eastAsia"/>
                <w:sz w:val="22"/>
                <w:szCs w:val="22"/>
                <w14:ligatures w14:val="standardContextual"/>
              </w:rPr>
              <w:t>31%</w:t>
            </w:r>
            <w:r w:rsidRPr="00805AD6">
              <w:rPr>
                <w:rFonts w:hint="eastAsia"/>
                <w:sz w:val="22"/>
                <w:szCs w:val="22"/>
                <w14:ligatures w14:val="standardContextual"/>
              </w:rPr>
              <w:t>。中国本季度贡献约</w:t>
            </w:r>
            <w:r w:rsidRPr="00805AD6">
              <w:rPr>
                <w:rFonts w:hint="eastAsia"/>
                <w:sz w:val="22"/>
                <w:szCs w:val="22"/>
                <w14:ligatures w14:val="standardContextual"/>
              </w:rPr>
              <w:t>5</w:t>
            </w:r>
            <w:r w:rsidRPr="00805AD6">
              <w:rPr>
                <w:rFonts w:hint="eastAsia"/>
                <w:sz w:val="22"/>
                <w:szCs w:val="22"/>
                <w14:ligatures w14:val="standardContextual"/>
              </w:rPr>
              <w:t>亿美元收入，同比增长</w:t>
            </w:r>
            <w:r w:rsidRPr="00805AD6">
              <w:rPr>
                <w:rFonts w:hint="eastAsia"/>
                <w:sz w:val="22"/>
                <w:szCs w:val="22"/>
                <w14:ligatures w14:val="standardContextual"/>
              </w:rPr>
              <w:t>17%</w:t>
            </w:r>
            <w:r w:rsidRPr="00805AD6">
              <w:rPr>
                <w:rFonts w:hint="eastAsia"/>
                <w:sz w:val="22"/>
                <w:szCs w:val="22"/>
                <w14:ligatures w14:val="standardContextual"/>
              </w:rPr>
              <w:t>。这印证了商业化产品组合的持续强劲势头，百泽安</w:t>
            </w:r>
            <w:r w:rsidRPr="00095040">
              <w:rPr>
                <w:rFonts w:hint="eastAsia"/>
                <w:sz w:val="22"/>
                <w:szCs w:val="22"/>
                <w:vertAlign w:val="superscript"/>
                <w14:ligatures w14:val="standardContextual"/>
              </w:rPr>
              <w:t>®</w:t>
            </w:r>
            <w:r w:rsidRPr="00805AD6">
              <w:rPr>
                <w:rFonts w:hint="eastAsia"/>
                <w:sz w:val="22"/>
                <w:szCs w:val="22"/>
                <w14:ligatures w14:val="standardContextual"/>
              </w:rPr>
              <w:t>与百悦泽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双双稳居市场领先地位。需注意，受人民币兑美元升值影响，汇率因素正向贡献了</w:t>
            </w:r>
            <w:r w:rsidRPr="00805AD6">
              <w:rPr>
                <w:rFonts w:hint="eastAsia"/>
                <w:sz w:val="22"/>
                <w:szCs w:val="22"/>
                <w14:ligatures w14:val="standardContextual"/>
              </w:rPr>
              <w:t>7%</w:t>
            </w:r>
            <w:r w:rsidRPr="00805AD6">
              <w:rPr>
                <w:rFonts w:hint="eastAsia"/>
                <w:sz w:val="22"/>
                <w:szCs w:val="22"/>
                <w14:ligatures w14:val="standardContextual"/>
              </w:rPr>
              <w:t>的报告收入增长。欧洲继续成为公司重要的增长引擎，本季度实现收入约</w:t>
            </w:r>
            <w:r w:rsidRPr="00805AD6">
              <w:rPr>
                <w:rFonts w:hint="eastAsia"/>
                <w:sz w:val="22"/>
                <w:szCs w:val="22"/>
                <w14:ligatures w14:val="standardContextual"/>
              </w:rPr>
              <w:t>2.08</w:t>
            </w:r>
            <w:r w:rsidRPr="00805AD6">
              <w:rPr>
                <w:rFonts w:hint="eastAsia"/>
                <w:sz w:val="22"/>
                <w:szCs w:val="22"/>
                <w14:ligatures w14:val="standardContextual"/>
              </w:rPr>
              <w:t>亿美元，同比增长</w:t>
            </w:r>
            <w:r w:rsidRPr="00805AD6">
              <w:rPr>
                <w:rFonts w:hint="eastAsia"/>
                <w:sz w:val="22"/>
                <w:szCs w:val="22"/>
                <w14:ligatures w14:val="standardContextual"/>
              </w:rPr>
              <w:t>37%</w:t>
            </w:r>
            <w:r w:rsidRPr="00805AD6">
              <w:rPr>
                <w:rFonts w:hint="eastAsia"/>
                <w:sz w:val="22"/>
                <w:szCs w:val="22"/>
                <w14:ligatures w14:val="standardContextual"/>
              </w:rPr>
              <w:t>。全球其他市场增长势头强劲，收入同比翻了一倍多，达约</w:t>
            </w:r>
            <w:r w:rsidRPr="00805AD6">
              <w:rPr>
                <w:rFonts w:hint="eastAsia"/>
                <w:sz w:val="22"/>
                <w:szCs w:val="22"/>
                <w14:ligatures w14:val="standardContextual"/>
              </w:rPr>
              <w:t>7</w:t>
            </w:r>
            <w:r>
              <w:rPr>
                <w:rFonts w:hint="eastAsia"/>
                <w:sz w:val="22"/>
                <w:szCs w:val="22"/>
                <w14:ligatures w14:val="standardContextual"/>
              </w:rPr>
              <w:t>,</w:t>
            </w:r>
            <w:r w:rsidRPr="00805AD6">
              <w:rPr>
                <w:rFonts w:hint="eastAsia"/>
                <w:sz w:val="22"/>
                <w:szCs w:val="22"/>
                <w14:ligatures w14:val="standardContextual"/>
              </w:rPr>
              <w:t>300</w:t>
            </w:r>
            <w:r w:rsidRPr="00805AD6">
              <w:rPr>
                <w:rFonts w:hint="eastAsia"/>
                <w:sz w:val="22"/>
                <w:szCs w:val="22"/>
                <w14:ligatures w14:val="standardContextual"/>
              </w:rPr>
              <w:lastRenderedPageBreak/>
              <w:t>万美元。日本、巴西等核心市场的贡献，在公司全局中的重要性正日益凸显。</w:t>
            </w:r>
          </w:p>
          <w:p w14:paraId="33272F29" w14:textId="77777777" w:rsidR="009A3FF6" w:rsidRPr="00805AD6" w:rsidRDefault="009A3FF6" w:rsidP="008429E6">
            <w:pPr>
              <w:overflowPunct w:val="0"/>
              <w:autoSpaceDE w:val="0"/>
              <w:autoSpaceDN w:val="0"/>
              <w:spacing w:line="360" w:lineRule="auto"/>
              <w:ind w:firstLineChars="200" w:firstLine="440"/>
              <w:rPr>
                <w:sz w:val="22"/>
                <w:szCs w:val="22"/>
                <w14:ligatures w14:val="standardContextual"/>
              </w:rPr>
            </w:pPr>
            <w:r w:rsidRPr="00805AD6">
              <w:rPr>
                <w:rFonts w:hint="eastAsia"/>
                <w:sz w:val="22"/>
                <w:szCs w:val="22"/>
                <w14:ligatures w14:val="standardContextual"/>
              </w:rPr>
              <w:t>接下来看</w:t>
            </w:r>
            <w:r w:rsidRPr="00805AD6">
              <w:rPr>
                <w:rFonts w:hint="eastAsia"/>
                <w:sz w:val="22"/>
                <w:szCs w:val="22"/>
                <w14:ligatures w14:val="standardContextual"/>
              </w:rPr>
              <w:t>GAAP</w:t>
            </w:r>
            <w:r w:rsidRPr="00805AD6">
              <w:rPr>
                <w:rFonts w:hint="eastAsia"/>
                <w:sz w:val="22"/>
                <w:szCs w:val="22"/>
                <w14:ligatures w14:val="standardContextual"/>
              </w:rPr>
              <w:t>利润表。本季度毛利达到</w:t>
            </w:r>
            <w:r w:rsidRPr="00805AD6">
              <w:rPr>
                <w:rFonts w:hint="eastAsia"/>
                <w:sz w:val="22"/>
                <w:szCs w:val="22"/>
                <w14:ligatures w14:val="standardContextual"/>
              </w:rPr>
              <w:t>15</w:t>
            </w:r>
            <w:r w:rsidRPr="00805AD6">
              <w:rPr>
                <w:rFonts w:hint="eastAsia"/>
                <w:sz w:val="22"/>
                <w:szCs w:val="22"/>
                <w14:ligatures w14:val="standardContextual"/>
              </w:rPr>
              <w:t>亿美元，毛利率接近</w:t>
            </w:r>
            <w:r w:rsidRPr="00805AD6">
              <w:rPr>
                <w:rFonts w:hint="eastAsia"/>
                <w:sz w:val="22"/>
                <w:szCs w:val="22"/>
                <w14:ligatures w14:val="standardContextual"/>
              </w:rPr>
              <w:t>90%</w:t>
            </w:r>
            <w:r w:rsidRPr="00805AD6">
              <w:rPr>
                <w:rFonts w:hint="eastAsia"/>
                <w:sz w:val="22"/>
                <w:szCs w:val="22"/>
                <w14:ligatures w14:val="standardContextual"/>
              </w:rPr>
              <w:t>。这主要得益于产品结构的改善，以及百悦泽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和百泽安</w:t>
            </w:r>
            <w:r w:rsidRPr="00095040">
              <w:rPr>
                <w:rFonts w:hint="eastAsia"/>
                <w:sz w:val="22"/>
                <w:szCs w:val="22"/>
                <w:vertAlign w:val="superscript"/>
                <w14:ligatures w14:val="standardContextual"/>
              </w:rPr>
              <w:t>®</w:t>
            </w:r>
            <w:r w:rsidRPr="00805AD6">
              <w:rPr>
                <w:rFonts w:hint="eastAsia"/>
                <w:sz w:val="22"/>
                <w:szCs w:val="22"/>
                <w14:ligatures w14:val="standardContextual"/>
              </w:rPr>
              <w:t>运营效率的提升。经营费用总计达</w:t>
            </w:r>
            <w:r w:rsidRPr="00805AD6">
              <w:rPr>
                <w:rFonts w:hint="eastAsia"/>
                <w:sz w:val="22"/>
                <w:szCs w:val="22"/>
                <w14:ligatures w14:val="standardContextual"/>
              </w:rPr>
              <w:t>12</w:t>
            </w:r>
            <w:r w:rsidRPr="00805AD6">
              <w:rPr>
                <w:rFonts w:hint="eastAsia"/>
                <w:sz w:val="22"/>
                <w:szCs w:val="22"/>
                <w14:ligatures w14:val="standardContextual"/>
              </w:rPr>
              <w:t>亿美元，同比增长</w:t>
            </w:r>
            <w:r w:rsidRPr="00805AD6">
              <w:rPr>
                <w:rFonts w:hint="eastAsia"/>
                <w:sz w:val="22"/>
                <w:szCs w:val="22"/>
                <w14:ligatures w14:val="standardContextual"/>
              </w:rPr>
              <w:t>13%</w:t>
            </w:r>
            <w:r w:rsidRPr="00805AD6">
              <w:rPr>
                <w:rFonts w:hint="eastAsia"/>
                <w:sz w:val="22"/>
                <w:szCs w:val="22"/>
                <w14:ligatures w14:val="standardContextual"/>
              </w:rPr>
              <w:t>，反映了关键临床项目的推进，以及对商业化增长的持续投入。本季度，我们的商业模式在盈利能力上，持续展现出规模效应。经营利润达</w:t>
            </w:r>
            <w:r w:rsidRPr="00805AD6">
              <w:rPr>
                <w:rFonts w:hint="eastAsia"/>
                <w:sz w:val="22"/>
                <w:szCs w:val="22"/>
                <w14:ligatures w14:val="standardContextual"/>
              </w:rPr>
              <w:t>3.25</w:t>
            </w:r>
            <w:r w:rsidRPr="00805AD6">
              <w:rPr>
                <w:rFonts w:hint="eastAsia"/>
                <w:sz w:val="22"/>
                <w:szCs w:val="22"/>
                <w14:ligatures w14:val="standardContextual"/>
              </w:rPr>
              <w:t>亿美元。最后，本季度净利润总计</w:t>
            </w:r>
            <w:r w:rsidRPr="00805AD6">
              <w:rPr>
                <w:rFonts w:hint="eastAsia"/>
                <w:sz w:val="22"/>
                <w:szCs w:val="22"/>
                <w14:ligatures w14:val="standardContextual"/>
              </w:rPr>
              <w:t>2.37</w:t>
            </w:r>
            <w:r w:rsidRPr="00805AD6">
              <w:rPr>
                <w:rFonts w:hint="eastAsia"/>
                <w:sz w:val="22"/>
                <w:szCs w:val="22"/>
                <w14:ligatures w14:val="standardContextual"/>
              </w:rPr>
              <w:t>亿美元。其中，此前披露的税务审计和解事项对利润造成了约</w:t>
            </w:r>
            <w:r w:rsidRPr="00805AD6">
              <w:rPr>
                <w:rFonts w:hint="eastAsia"/>
                <w:sz w:val="22"/>
                <w:szCs w:val="22"/>
                <w14:ligatures w14:val="standardContextual"/>
              </w:rPr>
              <w:t>6,000</w:t>
            </w:r>
            <w:r w:rsidRPr="00805AD6">
              <w:rPr>
                <w:rFonts w:hint="eastAsia"/>
                <w:sz w:val="22"/>
                <w:szCs w:val="22"/>
                <w14:ligatures w14:val="standardContextual"/>
              </w:rPr>
              <w:t>万美元的影响。</w:t>
            </w:r>
            <w:r w:rsidRPr="00805AD6">
              <w:rPr>
                <w:rFonts w:hint="eastAsia"/>
                <w:sz w:val="22"/>
                <w:szCs w:val="22"/>
                <w14:ligatures w14:val="standardContextual"/>
              </w:rPr>
              <w:t>GAAP</w:t>
            </w:r>
            <w:r w:rsidRPr="00805AD6">
              <w:rPr>
                <w:rFonts w:hint="eastAsia"/>
                <w:sz w:val="22"/>
                <w:szCs w:val="22"/>
                <w14:ligatures w14:val="standardContextual"/>
              </w:rPr>
              <w:t>稀释每股</w:t>
            </w:r>
            <w:r w:rsidRPr="00805AD6">
              <w:rPr>
                <w:rFonts w:hint="eastAsia"/>
                <w:sz w:val="22"/>
                <w:szCs w:val="22"/>
                <w14:ligatures w14:val="standardContextual"/>
              </w:rPr>
              <w:t>ADS</w:t>
            </w:r>
            <w:r w:rsidRPr="00805AD6">
              <w:rPr>
                <w:rFonts w:hint="eastAsia"/>
                <w:sz w:val="22"/>
                <w:szCs w:val="22"/>
                <w14:ligatures w14:val="standardContextual"/>
              </w:rPr>
              <w:t>收益为</w:t>
            </w:r>
            <w:r w:rsidRPr="00805AD6">
              <w:rPr>
                <w:rFonts w:hint="eastAsia"/>
                <w:sz w:val="22"/>
                <w:szCs w:val="22"/>
                <w14:ligatures w14:val="standardContextual"/>
              </w:rPr>
              <w:t>2.05</w:t>
            </w:r>
            <w:r w:rsidRPr="00805AD6">
              <w:rPr>
                <w:rFonts w:hint="eastAsia"/>
                <w:sz w:val="22"/>
                <w:szCs w:val="22"/>
                <w14:ligatures w14:val="standardContextual"/>
              </w:rPr>
              <w:t>美元，上年同期为</w:t>
            </w:r>
            <w:r w:rsidRPr="00805AD6">
              <w:rPr>
                <w:rFonts w:hint="eastAsia"/>
                <w:sz w:val="22"/>
                <w:szCs w:val="22"/>
                <w14:ligatures w14:val="standardContextual"/>
              </w:rPr>
              <w:t>0.84</w:t>
            </w:r>
            <w:r w:rsidRPr="00805AD6">
              <w:rPr>
                <w:rFonts w:hint="eastAsia"/>
                <w:sz w:val="22"/>
                <w:szCs w:val="22"/>
                <w14:ligatures w14:val="standardContextual"/>
              </w:rPr>
              <w:t>美元。</w:t>
            </w:r>
          </w:p>
          <w:p w14:paraId="014907D9" w14:textId="77777777" w:rsidR="009A3FF6" w:rsidRPr="00805AD6" w:rsidRDefault="009A3FF6" w:rsidP="008429E6">
            <w:pPr>
              <w:overflowPunct w:val="0"/>
              <w:autoSpaceDE w:val="0"/>
              <w:autoSpaceDN w:val="0"/>
              <w:spacing w:line="360" w:lineRule="auto"/>
              <w:ind w:firstLineChars="200" w:firstLine="440"/>
              <w:rPr>
                <w:sz w:val="22"/>
                <w:szCs w:val="22"/>
                <w14:ligatures w14:val="standardContextual"/>
              </w:rPr>
            </w:pPr>
            <w:r w:rsidRPr="00805AD6">
              <w:rPr>
                <w:rFonts w:hint="eastAsia"/>
                <w:sz w:val="22"/>
                <w:szCs w:val="22"/>
                <w14:ligatures w14:val="standardContextual"/>
              </w:rPr>
              <w:t>现在来看调整后业绩。幻灯片附录提供了两种指标的对照表。经调整经营利润增至</w:t>
            </w:r>
            <w:r w:rsidRPr="00805AD6">
              <w:rPr>
                <w:rFonts w:hint="eastAsia"/>
                <w:sz w:val="22"/>
                <w:szCs w:val="22"/>
                <w14:ligatures w14:val="standardContextual"/>
              </w:rPr>
              <w:t>5.03</w:t>
            </w:r>
            <w:r w:rsidRPr="00805AD6">
              <w:rPr>
                <w:rFonts w:hint="eastAsia"/>
                <w:sz w:val="22"/>
                <w:szCs w:val="22"/>
                <w14:ligatures w14:val="standardContextual"/>
              </w:rPr>
              <w:t>亿美元，同比增长超过</w:t>
            </w:r>
            <w:r w:rsidRPr="00805AD6">
              <w:rPr>
                <w:rFonts w:hint="eastAsia"/>
                <w:sz w:val="22"/>
                <w:szCs w:val="22"/>
                <w14:ligatures w14:val="standardContextual"/>
              </w:rPr>
              <w:t>80%</w:t>
            </w:r>
            <w:r w:rsidRPr="00805AD6">
              <w:rPr>
                <w:rFonts w:hint="eastAsia"/>
                <w:sz w:val="22"/>
                <w:szCs w:val="22"/>
                <w14:ligatures w14:val="standardContextual"/>
              </w:rPr>
              <w:t>。经调整净利润增至</w:t>
            </w:r>
            <w:r w:rsidRPr="00805AD6">
              <w:rPr>
                <w:rFonts w:hint="eastAsia"/>
                <w:sz w:val="22"/>
                <w:szCs w:val="22"/>
                <w14:ligatures w14:val="standardContextual"/>
              </w:rPr>
              <w:t>4.44</w:t>
            </w:r>
            <w:r w:rsidRPr="00805AD6">
              <w:rPr>
                <w:rFonts w:hint="eastAsia"/>
                <w:sz w:val="22"/>
                <w:szCs w:val="22"/>
                <w14:ligatures w14:val="standardContextual"/>
              </w:rPr>
              <w:t>亿美元；经调整每股</w:t>
            </w:r>
            <w:r w:rsidRPr="00805AD6">
              <w:rPr>
                <w:rFonts w:hint="eastAsia"/>
                <w:sz w:val="22"/>
                <w:szCs w:val="22"/>
                <w14:ligatures w14:val="standardContextual"/>
              </w:rPr>
              <w:t>ADS</w:t>
            </w:r>
            <w:r w:rsidRPr="00805AD6">
              <w:rPr>
                <w:rFonts w:hint="eastAsia"/>
                <w:sz w:val="22"/>
                <w:szCs w:val="22"/>
                <w14:ligatures w14:val="standardContextual"/>
              </w:rPr>
              <w:t>收益–稀释增至</w:t>
            </w:r>
            <w:r w:rsidRPr="00805AD6">
              <w:rPr>
                <w:rFonts w:hint="eastAsia"/>
                <w:sz w:val="22"/>
                <w:szCs w:val="22"/>
                <w14:ligatures w14:val="standardContextual"/>
              </w:rPr>
              <w:t>3.84</w:t>
            </w:r>
            <w:r w:rsidRPr="00805AD6">
              <w:rPr>
                <w:rFonts w:hint="eastAsia"/>
                <w:sz w:val="22"/>
                <w:szCs w:val="22"/>
                <w14:ligatures w14:val="standardContextual"/>
              </w:rPr>
              <w:t>美元，上年同期为</w:t>
            </w:r>
            <w:r w:rsidRPr="00805AD6">
              <w:rPr>
                <w:rFonts w:hint="eastAsia"/>
                <w:sz w:val="22"/>
                <w:szCs w:val="22"/>
                <w14:ligatures w14:val="standardContextual"/>
              </w:rPr>
              <w:t>2.25</w:t>
            </w:r>
            <w:r w:rsidRPr="00805AD6">
              <w:rPr>
                <w:rFonts w:hint="eastAsia"/>
                <w:sz w:val="22"/>
                <w:szCs w:val="22"/>
                <w14:ligatures w14:val="standardContextual"/>
              </w:rPr>
              <w:t>美元。公司的现金流生成能力正不断积聚强劲动能。自由现金流同比翻倍，达</w:t>
            </w:r>
            <w:r w:rsidRPr="00805AD6">
              <w:rPr>
                <w:rFonts w:hint="eastAsia"/>
                <w:sz w:val="22"/>
                <w:szCs w:val="22"/>
                <w14:ligatures w14:val="standardContextual"/>
              </w:rPr>
              <w:t>4.35</w:t>
            </w:r>
            <w:r w:rsidRPr="00805AD6">
              <w:rPr>
                <w:rFonts w:hint="eastAsia"/>
                <w:sz w:val="22"/>
                <w:szCs w:val="22"/>
                <w14:ligatures w14:val="standardContextual"/>
              </w:rPr>
              <w:t>亿美元。</w:t>
            </w:r>
          </w:p>
          <w:p w14:paraId="69BEBC0A" w14:textId="77777777" w:rsidR="009A3FF6" w:rsidRDefault="009A3FF6" w:rsidP="008429E6">
            <w:pPr>
              <w:overflowPunct w:val="0"/>
              <w:autoSpaceDE w:val="0"/>
              <w:autoSpaceDN w:val="0"/>
              <w:spacing w:line="360" w:lineRule="auto"/>
              <w:ind w:firstLineChars="200" w:firstLine="440"/>
              <w:rPr>
                <w:sz w:val="22"/>
                <w:szCs w:val="22"/>
                <w14:ligatures w14:val="standardContextual"/>
              </w:rPr>
            </w:pPr>
            <w:r w:rsidRPr="00805AD6">
              <w:rPr>
                <w:rFonts w:hint="eastAsia"/>
                <w:sz w:val="22"/>
                <w:szCs w:val="22"/>
                <w14:ligatures w14:val="standardContextual"/>
              </w:rPr>
              <w:t>接下来看我们更新的全年展望。这一展望基于我们强劲的上半年业绩，也体现了我们对业务发展势头的充分信心。全年收入展望上调</w:t>
            </w:r>
            <w:r w:rsidRPr="00805AD6">
              <w:rPr>
                <w:rFonts w:hint="eastAsia"/>
                <w:sz w:val="22"/>
                <w:szCs w:val="22"/>
                <w14:ligatures w14:val="standardContextual"/>
              </w:rPr>
              <w:t>3</w:t>
            </w:r>
            <w:r w:rsidRPr="00805AD6">
              <w:rPr>
                <w:rFonts w:hint="eastAsia"/>
                <w:sz w:val="22"/>
                <w:szCs w:val="22"/>
                <w14:ligatures w14:val="standardContextual"/>
              </w:rPr>
              <w:t>亿美元，至</w:t>
            </w:r>
            <w:r w:rsidRPr="00805AD6">
              <w:rPr>
                <w:rFonts w:hint="eastAsia"/>
                <w:sz w:val="22"/>
                <w:szCs w:val="22"/>
                <w14:ligatures w14:val="standardContextual"/>
              </w:rPr>
              <w:t>66</w:t>
            </w:r>
            <w:r w:rsidRPr="00805AD6">
              <w:rPr>
                <w:rFonts w:hint="eastAsia"/>
                <w:sz w:val="22"/>
                <w:szCs w:val="22"/>
                <w14:ligatures w14:val="standardContextual"/>
              </w:rPr>
              <w:t>亿至</w:t>
            </w:r>
            <w:r w:rsidRPr="00805AD6">
              <w:rPr>
                <w:rFonts w:hint="eastAsia"/>
                <w:sz w:val="22"/>
                <w:szCs w:val="22"/>
                <w14:ligatures w14:val="standardContextual"/>
              </w:rPr>
              <w:t>68</w:t>
            </w:r>
            <w:r w:rsidRPr="00805AD6">
              <w:rPr>
                <w:rFonts w:hint="eastAsia"/>
                <w:sz w:val="22"/>
                <w:szCs w:val="22"/>
                <w14:ligatures w14:val="standardContextual"/>
              </w:rPr>
              <w:t>亿美元。这一上调印证了我们产品组合持续的强劲势头，不仅得益于百悦泽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在美国的卓越表现，也离不开全球市场的拓展及更广泛商业化产品组合的稳健贡献。我们预计，毛利率将持续保持在</w:t>
            </w:r>
            <w:r w:rsidRPr="00805AD6">
              <w:rPr>
                <w:rFonts w:hint="eastAsia"/>
                <w:sz w:val="22"/>
                <w:szCs w:val="22"/>
                <w14:ligatures w14:val="standardContextual"/>
              </w:rPr>
              <w:t>80%</w:t>
            </w:r>
            <w:r w:rsidRPr="00805AD6">
              <w:rPr>
                <w:rFonts w:hint="eastAsia"/>
                <w:sz w:val="22"/>
                <w:szCs w:val="22"/>
                <w14:ligatures w14:val="standardContextual"/>
              </w:rPr>
              <w:t>区间的高位。我们将持续投入商业化推进与管线研发，经营费用仅适度上调至</w:t>
            </w:r>
            <w:r w:rsidRPr="00805AD6">
              <w:rPr>
                <w:rFonts w:hint="eastAsia"/>
                <w:sz w:val="22"/>
                <w:szCs w:val="22"/>
                <w14:ligatures w14:val="standardContextual"/>
              </w:rPr>
              <w:t>48</w:t>
            </w:r>
            <w:r w:rsidRPr="00805AD6">
              <w:rPr>
                <w:rFonts w:hint="eastAsia"/>
                <w:sz w:val="22"/>
                <w:szCs w:val="22"/>
                <w14:ligatures w14:val="standardContextual"/>
              </w:rPr>
              <w:t>亿至</w:t>
            </w:r>
            <w:r w:rsidRPr="00805AD6">
              <w:rPr>
                <w:rFonts w:hint="eastAsia"/>
                <w:sz w:val="22"/>
                <w:szCs w:val="22"/>
                <w14:ligatures w14:val="standardContextual"/>
              </w:rPr>
              <w:t>50</w:t>
            </w:r>
            <w:r w:rsidRPr="00805AD6">
              <w:rPr>
                <w:rFonts w:hint="eastAsia"/>
                <w:sz w:val="22"/>
                <w:szCs w:val="22"/>
                <w14:ligatures w14:val="standardContextual"/>
              </w:rPr>
              <w:t>亿美元。即使计入这些投入，公司业务的强劲势头将转化为净利润水平提升，与将</w:t>
            </w:r>
            <w:r w:rsidRPr="00805AD6">
              <w:rPr>
                <w:rFonts w:hint="eastAsia"/>
                <w:sz w:val="22"/>
                <w:szCs w:val="22"/>
                <w14:ligatures w14:val="standardContextual"/>
              </w:rPr>
              <w:t>2026</w:t>
            </w:r>
            <w:r w:rsidRPr="00805AD6">
              <w:rPr>
                <w:rFonts w:hint="eastAsia"/>
                <w:sz w:val="22"/>
                <w:szCs w:val="22"/>
                <w14:ligatures w14:val="standardContextual"/>
              </w:rPr>
              <w:t>年经营利润指引在全区间范围内上调</w:t>
            </w:r>
            <w:r w:rsidRPr="00805AD6">
              <w:rPr>
                <w:rFonts w:hint="eastAsia"/>
                <w:sz w:val="22"/>
                <w:szCs w:val="22"/>
                <w14:ligatures w14:val="standardContextual"/>
              </w:rPr>
              <w:t>2.5</w:t>
            </w:r>
            <w:r w:rsidRPr="00805AD6">
              <w:rPr>
                <w:rFonts w:hint="eastAsia"/>
                <w:sz w:val="22"/>
                <w:szCs w:val="22"/>
                <w14:ligatures w14:val="standardContextual"/>
              </w:rPr>
              <w:t>亿美元的趋势保持一致。根据目前预测，</w:t>
            </w:r>
            <w:r w:rsidRPr="00805AD6">
              <w:rPr>
                <w:rFonts w:hint="eastAsia"/>
                <w:sz w:val="22"/>
                <w:szCs w:val="22"/>
                <w14:ligatures w14:val="standardContextual"/>
              </w:rPr>
              <w:t>GAAP</w:t>
            </w:r>
            <w:r w:rsidRPr="00805AD6">
              <w:rPr>
                <w:rFonts w:hint="eastAsia"/>
                <w:sz w:val="22"/>
                <w:szCs w:val="22"/>
                <w14:ligatures w14:val="standardContextual"/>
              </w:rPr>
              <w:t>经营利润为</w:t>
            </w:r>
            <w:r w:rsidRPr="00805AD6">
              <w:rPr>
                <w:rFonts w:hint="eastAsia"/>
                <w:sz w:val="22"/>
                <w:szCs w:val="22"/>
                <w14:ligatures w14:val="standardContextual"/>
              </w:rPr>
              <w:t>10</w:t>
            </w:r>
            <w:r w:rsidRPr="00805AD6">
              <w:rPr>
                <w:rFonts w:hint="eastAsia"/>
                <w:sz w:val="22"/>
                <w:szCs w:val="22"/>
                <w14:ligatures w14:val="standardContextual"/>
              </w:rPr>
              <w:t>亿至</w:t>
            </w:r>
            <w:r w:rsidRPr="00805AD6">
              <w:rPr>
                <w:rFonts w:hint="eastAsia"/>
                <w:sz w:val="22"/>
                <w:szCs w:val="22"/>
                <w14:ligatures w14:val="standardContextual"/>
              </w:rPr>
              <w:t>11</w:t>
            </w:r>
            <w:r w:rsidRPr="00805AD6">
              <w:rPr>
                <w:rFonts w:hint="eastAsia"/>
                <w:sz w:val="22"/>
                <w:szCs w:val="22"/>
                <w14:ligatures w14:val="standardContextual"/>
              </w:rPr>
              <w:t>亿美元，非</w:t>
            </w:r>
            <w:r w:rsidRPr="00805AD6">
              <w:rPr>
                <w:rFonts w:hint="eastAsia"/>
                <w:sz w:val="22"/>
                <w:szCs w:val="22"/>
                <w14:ligatures w14:val="standardContextual"/>
              </w:rPr>
              <w:t>GAAP</w:t>
            </w:r>
            <w:r w:rsidRPr="00805AD6">
              <w:rPr>
                <w:rFonts w:hint="eastAsia"/>
                <w:sz w:val="22"/>
                <w:szCs w:val="22"/>
                <w14:ligatures w14:val="standardContextual"/>
              </w:rPr>
              <w:t>经营利润为</w:t>
            </w:r>
            <w:r w:rsidRPr="00805AD6">
              <w:rPr>
                <w:rFonts w:hint="eastAsia"/>
                <w:sz w:val="22"/>
                <w:szCs w:val="22"/>
                <w14:ligatures w14:val="standardContextual"/>
              </w:rPr>
              <w:t>17</w:t>
            </w:r>
            <w:r w:rsidRPr="00805AD6">
              <w:rPr>
                <w:rFonts w:hint="eastAsia"/>
                <w:sz w:val="22"/>
                <w:szCs w:val="22"/>
                <w14:ligatures w14:val="standardContextual"/>
              </w:rPr>
              <w:t>亿至</w:t>
            </w:r>
            <w:r w:rsidRPr="00805AD6">
              <w:rPr>
                <w:rFonts w:hint="eastAsia"/>
                <w:sz w:val="22"/>
                <w:szCs w:val="22"/>
                <w14:ligatures w14:val="standardContextual"/>
              </w:rPr>
              <w:t>18</w:t>
            </w:r>
            <w:r w:rsidRPr="00805AD6">
              <w:rPr>
                <w:rFonts w:hint="eastAsia"/>
                <w:sz w:val="22"/>
                <w:szCs w:val="22"/>
                <w14:ligatures w14:val="standardContextual"/>
              </w:rPr>
              <w:t>亿美元。其他基本面假设保持不变。总体而言，更新的展望反映了年初至今的强劲业绩，同时彰显了我们对年内持续推进业务的信心。随着上半年平稳度过，在暂不提供具体业绩指引的同时，希望能为各位更新财务模型、展望明年提供一些参考思路。我们的</w:t>
            </w:r>
            <w:r w:rsidRPr="00805AD6">
              <w:rPr>
                <w:rFonts w:hint="eastAsia"/>
                <w:sz w:val="22"/>
                <w:szCs w:val="22"/>
                <w14:ligatures w14:val="standardContextual"/>
              </w:rPr>
              <w:t>2026</w:t>
            </w:r>
            <w:r w:rsidRPr="00805AD6">
              <w:rPr>
                <w:rFonts w:hint="eastAsia"/>
                <w:sz w:val="22"/>
                <w:szCs w:val="22"/>
                <w14:ligatures w14:val="standardContextual"/>
              </w:rPr>
              <w:t>年指引印证了商业化业务的强劲韧性，包括百悦泽</w:t>
            </w:r>
            <w:r w:rsidRPr="00095040">
              <w:rPr>
                <w:rFonts w:hint="eastAsia"/>
                <w:sz w:val="22"/>
                <w:szCs w:val="22"/>
                <w:vertAlign w:val="superscript"/>
                <w14:ligatures w14:val="standardContextual"/>
              </w:rPr>
              <w:t>®</w:t>
            </w:r>
            <w:r w:rsidRPr="00805AD6">
              <w:rPr>
                <w:rFonts w:hint="eastAsia"/>
                <w:sz w:val="22"/>
                <w:szCs w:val="22"/>
                <w14:ligatures w14:val="standardContextual"/>
              </w:rPr>
              <w:t>在激烈竞</w:t>
            </w:r>
            <w:r w:rsidRPr="00805AD6">
              <w:rPr>
                <w:rFonts w:hint="eastAsia"/>
                <w:sz w:val="22"/>
                <w:szCs w:val="22"/>
                <w14:ligatures w14:val="standardContextual"/>
              </w:rPr>
              <w:lastRenderedPageBreak/>
              <w:t>争环境下持续增长的广阔前景。正如大家从下半年经营费用的预期指引中可见，我们正加大投资力度以充分释放管线潜力，为股东创造可持续的长期价值，并有望满足患者的多项未满足需求。我们坚定致力于“兼顾业务增长与利润率提升”的双重目标，并在短期内保持利润率稳步扩张。我们将继续以严格的投资回报标准来优先配置经营费用。不过，得益于重点管线的积极进展，我们预计</w:t>
            </w:r>
            <w:r w:rsidRPr="00805AD6">
              <w:rPr>
                <w:rFonts w:hint="eastAsia"/>
                <w:sz w:val="22"/>
                <w:szCs w:val="22"/>
                <w14:ligatures w14:val="standardContextual"/>
              </w:rPr>
              <w:t>2027</w:t>
            </w:r>
            <w:r w:rsidRPr="00805AD6">
              <w:rPr>
                <w:rFonts w:hint="eastAsia"/>
                <w:sz w:val="22"/>
                <w:szCs w:val="22"/>
                <w14:ligatures w14:val="standardContextual"/>
              </w:rPr>
              <w:t>年经营费用的同比增速将与过去两年相当。期待在</w:t>
            </w:r>
            <w:r w:rsidRPr="00805AD6">
              <w:rPr>
                <w:rFonts w:hint="eastAsia"/>
                <w:sz w:val="22"/>
                <w:szCs w:val="22"/>
                <w14:ligatures w14:val="standardContextual"/>
              </w:rPr>
              <w:t>11</w:t>
            </w:r>
            <w:r w:rsidRPr="00805AD6">
              <w:rPr>
                <w:rFonts w:hint="eastAsia"/>
                <w:sz w:val="22"/>
                <w:szCs w:val="22"/>
                <w14:ligatures w14:val="standardContextual"/>
              </w:rPr>
              <w:t>月发布三季报时，与大家同步最新的财务进展。</w:t>
            </w:r>
            <w:r w:rsidRPr="00695B95">
              <w:rPr>
                <w:rFonts w:hint="eastAsia"/>
                <w:sz w:val="22"/>
                <w:szCs w:val="22"/>
                <w14:ligatures w14:val="standardContextual"/>
              </w:rPr>
              <w:t>接下来，交由汪来先生继续发言。</w:t>
            </w:r>
          </w:p>
          <w:p w14:paraId="5540ABEA" w14:textId="77777777" w:rsidR="009A3FF6" w:rsidRPr="00695B95" w:rsidRDefault="009A3FF6" w:rsidP="008429E6">
            <w:pPr>
              <w:overflowPunct w:val="0"/>
              <w:autoSpaceDE w:val="0"/>
              <w:autoSpaceDN w:val="0"/>
              <w:spacing w:line="360" w:lineRule="auto"/>
              <w:ind w:firstLineChars="200" w:firstLine="440"/>
              <w:rPr>
                <w:sz w:val="22"/>
                <w:szCs w:val="22"/>
                <w14:ligatures w14:val="standardContextual"/>
              </w:rPr>
            </w:pPr>
          </w:p>
          <w:p w14:paraId="2D1024F9" w14:textId="77777777" w:rsidR="009A3FF6" w:rsidRPr="00037B9F" w:rsidRDefault="009A3FF6" w:rsidP="008429E6">
            <w:pPr>
              <w:overflowPunct w:val="0"/>
              <w:autoSpaceDE w:val="0"/>
              <w:autoSpaceDN w:val="0"/>
              <w:spacing w:line="360" w:lineRule="auto"/>
              <w:ind w:firstLineChars="200" w:firstLine="442"/>
              <w:rPr>
                <w:b/>
                <w:bCs/>
                <w:sz w:val="22"/>
                <w:szCs w:val="22"/>
                <w14:ligatures w14:val="standardContextual"/>
              </w:rPr>
            </w:pPr>
            <w:r w:rsidRPr="00037B9F">
              <w:rPr>
                <w:rFonts w:hint="eastAsia"/>
                <w:b/>
                <w:bCs/>
                <w:sz w:val="22"/>
                <w:szCs w:val="22"/>
                <w14:ligatures w14:val="standardContextual"/>
              </w:rPr>
              <w:t>公司总裁、全球研发负责人汪来博士介绍公司研发及管线进展：</w:t>
            </w:r>
          </w:p>
          <w:p w14:paraId="5F672CB0" w14:textId="77777777" w:rsidR="009A3FF6" w:rsidRPr="00E93D93" w:rsidRDefault="009A3FF6" w:rsidP="008429E6">
            <w:pPr>
              <w:overflowPunct w:val="0"/>
              <w:autoSpaceDE w:val="0"/>
              <w:autoSpaceDN w:val="0"/>
              <w:spacing w:line="360" w:lineRule="auto"/>
              <w:ind w:firstLineChars="200" w:firstLine="440"/>
              <w:rPr>
                <w:sz w:val="22"/>
                <w:szCs w:val="22"/>
                <w14:ligatures w14:val="standardContextual"/>
              </w:rPr>
            </w:pPr>
            <w:r w:rsidRPr="00E93D93">
              <w:rPr>
                <w:rFonts w:hint="eastAsia"/>
                <w:sz w:val="22"/>
                <w:szCs w:val="22"/>
                <w14:ligatures w14:val="standardContextual"/>
              </w:rPr>
              <w:t>纵观公司整体研发与商业化布局，我们持续取得显著进展。在血液肿瘤领域，</w:t>
            </w:r>
            <w:r w:rsidRPr="00E93D93">
              <w:rPr>
                <w:rFonts w:hint="eastAsia"/>
                <w:sz w:val="22"/>
                <w:szCs w:val="22"/>
                <w14:ligatures w14:val="standardContextual"/>
              </w:rPr>
              <w:t>MANGROVE</w:t>
            </w:r>
            <w:r w:rsidRPr="00E93D93">
              <w:rPr>
                <w:rFonts w:hint="eastAsia"/>
                <w:sz w:val="22"/>
                <w:szCs w:val="22"/>
                <w14:ligatures w14:val="standardContextual"/>
              </w:rPr>
              <w:t>研究在初治套细胞淋巴瘤中取得了积极结果。百悦泽</w:t>
            </w:r>
            <w:r w:rsidRPr="00095040">
              <w:rPr>
                <w:rFonts w:hint="eastAsia"/>
                <w:sz w:val="22"/>
                <w:szCs w:val="22"/>
                <w:vertAlign w:val="superscript"/>
                <w14:ligatures w14:val="standardContextual"/>
              </w:rPr>
              <w:t>®</w:t>
            </w:r>
            <w:r w:rsidRPr="00E93D93">
              <w:rPr>
                <w:rFonts w:hint="eastAsia"/>
                <w:sz w:val="22"/>
                <w:szCs w:val="22"/>
                <w14:ligatures w14:val="standardContextual"/>
              </w:rPr>
              <w:t>联合利妥昔单抗有望重塑一线治疗格局，成为该人群首个无化疗治疗方案。百悦达</w:t>
            </w:r>
            <w:r w:rsidRPr="00095040">
              <w:rPr>
                <w:rFonts w:hint="eastAsia"/>
                <w:sz w:val="22"/>
                <w:szCs w:val="22"/>
                <w:vertAlign w:val="superscript"/>
                <w14:ligatures w14:val="standardContextual"/>
              </w:rPr>
              <w:t>®</w:t>
            </w:r>
            <w:r w:rsidRPr="00E93D93">
              <w:rPr>
                <w:rFonts w:hint="eastAsia"/>
                <w:sz w:val="22"/>
                <w:szCs w:val="22"/>
                <w14:ligatures w14:val="standardContextual"/>
              </w:rPr>
              <w:t>已获美国</w:t>
            </w:r>
            <w:r w:rsidRPr="00E93D93">
              <w:rPr>
                <w:rFonts w:hint="eastAsia"/>
                <w:sz w:val="22"/>
                <w:szCs w:val="22"/>
                <w14:ligatures w14:val="standardContextual"/>
              </w:rPr>
              <w:t>FDA</w:t>
            </w:r>
            <w:r w:rsidRPr="00E93D93">
              <w:rPr>
                <w:rFonts w:hint="eastAsia"/>
                <w:sz w:val="22"/>
                <w:szCs w:val="22"/>
                <w14:ligatures w14:val="standardContextual"/>
              </w:rPr>
              <w:t>批准首个适应症，用于治疗复发</w:t>
            </w:r>
            <w:r w:rsidRPr="00E93D93">
              <w:rPr>
                <w:rFonts w:hint="eastAsia"/>
                <w:sz w:val="22"/>
                <w:szCs w:val="22"/>
                <w14:ligatures w14:val="standardContextual"/>
              </w:rPr>
              <w:t>/</w:t>
            </w:r>
            <w:r w:rsidRPr="00E93D93">
              <w:rPr>
                <w:rFonts w:hint="eastAsia"/>
                <w:sz w:val="22"/>
                <w:szCs w:val="22"/>
                <w14:ligatures w14:val="standardContextual"/>
              </w:rPr>
              <w:t>难治性套细胞淋巴瘤。关于</w:t>
            </w:r>
            <w:r w:rsidRPr="00E93D93">
              <w:rPr>
                <w:rFonts w:hint="eastAsia"/>
                <w:sz w:val="22"/>
                <w:szCs w:val="22"/>
                <w14:ligatures w14:val="standardContextual"/>
              </w:rPr>
              <w:t>CELESTIAL-301</w:t>
            </w:r>
            <w:r w:rsidRPr="00E93D93">
              <w:rPr>
                <w:rFonts w:hint="eastAsia"/>
                <w:sz w:val="22"/>
                <w:szCs w:val="22"/>
                <w14:ligatures w14:val="standardContextual"/>
              </w:rPr>
              <w:t>研究的更新，</w:t>
            </w:r>
            <w:r w:rsidRPr="00E93D93">
              <w:rPr>
                <w:rFonts w:hint="eastAsia"/>
                <w:sz w:val="22"/>
                <w:szCs w:val="22"/>
                <w14:ligatures w14:val="standardContextual"/>
              </w:rPr>
              <w:t>uMRD</w:t>
            </w:r>
            <w:r w:rsidRPr="00E93D93">
              <w:rPr>
                <w:rFonts w:hint="eastAsia"/>
                <w:sz w:val="22"/>
                <w:szCs w:val="22"/>
                <w14:ligatures w14:val="standardContextual"/>
              </w:rPr>
              <w:t>分析显示相比</w:t>
            </w:r>
            <w:r w:rsidRPr="00E93D93">
              <w:rPr>
                <w:rFonts w:hint="eastAsia"/>
                <w:sz w:val="22"/>
                <w:szCs w:val="22"/>
                <w14:ligatures w14:val="standardContextual"/>
              </w:rPr>
              <w:t>VO</w:t>
            </w:r>
            <w:r w:rsidRPr="00E93D93">
              <w:rPr>
                <w:rFonts w:hint="eastAsia"/>
                <w:sz w:val="22"/>
                <w:szCs w:val="22"/>
                <w14:ligatures w14:val="standardContextual"/>
              </w:rPr>
              <w:t>方案，索托克拉</w:t>
            </w:r>
            <w:r w:rsidRPr="00E93D93">
              <w:rPr>
                <w:rFonts w:hint="eastAsia"/>
                <w:sz w:val="22"/>
                <w:szCs w:val="22"/>
                <w14:ligatures w14:val="standardContextual"/>
              </w:rPr>
              <w:t>-</w:t>
            </w:r>
            <w:r w:rsidRPr="00E93D93">
              <w:rPr>
                <w:rFonts w:hint="eastAsia"/>
                <w:sz w:val="22"/>
                <w:szCs w:val="22"/>
                <w14:ligatures w14:val="standardContextual"/>
              </w:rPr>
              <w:t>泽布替尼治疗方案未达到统计学优效性，独立数据监查委员会建议研究继续推进，直至完成主要监管终点</w:t>
            </w:r>
            <w:r w:rsidRPr="00E93D93">
              <w:rPr>
                <w:rFonts w:hint="eastAsia"/>
                <w:sz w:val="22"/>
                <w:szCs w:val="22"/>
                <w14:ligatures w14:val="standardContextual"/>
              </w:rPr>
              <w:t>PFS</w:t>
            </w:r>
            <w:r w:rsidRPr="00E93D93">
              <w:rPr>
                <w:rFonts w:hint="eastAsia"/>
                <w:sz w:val="22"/>
                <w:szCs w:val="22"/>
                <w14:ligatures w14:val="standardContextual"/>
              </w:rPr>
              <w:t>的分析。尽管</w:t>
            </w:r>
            <w:r w:rsidRPr="00E93D93">
              <w:rPr>
                <w:rFonts w:hint="eastAsia"/>
                <w:sz w:val="22"/>
                <w:szCs w:val="22"/>
                <w14:ligatures w14:val="standardContextual"/>
              </w:rPr>
              <w:t>uMRD</w:t>
            </w:r>
            <w:r w:rsidRPr="00E93D93">
              <w:rPr>
                <w:rFonts w:hint="eastAsia"/>
                <w:sz w:val="22"/>
                <w:szCs w:val="22"/>
                <w14:ligatures w14:val="standardContextual"/>
              </w:rPr>
              <w:t>对比是一项重要的科学探索，但鉴于</w:t>
            </w:r>
            <w:r w:rsidRPr="00E93D93">
              <w:rPr>
                <w:rFonts w:hint="eastAsia"/>
                <w:sz w:val="22"/>
                <w:szCs w:val="22"/>
                <w14:ligatures w14:val="standardContextual"/>
              </w:rPr>
              <w:t>VO</w:t>
            </w:r>
            <w:r w:rsidRPr="00E93D93">
              <w:rPr>
                <w:rFonts w:hint="eastAsia"/>
                <w:sz w:val="22"/>
                <w:szCs w:val="22"/>
                <w14:ligatures w14:val="standardContextual"/>
              </w:rPr>
              <w:t>方案的历史</w:t>
            </w:r>
            <w:r w:rsidRPr="00E93D93">
              <w:rPr>
                <w:rFonts w:hint="eastAsia"/>
                <w:sz w:val="22"/>
                <w:szCs w:val="22"/>
                <w14:ligatures w14:val="standardContextual"/>
              </w:rPr>
              <w:t>uMRD</w:t>
            </w:r>
            <w:r w:rsidRPr="00E93D93">
              <w:rPr>
                <w:rFonts w:hint="eastAsia"/>
                <w:sz w:val="22"/>
                <w:szCs w:val="22"/>
                <w14:ligatures w14:val="standardContextual"/>
              </w:rPr>
              <w:t>基准水平较高，要证明</w:t>
            </w:r>
            <w:r w:rsidRPr="00E93D93">
              <w:rPr>
                <w:rFonts w:hint="eastAsia"/>
                <w:sz w:val="22"/>
                <w:szCs w:val="22"/>
                <w14:ligatures w14:val="standardContextual"/>
              </w:rPr>
              <w:t>uMRD</w:t>
            </w:r>
            <w:r w:rsidRPr="00E93D93">
              <w:rPr>
                <w:rFonts w:hint="eastAsia"/>
                <w:sz w:val="22"/>
                <w:szCs w:val="22"/>
                <w14:ligatures w14:val="standardContextual"/>
              </w:rPr>
              <w:t>的优效性仍面临极高的门槛。重要的是，在将</w:t>
            </w:r>
            <w:r w:rsidRPr="00E93D93">
              <w:rPr>
                <w:rFonts w:hint="eastAsia"/>
                <w:sz w:val="22"/>
                <w:szCs w:val="22"/>
                <w14:ligatures w14:val="standardContextual"/>
              </w:rPr>
              <w:t>BTK</w:t>
            </w:r>
            <w:r w:rsidRPr="00E93D93">
              <w:rPr>
                <w:rFonts w:hint="eastAsia"/>
                <w:sz w:val="22"/>
                <w:szCs w:val="22"/>
                <w14:ligatures w14:val="standardContextual"/>
              </w:rPr>
              <w:t>抑制剂与含抗</w:t>
            </w:r>
            <w:r w:rsidRPr="00E93D93">
              <w:rPr>
                <w:rFonts w:hint="eastAsia"/>
                <w:sz w:val="22"/>
                <w:szCs w:val="22"/>
                <w14:ligatures w14:val="standardContextual"/>
              </w:rPr>
              <w:t>CD20</w:t>
            </w:r>
            <w:r w:rsidRPr="00E93D93">
              <w:rPr>
                <w:rFonts w:hint="eastAsia"/>
                <w:sz w:val="22"/>
                <w:szCs w:val="22"/>
                <w14:ligatures w14:val="standardContextual"/>
              </w:rPr>
              <w:t>方案进行比较时，</w:t>
            </w:r>
            <w:r w:rsidRPr="00E93D93">
              <w:rPr>
                <w:rFonts w:hint="eastAsia"/>
                <w:sz w:val="22"/>
                <w:szCs w:val="22"/>
                <w14:ligatures w14:val="standardContextual"/>
              </w:rPr>
              <w:t>uMRD</w:t>
            </w:r>
            <w:r w:rsidRPr="00E93D93">
              <w:rPr>
                <w:rFonts w:hint="eastAsia"/>
                <w:sz w:val="22"/>
                <w:szCs w:val="22"/>
                <w14:ligatures w14:val="standardContextual"/>
              </w:rPr>
              <w:t>率并不总能用于预测</w:t>
            </w:r>
            <w:r w:rsidRPr="00E93D93">
              <w:rPr>
                <w:rFonts w:hint="eastAsia"/>
                <w:sz w:val="22"/>
                <w:szCs w:val="22"/>
                <w14:ligatures w14:val="standardContextual"/>
              </w:rPr>
              <w:t>PFS</w:t>
            </w:r>
            <w:r w:rsidRPr="00E93D93">
              <w:rPr>
                <w:rFonts w:hint="eastAsia"/>
                <w:sz w:val="22"/>
                <w:szCs w:val="22"/>
                <w14:ligatures w14:val="standardContextual"/>
              </w:rPr>
              <w:t>预后。例如，在</w:t>
            </w:r>
            <w:r w:rsidRPr="00E93D93">
              <w:rPr>
                <w:rFonts w:hint="eastAsia"/>
                <w:sz w:val="22"/>
                <w:szCs w:val="22"/>
                <w14:ligatures w14:val="standardContextual"/>
              </w:rPr>
              <w:t>CLL17</w:t>
            </w:r>
            <w:r w:rsidRPr="00E93D93">
              <w:rPr>
                <w:rFonts w:hint="eastAsia"/>
                <w:sz w:val="22"/>
                <w:szCs w:val="22"/>
                <w14:ligatures w14:val="standardContextual"/>
              </w:rPr>
              <w:t>，尽管</w:t>
            </w:r>
            <w:r w:rsidRPr="00E93D93">
              <w:rPr>
                <w:rFonts w:hint="eastAsia"/>
                <w:sz w:val="22"/>
                <w:szCs w:val="22"/>
                <w14:ligatures w14:val="standardContextual"/>
              </w:rPr>
              <w:t>IV</w:t>
            </w:r>
            <w:r w:rsidRPr="00E93D93">
              <w:rPr>
                <w:rFonts w:hint="eastAsia"/>
                <w:sz w:val="22"/>
                <w:szCs w:val="22"/>
                <w14:ligatures w14:val="standardContextual"/>
              </w:rPr>
              <w:t>方案的</w:t>
            </w:r>
            <w:r w:rsidRPr="00E93D93">
              <w:rPr>
                <w:rFonts w:hint="eastAsia"/>
                <w:sz w:val="22"/>
                <w:szCs w:val="22"/>
                <w14:ligatures w14:val="standardContextual"/>
              </w:rPr>
              <w:t>uMRD</w:t>
            </w:r>
            <w:r w:rsidRPr="00E93D93">
              <w:rPr>
                <w:rFonts w:hint="eastAsia"/>
                <w:sz w:val="22"/>
                <w:szCs w:val="22"/>
                <w14:ligatures w14:val="standardContextual"/>
              </w:rPr>
              <w:t>率比</w:t>
            </w:r>
            <w:r w:rsidRPr="00E93D93">
              <w:rPr>
                <w:rFonts w:hint="eastAsia"/>
                <w:sz w:val="22"/>
                <w:szCs w:val="22"/>
                <w14:ligatures w14:val="standardContextual"/>
              </w:rPr>
              <w:t>VO</w:t>
            </w:r>
            <w:r w:rsidRPr="00E93D93">
              <w:rPr>
                <w:rFonts w:hint="eastAsia"/>
                <w:sz w:val="22"/>
                <w:szCs w:val="22"/>
                <w14:ligatures w14:val="standardContextual"/>
              </w:rPr>
              <w:t>方案低</w:t>
            </w:r>
            <w:r w:rsidRPr="00E93D93">
              <w:rPr>
                <w:rFonts w:hint="eastAsia"/>
                <w:sz w:val="22"/>
                <w:szCs w:val="22"/>
                <w14:ligatures w14:val="standardContextual"/>
              </w:rPr>
              <w:t>26%</w:t>
            </w:r>
            <w:r w:rsidRPr="00E93D93">
              <w:rPr>
                <w:rFonts w:hint="eastAsia"/>
                <w:sz w:val="22"/>
                <w:szCs w:val="22"/>
                <w14:ligatures w14:val="standardContextual"/>
              </w:rPr>
              <w:t>，但其</w:t>
            </w:r>
            <w:r w:rsidRPr="00E93D93">
              <w:rPr>
                <w:rFonts w:hint="eastAsia"/>
                <w:sz w:val="22"/>
                <w:szCs w:val="22"/>
                <w14:ligatures w14:val="standardContextual"/>
              </w:rPr>
              <w:t>PFS</w:t>
            </w:r>
            <w:r w:rsidRPr="00E93D93">
              <w:rPr>
                <w:rFonts w:hint="eastAsia"/>
                <w:sz w:val="22"/>
                <w:szCs w:val="22"/>
                <w14:ligatures w14:val="standardContextual"/>
              </w:rPr>
              <w:t>获益与</w:t>
            </w:r>
            <w:r w:rsidRPr="00E93D93">
              <w:rPr>
                <w:rFonts w:hint="eastAsia"/>
                <w:sz w:val="22"/>
                <w:szCs w:val="22"/>
                <w14:ligatures w14:val="standardContextual"/>
              </w:rPr>
              <w:t>VO</w:t>
            </w:r>
            <w:r w:rsidRPr="00E93D93">
              <w:rPr>
                <w:rFonts w:hint="eastAsia"/>
                <w:sz w:val="22"/>
                <w:szCs w:val="22"/>
                <w14:ligatures w14:val="standardContextual"/>
              </w:rPr>
              <w:t>方案相当。鉴于</w:t>
            </w:r>
            <w:r w:rsidRPr="00E93D93">
              <w:rPr>
                <w:rFonts w:hint="eastAsia"/>
                <w:sz w:val="22"/>
                <w:szCs w:val="22"/>
                <w14:ligatures w14:val="standardContextual"/>
              </w:rPr>
              <w:t>101</w:t>
            </w:r>
            <w:r w:rsidRPr="00E93D93">
              <w:rPr>
                <w:rFonts w:hint="eastAsia"/>
                <w:sz w:val="22"/>
                <w:szCs w:val="22"/>
                <w14:ligatures w14:val="standardContextual"/>
              </w:rPr>
              <w:t>研究中索托克拉联合泽布替尼方案展现出的高</w:t>
            </w:r>
            <w:r w:rsidRPr="00E93D93">
              <w:rPr>
                <w:rFonts w:hint="eastAsia"/>
                <w:sz w:val="22"/>
                <w:szCs w:val="22"/>
                <w14:ligatures w14:val="standardContextual"/>
              </w:rPr>
              <w:t>uMRD</w:t>
            </w:r>
            <w:r w:rsidRPr="00E93D93">
              <w:rPr>
                <w:rFonts w:hint="eastAsia"/>
                <w:sz w:val="22"/>
                <w:szCs w:val="22"/>
                <w14:ligatures w14:val="standardContextual"/>
              </w:rPr>
              <w:t>率与缓解持久性，我们对达成</w:t>
            </w:r>
            <w:r w:rsidRPr="00E93D93">
              <w:rPr>
                <w:rFonts w:hint="eastAsia"/>
                <w:sz w:val="22"/>
                <w:szCs w:val="22"/>
                <w14:ligatures w14:val="standardContextual"/>
              </w:rPr>
              <w:t>PFS</w:t>
            </w:r>
            <w:r w:rsidRPr="00E93D93">
              <w:rPr>
                <w:rFonts w:hint="eastAsia"/>
                <w:sz w:val="22"/>
                <w:szCs w:val="22"/>
                <w14:ligatures w14:val="standardContextual"/>
              </w:rPr>
              <w:t>终点充满信心。下面来说一说我们的</w:t>
            </w:r>
            <w:r w:rsidRPr="00E93D93">
              <w:rPr>
                <w:rFonts w:hint="eastAsia"/>
                <w:sz w:val="22"/>
                <w:szCs w:val="22"/>
                <w14:ligatures w14:val="standardContextual"/>
              </w:rPr>
              <w:t>BTK</w:t>
            </w:r>
            <w:r w:rsidRPr="00E93D93">
              <w:rPr>
                <w:rFonts w:hint="eastAsia"/>
                <w:sz w:val="22"/>
                <w:szCs w:val="22"/>
                <w14:ligatures w14:val="standardContextual"/>
              </w:rPr>
              <w:t>降解剂。</w:t>
            </w:r>
            <w:r w:rsidRPr="00E93D93">
              <w:rPr>
                <w:rFonts w:hint="eastAsia"/>
                <w:sz w:val="22"/>
                <w:szCs w:val="22"/>
                <w14:ligatures w14:val="standardContextual"/>
              </w:rPr>
              <w:t>Tacabrutideg</w:t>
            </w:r>
            <w:r w:rsidRPr="00E93D93">
              <w:rPr>
                <w:rFonts w:hint="eastAsia"/>
                <w:sz w:val="22"/>
                <w:szCs w:val="22"/>
                <w14:ligatures w14:val="standardContextual"/>
              </w:rPr>
              <w:t>的潜在</w:t>
            </w:r>
            <w:r w:rsidRPr="00E93D93">
              <w:rPr>
                <w:rFonts w:hint="eastAsia"/>
                <w:sz w:val="22"/>
                <w:szCs w:val="22"/>
                <w14:ligatures w14:val="standardContextual"/>
              </w:rPr>
              <w:t>2</w:t>
            </w:r>
            <w:r w:rsidRPr="00E93D93">
              <w:rPr>
                <w:rFonts w:hint="eastAsia"/>
                <w:sz w:val="22"/>
                <w:szCs w:val="22"/>
                <w14:ligatures w14:val="standardContextual"/>
              </w:rPr>
              <w:t>期注册性研究正持续推进，匹妥布替尼头对头的</w:t>
            </w:r>
            <w:r w:rsidRPr="00E93D93">
              <w:rPr>
                <w:rFonts w:hint="eastAsia"/>
                <w:sz w:val="22"/>
                <w:szCs w:val="22"/>
                <w14:ligatures w14:val="standardContextual"/>
              </w:rPr>
              <w:t>3</w:t>
            </w:r>
            <w:r w:rsidRPr="00E93D93">
              <w:rPr>
                <w:rFonts w:hint="eastAsia"/>
                <w:sz w:val="22"/>
                <w:szCs w:val="22"/>
                <w14:ligatures w14:val="standardContextual"/>
              </w:rPr>
              <w:t>期</w:t>
            </w:r>
            <w:r w:rsidRPr="00E93D93">
              <w:rPr>
                <w:rFonts w:hint="eastAsia"/>
                <w:sz w:val="22"/>
                <w:szCs w:val="22"/>
                <w14:ligatures w14:val="standardContextual"/>
              </w:rPr>
              <w:t>CaDAnCe-304</w:t>
            </w:r>
            <w:r w:rsidRPr="00E93D93">
              <w:rPr>
                <w:rFonts w:hint="eastAsia"/>
                <w:sz w:val="22"/>
                <w:szCs w:val="22"/>
                <w14:ligatures w14:val="standardContextual"/>
              </w:rPr>
              <w:t>临床试验按计划推进。这些项目旨在推动我们在</w:t>
            </w:r>
            <w:r w:rsidRPr="00E93D93">
              <w:rPr>
                <w:rFonts w:hint="eastAsia"/>
                <w:sz w:val="22"/>
                <w:szCs w:val="22"/>
                <w14:ligatures w14:val="standardContextual"/>
              </w:rPr>
              <w:t>B</w:t>
            </w:r>
            <w:r w:rsidRPr="00E93D93">
              <w:rPr>
                <w:rFonts w:hint="eastAsia"/>
                <w:sz w:val="22"/>
                <w:szCs w:val="22"/>
                <w14:ligatures w14:val="standardContextual"/>
              </w:rPr>
              <w:t>细胞恶性肿瘤领域确立下一代治疗的领先地位。在实体瘤方面，百泽安</w:t>
            </w:r>
            <w:r w:rsidRPr="00095040">
              <w:rPr>
                <w:rFonts w:hint="eastAsia"/>
                <w:sz w:val="22"/>
                <w:szCs w:val="22"/>
                <w:vertAlign w:val="superscript"/>
                <w14:ligatures w14:val="standardContextual"/>
              </w:rPr>
              <w:t>®</w:t>
            </w:r>
            <w:r w:rsidRPr="00E93D93">
              <w:rPr>
                <w:rFonts w:hint="eastAsia"/>
                <w:sz w:val="22"/>
                <w:szCs w:val="22"/>
                <w14:ligatures w14:val="standardContextual"/>
              </w:rPr>
              <w:t>迎来了又一项重要里程碑：美国</w:t>
            </w:r>
            <w:r w:rsidRPr="00E93D93">
              <w:rPr>
                <w:rFonts w:hint="eastAsia"/>
                <w:sz w:val="22"/>
                <w:szCs w:val="22"/>
                <w14:ligatures w14:val="standardContextual"/>
              </w:rPr>
              <w:t>FDA</w:t>
            </w:r>
            <w:r w:rsidRPr="00E93D93">
              <w:rPr>
                <w:rFonts w:hint="eastAsia"/>
                <w:sz w:val="22"/>
                <w:szCs w:val="22"/>
                <w14:ligatures w14:val="standardContextual"/>
              </w:rPr>
              <w:t>已受理百泽安</w:t>
            </w:r>
            <w:r w:rsidRPr="00095040">
              <w:rPr>
                <w:rFonts w:hint="eastAsia"/>
                <w:sz w:val="22"/>
                <w:szCs w:val="22"/>
                <w:vertAlign w:val="superscript"/>
                <w14:ligatures w14:val="standardContextual"/>
              </w:rPr>
              <w:t>®</w:t>
            </w:r>
            <w:r w:rsidRPr="00E93D93">
              <w:rPr>
                <w:rFonts w:hint="eastAsia"/>
                <w:sz w:val="22"/>
                <w:szCs w:val="22"/>
                <w14:ligatures w14:val="standardContextual"/>
              </w:rPr>
              <w:t>用于</w:t>
            </w:r>
            <w:r w:rsidRPr="00E93D93">
              <w:rPr>
                <w:rFonts w:hint="eastAsia"/>
                <w:sz w:val="22"/>
                <w:szCs w:val="22"/>
                <w14:ligatures w14:val="standardContextual"/>
              </w:rPr>
              <w:t>HER2</w:t>
            </w:r>
            <w:r w:rsidRPr="00E93D93">
              <w:rPr>
                <w:rFonts w:hint="eastAsia"/>
                <w:sz w:val="22"/>
                <w:szCs w:val="22"/>
                <w14:ligatures w14:val="standardContextual"/>
              </w:rPr>
              <w:t>阳性胃食管腺癌一线治疗的</w:t>
            </w:r>
            <w:r w:rsidRPr="00E93D93">
              <w:rPr>
                <w:rFonts w:hint="eastAsia"/>
                <w:sz w:val="22"/>
                <w:szCs w:val="22"/>
                <w14:ligatures w14:val="standardContextual"/>
              </w:rPr>
              <w:t>sBLA</w:t>
            </w:r>
            <w:r w:rsidRPr="00E93D93">
              <w:rPr>
                <w:rFonts w:hint="eastAsia"/>
                <w:sz w:val="22"/>
                <w:szCs w:val="22"/>
                <w14:ligatures w14:val="standardContextual"/>
              </w:rPr>
              <w:t>申请，并被授予优先审评认定。在国内药政申报进展方面，</w:t>
            </w:r>
            <w:r w:rsidRPr="00E93D93">
              <w:rPr>
                <w:rFonts w:hint="eastAsia"/>
                <w:sz w:val="22"/>
                <w:szCs w:val="22"/>
                <w14:ligatures w14:val="standardContextual"/>
              </w:rPr>
              <w:t>CDE</w:t>
            </w:r>
            <w:r w:rsidRPr="00E93D93">
              <w:rPr>
                <w:rFonts w:hint="eastAsia"/>
                <w:sz w:val="22"/>
                <w:szCs w:val="22"/>
                <w14:ligatures w14:val="standardContextual"/>
              </w:rPr>
              <w:t>已受理百泽安</w:t>
            </w:r>
            <w:r w:rsidRPr="00095040">
              <w:rPr>
                <w:rFonts w:hint="eastAsia"/>
                <w:sz w:val="22"/>
                <w:szCs w:val="22"/>
                <w:vertAlign w:val="superscript"/>
                <w14:ligatures w14:val="standardContextual"/>
              </w:rPr>
              <w:t>®</w:t>
            </w:r>
            <w:r w:rsidRPr="00E93D93">
              <w:rPr>
                <w:rFonts w:hint="eastAsia"/>
                <w:sz w:val="22"/>
                <w:szCs w:val="22"/>
                <w14:ligatures w14:val="standardContextual"/>
              </w:rPr>
              <w:t>与百赫安</w:t>
            </w:r>
            <w:r w:rsidRPr="00095040">
              <w:rPr>
                <w:rFonts w:hint="eastAsia"/>
                <w:sz w:val="22"/>
                <w:szCs w:val="22"/>
                <w:vertAlign w:val="superscript"/>
                <w14:ligatures w14:val="standardContextual"/>
              </w:rPr>
              <w:t>®</w:t>
            </w:r>
            <w:r w:rsidRPr="00E93D93">
              <w:rPr>
                <w:rFonts w:hint="eastAsia"/>
                <w:sz w:val="22"/>
                <w:szCs w:val="22"/>
                <w14:ligatures w14:val="standardContextual"/>
              </w:rPr>
              <w:t>的上市</w:t>
            </w:r>
            <w:r w:rsidRPr="00E93D93">
              <w:rPr>
                <w:rFonts w:hint="eastAsia"/>
                <w:sz w:val="22"/>
                <w:szCs w:val="22"/>
                <w14:ligatures w14:val="standardContextual"/>
              </w:rPr>
              <w:lastRenderedPageBreak/>
              <w:t>许可申请。除百泽安</w:t>
            </w:r>
            <w:r w:rsidRPr="00095040">
              <w:rPr>
                <w:rFonts w:hint="eastAsia"/>
                <w:sz w:val="22"/>
                <w:szCs w:val="22"/>
                <w:vertAlign w:val="superscript"/>
                <w14:ligatures w14:val="standardContextual"/>
              </w:rPr>
              <w:t>®</w:t>
            </w:r>
            <w:r w:rsidRPr="00E93D93">
              <w:rPr>
                <w:rFonts w:hint="eastAsia"/>
                <w:sz w:val="22"/>
                <w:szCs w:val="22"/>
                <w14:ligatures w14:val="standardContextual"/>
              </w:rPr>
              <w:t>外，我们的研发管线正持续拓展，创新布局不断深化。</w:t>
            </w:r>
            <w:r w:rsidRPr="00E93D93">
              <w:rPr>
                <w:rFonts w:hint="eastAsia"/>
                <w:sz w:val="22"/>
                <w:szCs w:val="22"/>
                <w14:ligatures w14:val="standardContextual"/>
              </w:rPr>
              <w:t>CDK4</w:t>
            </w:r>
            <w:r w:rsidRPr="00E93D93">
              <w:rPr>
                <w:rFonts w:hint="eastAsia"/>
                <w:sz w:val="22"/>
                <w:szCs w:val="22"/>
                <w14:ligatures w14:val="standardContextual"/>
              </w:rPr>
              <w:t>抑制剂已启动针对乳腺癌的</w:t>
            </w:r>
            <w:r w:rsidRPr="00E93D93">
              <w:rPr>
                <w:rFonts w:hint="eastAsia"/>
                <w:sz w:val="22"/>
                <w:szCs w:val="22"/>
                <w14:ligatures w14:val="standardContextual"/>
              </w:rPr>
              <w:t>3</w:t>
            </w:r>
            <w:r w:rsidRPr="00E93D93">
              <w:rPr>
                <w:rFonts w:hint="eastAsia"/>
                <w:sz w:val="22"/>
                <w:szCs w:val="22"/>
                <w14:ligatures w14:val="standardContextual"/>
              </w:rPr>
              <w:t>期临床开发。</w:t>
            </w:r>
            <w:r w:rsidRPr="00E93D93">
              <w:rPr>
                <w:rFonts w:hint="eastAsia"/>
                <w:sz w:val="22"/>
                <w:szCs w:val="22"/>
                <w14:ligatures w14:val="standardContextual"/>
              </w:rPr>
              <w:t xml:space="preserve">GPC3 </w:t>
            </w:r>
            <w:r w:rsidRPr="00E93D93">
              <w:rPr>
                <w:rFonts w:hint="eastAsia"/>
                <w:sz w:val="22"/>
                <w:szCs w:val="22"/>
                <w14:ligatures w14:val="standardContextual"/>
              </w:rPr>
              <w:t>×</w:t>
            </w:r>
            <w:r w:rsidRPr="00E93D93">
              <w:rPr>
                <w:rFonts w:hint="eastAsia"/>
                <w:sz w:val="22"/>
                <w:szCs w:val="22"/>
                <w14:ligatures w14:val="standardContextual"/>
              </w:rPr>
              <w:t xml:space="preserve"> 4-1BB</w:t>
            </w:r>
            <w:r w:rsidRPr="00E93D93">
              <w:rPr>
                <w:rFonts w:hint="eastAsia"/>
                <w:sz w:val="22"/>
                <w:szCs w:val="22"/>
                <w14:ligatures w14:val="standardContextual"/>
              </w:rPr>
              <w:t>双抗用于治疗</w:t>
            </w:r>
            <w:r w:rsidRPr="00E93D93">
              <w:rPr>
                <w:rFonts w:hint="eastAsia"/>
                <w:sz w:val="22"/>
                <w:szCs w:val="22"/>
                <w14:ligatures w14:val="standardContextual"/>
              </w:rPr>
              <w:t>HCC</w:t>
            </w:r>
            <w:r w:rsidRPr="00E93D93">
              <w:rPr>
                <w:rFonts w:hint="eastAsia"/>
                <w:sz w:val="22"/>
                <w:szCs w:val="22"/>
                <w14:ligatures w14:val="standardContextual"/>
              </w:rPr>
              <w:t>的中国潜在注册性队列近期已完成入组。针对二线</w:t>
            </w:r>
            <w:r w:rsidRPr="00E93D93">
              <w:rPr>
                <w:rFonts w:hint="eastAsia"/>
                <w:sz w:val="22"/>
                <w:szCs w:val="22"/>
                <w14:ligatures w14:val="standardContextual"/>
              </w:rPr>
              <w:t>HCC</w:t>
            </w:r>
            <w:r w:rsidRPr="00E93D93">
              <w:rPr>
                <w:rFonts w:hint="eastAsia"/>
                <w:sz w:val="22"/>
                <w:szCs w:val="22"/>
                <w14:ligatures w14:val="standardContextual"/>
              </w:rPr>
              <w:t>的</w:t>
            </w:r>
            <w:r w:rsidRPr="00E93D93">
              <w:rPr>
                <w:rFonts w:hint="eastAsia"/>
                <w:sz w:val="22"/>
                <w:szCs w:val="22"/>
                <w14:ligatures w14:val="standardContextual"/>
              </w:rPr>
              <w:t>3</w:t>
            </w:r>
            <w:r w:rsidRPr="00E93D93">
              <w:rPr>
                <w:rFonts w:hint="eastAsia"/>
                <w:sz w:val="22"/>
                <w:szCs w:val="22"/>
                <w14:ligatures w14:val="standardContextual"/>
              </w:rPr>
              <w:t>期临床研究预计于年底前启动。此外，</w:t>
            </w:r>
            <w:r w:rsidRPr="00E93D93">
              <w:rPr>
                <w:rFonts w:hint="eastAsia"/>
                <w:sz w:val="22"/>
                <w:szCs w:val="22"/>
                <w14:ligatures w14:val="standardContextual"/>
              </w:rPr>
              <w:t>PRMT5</w:t>
            </w:r>
            <w:r w:rsidRPr="00E93D93">
              <w:rPr>
                <w:rFonts w:hint="eastAsia"/>
                <w:sz w:val="22"/>
                <w:szCs w:val="22"/>
                <w14:ligatures w14:val="standardContextual"/>
              </w:rPr>
              <w:t>抑制剂已获得美国</w:t>
            </w:r>
            <w:r w:rsidRPr="00E93D93">
              <w:rPr>
                <w:rFonts w:hint="eastAsia"/>
                <w:sz w:val="22"/>
                <w:szCs w:val="22"/>
                <w14:ligatures w14:val="standardContextual"/>
              </w:rPr>
              <w:t>FDA</w:t>
            </w:r>
            <w:r w:rsidRPr="00E93D93">
              <w:rPr>
                <w:rFonts w:hint="eastAsia"/>
                <w:sz w:val="22"/>
                <w:szCs w:val="22"/>
                <w14:ligatures w14:val="standardContextual"/>
              </w:rPr>
              <w:t>孤儿药资格认定，用于治疗胰腺癌；</w:t>
            </w:r>
            <w:r w:rsidRPr="00E93D93">
              <w:rPr>
                <w:rFonts w:hint="eastAsia"/>
                <w:sz w:val="22"/>
                <w:szCs w:val="22"/>
                <w14:ligatures w14:val="standardContextual"/>
              </w:rPr>
              <w:t xml:space="preserve">PD-1 </w:t>
            </w:r>
            <w:r w:rsidRPr="00E93D93">
              <w:rPr>
                <w:rFonts w:hint="eastAsia"/>
                <w:sz w:val="22"/>
                <w:szCs w:val="22"/>
                <w14:ligatures w14:val="standardContextual"/>
              </w:rPr>
              <w:t>×</w:t>
            </w:r>
            <w:r w:rsidRPr="00E93D93">
              <w:rPr>
                <w:rFonts w:hint="eastAsia"/>
                <w:sz w:val="22"/>
                <w:szCs w:val="22"/>
                <w14:ligatures w14:val="standardContextual"/>
              </w:rPr>
              <w:t xml:space="preserve"> VEGF </w:t>
            </w:r>
            <w:r w:rsidRPr="00E93D93">
              <w:rPr>
                <w:rFonts w:hint="eastAsia"/>
                <w:sz w:val="22"/>
                <w:szCs w:val="22"/>
                <w14:ligatures w14:val="standardContextual"/>
              </w:rPr>
              <w:t>×</w:t>
            </w:r>
            <w:r w:rsidRPr="00E93D93">
              <w:rPr>
                <w:rFonts w:hint="eastAsia"/>
                <w:sz w:val="22"/>
                <w:szCs w:val="22"/>
                <w14:ligatures w14:val="standardContextual"/>
              </w:rPr>
              <w:t xml:space="preserve"> CTLA-4</w:t>
            </w:r>
            <w:r w:rsidRPr="00E93D93">
              <w:rPr>
                <w:rFonts w:hint="eastAsia"/>
                <w:sz w:val="22"/>
                <w:szCs w:val="22"/>
                <w14:ligatures w14:val="standardContextual"/>
              </w:rPr>
              <w:t>三抗也已进入临床开发阶段。</w:t>
            </w:r>
          </w:p>
          <w:p w14:paraId="142A39AD" w14:textId="77777777" w:rsidR="009A3FF6" w:rsidRPr="00E93D93" w:rsidRDefault="009A3FF6" w:rsidP="008429E6">
            <w:pPr>
              <w:overflowPunct w:val="0"/>
              <w:autoSpaceDE w:val="0"/>
              <w:autoSpaceDN w:val="0"/>
              <w:spacing w:line="360" w:lineRule="auto"/>
              <w:ind w:firstLineChars="200" w:firstLine="440"/>
              <w:rPr>
                <w:sz w:val="22"/>
                <w:szCs w:val="22"/>
                <w14:ligatures w14:val="standardContextual"/>
              </w:rPr>
            </w:pPr>
            <w:r w:rsidRPr="00E93D93">
              <w:rPr>
                <w:rFonts w:hint="eastAsia"/>
                <w:sz w:val="22"/>
                <w:szCs w:val="22"/>
                <w14:ligatures w14:val="standardContextual"/>
              </w:rPr>
              <w:t>上个季度的里程碑不仅体现了强大的执行力，更彰显了专注的研发战略所蕴含的强大力量。我们将投资重点放在能够确立领先地位的疾病领域，致力于打造疾病产品组合，而非孤立的产品。不断扩充的技术平台为这一战略提供了强力支撑：涵盖降解剂、新型有效载荷</w:t>
            </w:r>
            <w:r w:rsidRPr="00E93D93">
              <w:rPr>
                <w:rFonts w:hint="eastAsia"/>
                <w:sz w:val="22"/>
                <w:szCs w:val="22"/>
                <w14:ligatures w14:val="standardContextual"/>
              </w:rPr>
              <w:t>ADC</w:t>
            </w:r>
            <w:r w:rsidRPr="00E93D93">
              <w:rPr>
                <w:rFonts w:hint="eastAsia"/>
                <w:sz w:val="22"/>
                <w:szCs w:val="22"/>
                <w14:ligatures w14:val="standardContextual"/>
              </w:rPr>
              <w:t>、细胞疗法及</w:t>
            </w:r>
            <w:r w:rsidRPr="00E93D93">
              <w:rPr>
                <w:rFonts w:hint="eastAsia"/>
                <w:sz w:val="22"/>
                <w:szCs w:val="22"/>
                <w14:ligatures w14:val="standardContextual"/>
              </w:rPr>
              <w:t>T</w:t>
            </w:r>
            <w:r w:rsidRPr="00E93D93">
              <w:rPr>
                <w:rFonts w:hint="eastAsia"/>
                <w:sz w:val="22"/>
                <w:szCs w:val="22"/>
                <w14:ligatures w14:val="standardContextual"/>
              </w:rPr>
              <w:t>细胞衔接器疗法。凭借多种分子类型的灵活性，我们能够将核心的疾病机制与最契合的治疗方案精准配对。由此，我们构建的管线不仅追求广度，更着眼于长期的可持续性。随着创新引擎持续发力，我们正在每个优先疾病领域内深耕，实现多款在研产品与不同作用机制的协同发力。依托这种战略纵深，我们能够基于自研管线开发专属联合疗法，构筑差异化竞争壁垒，实现创新研发投入的价值最大化。</w:t>
            </w:r>
          </w:p>
          <w:p w14:paraId="32F35E3E" w14:textId="77777777" w:rsidR="009A3FF6" w:rsidRPr="00E93D93" w:rsidRDefault="009A3FF6" w:rsidP="008429E6">
            <w:pPr>
              <w:overflowPunct w:val="0"/>
              <w:autoSpaceDE w:val="0"/>
              <w:autoSpaceDN w:val="0"/>
              <w:spacing w:line="360" w:lineRule="auto"/>
              <w:ind w:firstLineChars="200" w:firstLine="440"/>
              <w:rPr>
                <w:sz w:val="22"/>
                <w:szCs w:val="22"/>
                <w14:ligatures w14:val="standardContextual"/>
              </w:rPr>
            </w:pPr>
            <w:r w:rsidRPr="00E93D93">
              <w:rPr>
                <w:rFonts w:hint="eastAsia"/>
                <w:sz w:val="22"/>
                <w:szCs w:val="22"/>
                <w14:ligatures w14:val="standardContextual"/>
              </w:rPr>
              <w:t>随着创新引擎高效运转，我们正为整体管线源源不断地注入高质量研发机遇。回顾过去，我们的实体瘤管线曾高度侧重于肿瘤免疫治疗。</w:t>
            </w:r>
            <w:r w:rsidRPr="00E93D93">
              <w:rPr>
                <w:rFonts w:hint="eastAsia"/>
                <w:sz w:val="22"/>
                <w:szCs w:val="22"/>
                <w14:ligatures w14:val="standardContextual"/>
              </w:rPr>
              <w:t>CDK4</w:t>
            </w:r>
            <w:r w:rsidRPr="00E93D93">
              <w:rPr>
                <w:rFonts w:hint="eastAsia"/>
                <w:sz w:val="22"/>
                <w:szCs w:val="22"/>
                <w14:ligatures w14:val="standardContextual"/>
              </w:rPr>
              <w:t>抑制剂项目的启动，标志着我们开启全新篇章：机制更加多元，分子类型更加丰富，对特定瘤种的聚焦也更为精准。如今，战略转型的成果已清晰显现。目前，我们有五个实体瘤项目完成了临床概念验证，正稳步推进至关键性研究阶段。尤为瞩目的是，这些项目均有望在约两年半内，加速跨越从首次人体试验到关键性阶段首例患者入组的里程碑。目前，</w:t>
            </w:r>
            <w:r w:rsidRPr="00E93D93">
              <w:rPr>
                <w:rFonts w:hint="eastAsia"/>
                <w:sz w:val="22"/>
                <w:szCs w:val="22"/>
                <w14:ligatures w14:val="standardContextual"/>
              </w:rPr>
              <w:t>CDK4</w:t>
            </w:r>
            <w:r w:rsidRPr="00E93D93">
              <w:rPr>
                <w:rFonts w:hint="eastAsia"/>
                <w:sz w:val="22"/>
                <w:szCs w:val="22"/>
                <w14:ligatures w14:val="standardContextual"/>
              </w:rPr>
              <w:t>抑制剂已启动</w:t>
            </w:r>
            <w:r w:rsidRPr="00E93D93">
              <w:rPr>
                <w:rFonts w:hint="eastAsia"/>
                <w:sz w:val="22"/>
                <w:szCs w:val="22"/>
                <w14:ligatures w14:val="standardContextual"/>
              </w:rPr>
              <w:t>3</w:t>
            </w:r>
            <w:r w:rsidRPr="00E93D93">
              <w:rPr>
                <w:rFonts w:hint="eastAsia"/>
                <w:sz w:val="22"/>
                <w:szCs w:val="22"/>
                <w14:ligatures w14:val="standardContextual"/>
              </w:rPr>
              <w:t>期临床试验患者入组。对于</w:t>
            </w:r>
            <w:r w:rsidRPr="00E93D93">
              <w:rPr>
                <w:rFonts w:hint="eastAsia"/>
                <w:sz w:val="22"/>
                <w:szCs w:val="22"/>
                <w14:ligatures w14:val="standardContextual"/>
              </w:rPr>
              <w:t>B7-H4 ADC</w:t>
            </w:r>
            <w:r w:rsidRPr="00E93D93">
              <w:rPr>
                <w:rFonts w:hint="eastAsia"/>
                <w:sz w:val="22"/>
                <w:szCs w:val="22"/>
                <w14:ligatures w14:val="standardContextual"/>
              </w:rPr>
              <w:t>，我们预计将于年底前启动针对卵巢癌的关键性研究。对于</w:t>
            </w:r>
            <w:r w:rsidRPr="00E93D93">
              <w:rPr>
                <w:rFonts w:hint="eastAsia"/>
                <w:sz w:val="22"/>
                <w:szCs w:val="22"/>
                <w14:ligatures w14:val="standardContextual"/>
              </w:rPr>
              <w:t xml:space="preserve">GPC3 </w:t>
            </w:r>
            <w:r w:rsidRPr="00E93D93">
              <w:rPr>
                <w:rFonts w:hint="eastAsia"/>
                <w:sz w:val="22"/>
                <w:szCs w:val="22"/>
                <w14:ligatures w14:val="standardContextual"/>
              </w:rPr>
              <w:t>×</w:t>
            </w:r>
            <w:r w:rsidRPr="00E93D93">
              <w:rPr>
                <w:rFonts w:hint="eastAsia"/>
                <w:sz w:val="22"/>
                <w:szCs w:val="22"/>
                <w14:ligatures w14:val="standardContextual"/>
              </w:rPr>
              <w:t xml:space="preserve"> 4-1BB</w:t>
            </w:r>
            <w:r w:rsidRPr="00E93D93">
              <w:rPr>
                <w:rFonts w:hint="eastAsia"/>
                <w:sz w:val="22"/>
                <w:szCs w:val="22"/>
                <w14:ligatures w14:val="standardContextual"/>
              </w:rPr>
              <w:t>双抗，我们仅用两个半月便完成了中国潜在注册扩展队列的入组，共入组约</w:t>
            </w:r>
            <w:r w:rsidRPr="00E93D93">
              <w:rPr>
                <w:rFonts w:hint="eastAsia"/>
                <w:sz w:val="22"/>
                <w:szCs w:val="22"/>
                <w14:ligatures w14:val="standardContextual"/>
              </w:rPr>
              <w:t>100</w:t>
            </w:r>
            <w:r w:rsidRPr="00E93D93">
              <w:rPr>
                <w:rFonts w:hint="eastAsia"/>
                <w:sz w:val="22"/>
                <w:szCs w:val="22"/>
                <w14:ligatures w14:val="standardContextual"/>
              </w:rPr>
              <w:t>例患者，这充分彰显了我们以非凡速度推进项目的能力。基于这一强劲势头，我们还预计将于年底前启动针对二线</w:t>
            </w:r>
            <w:r w:rsidRPr="00E93D93">
              <w:rPr>
                <w:rFonts w:hint="eastAsia"/>
                <w:sz w:val="22"/>
                <w:szCs w:val="22"/>
                <w14:ligatures w14:val="standardContextual"/>
              </w:rPr>
              <w:t>HCC</w:t>
            </w:r>
            <w:r w:rsidRPr="00E93D93">
              <w:rPr>
                <w:rFonts w:hint="eastAsia"/>
                <w:sz w:val="22"/>
                <w:szCs w:val="22"/>
                <w14:ligatures w14:val="standardContextual"/>
              </w:rPr>
              <w:t>的</w:t>
            </w:r>
            <w:r w:rsidRPr="00E93D93">
              <w:rPr>
                <w:rFonts w:hint="eastAsia"/>
                <w:sz w:val="22"/>
                <w:szCs w:val="22"/>
                <w14:ligatures w14:val="standardContextual"/>
              </w:rPr>
              <w:t>3</w:t>
            </w:r>
            <w:r w:rsidRPr="00E93D93">
              <w:rPr>
                <w:rFonts w:hint="eastAsia"/>
                <w:sz w:val="22"/>
                <w:szCs w:val="22"/>
                <w14:ligatures w14:val="standardContextual"/>
              </w:rPr>
              <w:t>期研究。与此同时，</w:t>
            </w:r>
            <w:r w:rsidRPr="00E93D93">
              <w:rPr>
                <w:rFonts w:hint="eastAsia"/>
                <w:sz w:val="22"/>
                <w:szCs w:val="22"/>
                <w14:ligatures w14:val="standardContextual"/>
              </w:rPr>
              <w:t>CEA ADC</w:t>
            </w:r>
            <w:r w:rsidRPr="00E93D93">
              <w:rPr>
                <w:rFonts w:hint="eastAsia"/>
                <w:sz w:val="22"/>
                <w:szCs w:val="22"/>
                <w14:ligatures w14:val="standardContextual"/>
              </w:rPr>
              <w:t>与</w:t>
            </w:r>
            <w:r w:rsidRPr="00E93D93">
              <w:rPr>
                <w:rFonts w:hint="eastAsia"/>
                <w:sz w:val="22"/>
                <w:szCs w:val="22"/>
                <w14:ligatures w14:val="standardContextual"/>
              </w:rPr>
              <w:t>PRMT5</w:t>
            </w:r>
            <w:r w:rsidRPr="00E93D93">
              <w:rPr>
                <w:rFonts w:hint="eastAsia"/>
                <w:sz w:val="22"/>
                <w:szCs w:val="22"/>
                <w14:ligatures w14:val="standardContextual"/>
              </w:rPr>
              <w:t>抑制剂均已完成概念验证，正稳步推进支持注</w:t>
            </w:r>
            <w:r w:rsidRPr="00E93D93">
              <w:rPr>
                <w:rFonts w:hint="eastAsia"/>
                <w:sz w:val="22"/>
                <w:szCs w:val="22"/>
                <w14:ligatures w14:val="standardContextual"/>
              </w:rPr>
              <w:lastRenderedPageBreak/>
              <w:t>册申报的临床开发。综合来看，这些项目展现了一套可复现的模式，这建立在差异化的科学发现、严谨的研发组合战略，以及强大的临床执行力之上。随着多款自主发现的产品进入开发后期阶段，我们正在创造越来越多的价值拐点。</w:t>
            </w:r>
          </w:p>
          <w:p w14:paraId="3D73336F" w14:textId="77777777" w:rsidR="009A3FF6" w:rsidRDefault="009A3FF6" w:rsidP="008429E6">
            <w:pPr>
              <w:overflowPunct w:val="0"/>
              <w:autoSpaceDE w:val="0"/>
              <w:autoSpaceDN w:val="0"/>
              <w:spacing w:line="360" w:lineRule="auto"/>
              <w:ind w:firstLineChars="200" w:firstLine="440"/>
              <w:rPr>
                <w:sz w:val="22"/>
                <w:szCs w:val="22"/>
                <w14:ligatures w14:val="standardContextual"/>
              </w:rPr>
            </w:pPr>
            <w:r w:rsidRPr="00E93D93">
              <w:rPr>
                <w:rFonts w:hint="eastAsia"/>
                <w:sz w:val="22"/>
                <w:szCs w:val="22"/>
                <w14:ligatures w14:val="standardContextual"/>
              </w:rPr>
              <w:t>接下来，让我们进一步回顾几项我们在</w:t>
            </w:r>
            <w:r w:rsidRPr="00E93D93">
              <w:rPr>
                <w:rFonts w:hint="eastAsia"/>
                <w:sz w:val="22"/>
                <w:szCs w:val="22"/>
                <w14:ligatures w14:val="standardContextual"/>
              </w:rPr>
              <w:t>ASCO</w:t>
            </w:r>
            <w:r w:rsidRPr="00E93D93">
              <w:rPr>
                <w:rFonts w:hint="eastAsia"/>
                <w:sz w:val="22"/>
                <w:szCs w:val="22"/>
                <w14:ligatures w14:val="standardContextual"/>
              </w:rPr>
              <w:t>会议上重点展示的资产，首先从我们的</w:t>
            </w:r>
            <w:r w:rsidRPr="00E93D93">
              <w:rPr>
                <w:rFonts w:hint="eastAsia"/>
                <w:sz w:val="22"/>
                <w:szCs w:val="22"/>
                <w14:ligatures w14:val="standardContextual"/>
              </w:rPr>
              <w:t>CDK4</w:t>
            </w:r>
            <w:r w:rsidRPr="00E93D93">
              <w:rPr>
                <w:rFonts w:hint="eastAsia"/>
                <w:sz w:val="22"/>
                <w:szCs w:val="22"/>
                <w14:ligatures w14:val="standardContextual"/>
              </w:rPr>
              <w:t>抑制剂开始。我们的</w:t>
            </w:r>
            <w:r w:rsidRPr="00E93D93">
              <w:rPr>
                <w:rFonts w:hint="eastAsia"/>
                <w:sz w:val="22"/>
                <w:szCs w:val="22"/>
                <w14:ligatures w14:val="standardContextual"/>
              </w:rPr>
              <w:t>CDK4</w:t>
            </w:r>
            <w:r w:rsidRPr="00E93D93">
              <w:rPr>
                <w:rFonts w:hint="eastAsia"/>
                <w:sz w:val="22"/>
                <w:szCs w:val="22"/>
                <w14:ligatures w14:val="standardContextual"/>
              </w:rPr>
              <w:t>抑制剂不断展现出令人鼓舞的数据，有力地验证了我们最初的科学设想。我们在</w:t>
            </w:r>
            <w:r w:rsidRPr="00E93D93">
              <w:rPr>
                <w:rFonts w:hint="eastAsia"/>
                <w:sz w:val="22"/>
                <w:szCs w:val="22"/>
                <w14:ligatures w14:val="standardContextual"/>
              </w:rPr>
              <w:t>ASCO</w:t>
            </w:r>
            <w:r w:rsidRPr="00E93D93">
              <w:rPr>
                <w:rFonts w:hint="eastAsia"/>
                <w:sz w:val="22"/>
                <w:szCs w:val="22"/>
                <w14:ligatures w14:val="standardContextual"/>
              </w:rPr>
              <w:t>会议上报告了其潜在的同类最佳特征，体现了令人鼓舞的疗效以及差异化的血液学安全性。在一线</w:t>
            </w:r>
            <w:r w:rsidRPr="00E93D93">
              <w:rPr>
                <w:rFonts w:hint="eastAsia"/>
                <w:sz w:val="22"/>
                <w:szCs w:val="22"/>
                <w14:ligatures w14:val="standardContextual"/>
              </w:rPr>
              <w:t>HR</w:t>
            </w:r>
            <w:r w:rsidRPr="00E93D93">
              <w:rPr>
                <w:rFonts w:hint="eastAsia"/>
                <w:sz w:val="22"/>
                <w:szCs w:val="22"/>
                <w14:ligatures w14:val="standardContextual"/>
              </w:rPr>
              <w:t>阳性</w:t>
            </w:r>
            <w:r w:rsidRPr="00E93D93">
              <w:rPr>
                <w:rFonts w:hint="eastAsia"/>
                <w:sz w:val="22"/>
                <w:szCs w:val="22"/>
                <w14:ligatures w14:val="standardContextual"/>
              </w:rPr>
              <w:t>HER2</w:t>
            </w:r>
            <w:r w:rsidRPr="00E93D93">
              <w:rPr>
                <w:rFonts w:hint="eastAsia"/>
                <w:sz w:val="22"/>
                <w:szCs w:val="22"/>
                <w14:ligatures w14:val="standardContextual"/>
              </w:rPr>
              <w:t>阴性转移性乳腺癌中，于</w:t>
            </w:r>
            <w:r w:rsidRPr="00E93D93">
              <w:rPr>
                <w:rFonts w:hint="eastAsia"/>
                <w:sz w:val="22"/>
                <w:szCs w:val="22"/>
                <w14:ligatures w14:val="standardContextual"/>
              </w:rPr>
              <w:t>3</w:t>
            </w:r>
            <w:r w:rsidRPr="00E93D93">
              <w:rPr>
                <w:rFonts w:hint="eastAsia"/>
                <w:sz w:val="22"/>
                <w:szCs w:val="22"/>
                <w14:ligatures w14:val="standardContextual"/>
              </w:rPr>
              <w:t>期剂量下，</w:t>
            </w:r>
            <w:r w:rsidRPr="00E93D93">
              <w:rPr>
                <w:rFonts w:hint="eastAsia"/>
                <w:sz w:val="22"/>
                <w:szCs w:val="22"/>
                <w14:ligatures w14:val="standardContextual"/>
              </w:rPr>
              <w:t>BGB-43395</w:t>
            </w:r>
            <w:r w:rsidRPr="00E93D93">
              <w:rPr>
                <w:rFonts w:hint="eastAsia"/>
                <w:sz w:val="22"/>
                <w:szCs w:val="22"/>
                <w14:ligatures w14:val="standardContextual"/>
              </w:rPr>
              <w:t>与来曲唑联合治疗的客观缓解率约为</w:t>
            </w:r>
            <w:r w:rsidRPr="00E93D93">
              <w:rPr>
                <w:rFonts w:hint="eastAsia"/>
                <w:sz w:val="22"/>
                <w:szCs w:val="22"/>
                <w14:ligatures w14:val="standardContextual"/>
              </w:rPr>
              <w:t>70%</w:t>
            </w:r>
            <w:r w:rsidRPr="00E93D93">
              <w:rPr>
                <w:rFonts w:hint="eastAsia"/>
                <w:sz w:val="22"/>
                <w:szCs w:val="22"/>
                <w14:ligatures w14:val="standardContextual"/>
              </w:rPr>
              <w:t>。安全性仍然是我们关键的差异化优势。在</w:t>
            </w:r>
            <w:r w:rsidRPr="00E93D93">
              <w:rPr>
                <w:rFonts w:hint="eastAsia"/>
                <w:sz w:val="22"/>
                <w:szCs w:val="22"/>
                <w14:ligatures w14:val="standardContextual"/>
              </w:rPr>
              <w:t>400 mg</w:t>
            </w:r>
            <w:r w:rsidRPr="00E93D93">
              <w:rPr>
                <w:rFonts w:hint="eastAsia"/>
                <w:sz w:val="22"/>
                <w:szCs w:val="22"/>
                <w14:ligatures w14:val="standardContextual"/>
              </w:rPr>
              <w:t>剂量下，中性粒细胞减少症的总体发生率仅为</w:t>
            </w:r>
            <w:r w:rsidRPr="00E93D93">
              <w:rPr>
                <w:rFonts w:hint="eastAsia"/>
                <w:sz w:val="22"/>
                <w:szCs w:val="22"/>
                <w14:ligatures w14:val="standardContextual"/>
              </w:rPr>
              <w:t>21%</w:t>
            </w:r>
            <w:r w:rsidRPr="00E93D93">
              <w:rPr>
                <w:rFonts w:hint="eastAsia"/>
                <w:sz w:val="22"/>
                <w:szCs w:val="22"/>
                <w14:ligatures w14:val="standardContextual"/>
              </w:rPr>
              <w:t>，且未观察到≥</w:t>
            </w:r>
            <w:r w:rsidRPr="00E93D93">
              <w:rPr>
                <w:rFonts w:hint="eastAsia"/>
                <w:sz w:val="22"/>
                <w:szCs w:val="22"/>
                <w14:ligatures w14:val="standardContextual"/>
              </w:rPr>
              <w:t>3</w:t>
            </w:r>
            <w:r w:rsidRPr="00E93D93">
              <w:rPr>
                <w:rFonts w:hint="eastAsia"/>
                <w:sz w:val="22"/>
                <w:szCs w:val="22"/>
                <w14:ligatures w14:val="standardContextual"/>
              </w:rPr>
              <w:t>级事件。</w:t>
            </w:r>
            <w:r w:rsidRPr="00E93D93">
              <w:rPr>
                <w:rFonts w:hint="eastAsia"/>
                <w:sz w:val="22"/>
                <w:szCs w:val="22"/>
                <w14:ligatures w14:val="standardContextual"/>
              </w:rPr>
              <w:t>Atirmociclib</w:t>
            </w:r>
            <w:r w:rsidRPr="00E93D93">
              <w:rPr>
                <w:rFonts w:hint="eastAsia"/>
                <w:sz w:val="22"/>
                <w:szCs w:val="22"/>
                <w14:ligatures w14:val="standardContextual"/>
              </w:rPr>
              <w:t>以及目前已获批的</w:t>
            </w:r>
            <w:r w:rsidRPr="00E93D93">
              <w:rPr>
                <w:rFonts w:hint="eastAsia"/>
                <w:sz w:val="22"/>
                <w:szCs w:val="22"/>
                <w14:ligatures w14:val="standardContextual"/>
              </w:rPr>
              <w:t>CDK4/6</w:t>
            </w:r>
            <w:r w:rsidRPr="00E93D93">
              <w:rPr>
                <w:rFonts w:hint="eastAsia"/>
                <w:sz w:val="22"/>
                <w:szCs w:val="22"/>
                <w14:ligatures w14:val="standardContextual"/>
              </w:rPr>
              <w:t>抑制剂仍面临严重中性粒细胞减少症这一具有临床意义的挑战。综合来看，这些结果为我们正在进行的</w:t>
            </w:r>
            <w:r w:rsidRPr="00E93D93">
              <w:rPr>
                <w:rFonts w:hint="eastAsia"/>
                <w:sz w:val="22"/>
                <w:szCs w:val="22"/>
                <w14:ligatures w14:val="standardContextual"/>
              </w:rPr>
              <w:t>3</w:t>
            </w:r>
            <w:r w:rsidRPr="00E93D93">
              <w:rPr>
                <w:rFonts w:hint="eastAsia"/>
                <w:sz w:val="22"/>
                <w:szCs w:val="22"/>
                <w14:ligatures w14:val="standardContextual"/>
              </w:rPr>
              <w:t>期临床项目提供了强有力的支持，该项目目前入组迅速。这些结果还让我们有机会在内部研发矩阵里探索创新性联合用药，包括与我们的</w:t>
            </w:r>
            <w:r w:rsidRPr="00E93D93">
              <w:rPr>
                <w:rFonts w:hint="eastAsia"/>
                <w:sz w:val="22"/>
                <w:szCs w:val="22"/>
                <w14:ligatures w14:val="standardContextual"/>
              </w:rPr>
              <w:t>CDK2</w:t>
            </w:r>
            <w:r w:rsidRPr="00E93D93">
              <w:rPr>
                <w:rFonts w:hint="eastAsia"/>
                <w:sz w:val="22"/>
                <w:szCs w:val="22"/>
                <w14:ligatures w14:val="standardContextual"/>
              </w:rPr>
              <w:t>降解剂、</w:t>
            </w:r>
            <w:r w:rsidRPr="00E93D93">
              <w:rPr>
                <w:rFonts w:hint="eastAsia"/>
                <w:sz w:val="22"/>
                <w:szCs w:val="22"/>
                <w14:ligatures w14:val="standardContextual"/>
              </w:rPr>
              <w:t>BCL2</w:t>
            </w:r>
            <w:r w:rsidRPr="00E93D93">
              <w:rPr>
                <w:rFonts w:hint="eastAsia"/>
                <w:sz w:val="22"/>
                <w:szCs w:val="22"/>
                <w14:ligatures w14:val="standardContextual"/>
              </w:rPr>
              <w:t>抑制剂以及</w:t>
            </w:r>
            <w:r w:rsidRPr="00E93D93">
              <w:rPr>
                <w:rFonts w:hint="eastAsia"/>
                <w:sz w:val="22"/>
                <w:szCs w:val="22"/>
                <w14:ligatures w14:val="standardContextual"/>
              </w:rPr>
              <w:t>KAT6</w:t>
            </w:r>
            <w:r w:rsidRPr="00E93D93">
              <w:rPr>
                <w:rFonts w:hint="eastAsia"/>
                <w:sz w:val="22"/>
                <w:szCs w:val="22"/>
                <w14:ligatures w14:val="standardContextual"/>
              </w:rPr>
              <w:t>抑制剂的联合用药。</w:t>
            </w:r>
          </w:p>
          <w:p w14:paraId="07890B09" w14:textId="77777777" w:rsidR="009A3FF6" w:rsidRPr="00E93D93" w:rsidRDefault="009A3FF6" w:rsidP="008429E6">
            <w:pPr>
              <w:overflowPunct w:val="0"/>
              <w:autoSpaceDE w:val="0"/>
              <w:autoSpaceDN w:val="0"/>
              <w:spacing w:line="360" w:lineRule="auto"/>
              <w:ind w:firstLineChars="200" w:firstLine="440"/>
              <w:rPr>
                <w:sz w:val="22"/>
                <w:szCs w:val="22"/>
                <w14:ligatures w14:val="standardContextual"/>
              </w:rPr>
            </w:pPr>
            <w:r w:rsidRPr="00E93D93">
              <w:rPr>
                <w:rFonts w:hint="eastAsia"/>
                <w:sz w:val="22"/>
                <w:szCs w:val="22"/>
                <w14:ligatures w14:val="standardContextual"/>
              </w:rPr>
              <w:t>接下来介绍</w:t>
            </w:r>
            <w:r w:rsidRPr="00E93D93">
              <w:rPr>
                <w:rFonts w:hint="eastAsia"/>
                <w:sz w:val="22"/>
                <w:szCs w:val="22"/>
                <w14:ligatures w14:val="standardContextual"/>
              </w:rPr>
              <w:t xml:space="preserve">GPC3 </w:t>
            </w:r>
            <w:r w:rsidRPr="00E93D93">
              <w:rPr>
                <w:rFonts w:hint="eastAsia"/>
                <w:sz w:val="22"/>
                <w:szCs w:val="22"/>
                <w14:ligatures w14:val="standardContextual"/>
              </w:rPr>
              <w:t>×</w:t>
            </w:r>
            <w:r w:rsidRPr="00E93D93">
              <w:rPr>
                <w:rFonts w:hint="eastAsia"/>
                <w:sz w:val="22"/>
                <w:szCs w:val="22"/>
                <w14:ligatures w14:val="standardContextual"/>
              </w:rPr>
              <w:t xml:space="preserve"> 4-1BB</w:t>
            </w:r>
            <w:r w:rsidRPr="00E93D93">
              <w:rPr>
                <w:rFonts w:hint="eastAsia"/>
                <w:sz w:val="22"/>
                <w:szCs w:val="22"/>
                <w14:ligatures w14:val="standardContextual"/>
              </w:rPr>
              <w:t>双抗项目最新进展。</w:t>
            </w:r>
            <w:r w:rsidRPr="00E93D93">
              <w:rPr>
                <w:rFonts w:hint="eastAsia"/>
                <w:sz w:val="22"/>
                <w:szCs w:val="22"/>
                <w14:ligatures w14:val="standardContextual"/>
              </w:rPr>
              <w:t>BGB-B2033</w:t>
            </w:r>
            <w:r w:rsidRPr="00E93D93">
              <w:rPr>
                <w:rFonts w:hint="eastAsia"/>
                <w:sz w:val="22"/>
                <w:szCs w:val="22"/>
                <w14:ligatures w14:val="standardContextual"/>
              </w:rPr>
              <w:t>在</w:t>
            </w:r>
            <w:r w:rsidRPr="00E93D93">
              <w:rPr>
                <w:rFonts w:hint="eastAsia"/>
                <w:sz w:val="22"/>
                <w:szCs w:val="22"/>
                <w14:ligatures w14:val="standardContextual"/>
              </w:rPr>
              <w:t>HCC</w:t>
            </w:r>
            <w:r w:rsidRPr="00E93D93">
              <w:rPr>
                <w:rFonts w:hint="eastAsia"/>
                <w:sz w:val="22"/>
                <w:szCs w:val="22"/>
                <w14:ligatures w14:val="standardContextual"/>
              </w:rPr>
              <w:t>领域不断展现出具有突破性疗法潜力的特征，体现了显著的单药活性与良好的安全性特征。我们在</w:t>
            </w:r>
            <w:r w:rsidRPr="00E93D93">
              <w:rPr>
                <w:rFonts w:hint="eastAsia"/>
                <w:sz w:val="22"/>
                <w:szCs w:val="22"/>
                <w14:ligatures w14:val="standardContextual"/>
              </w:rPr>
              <w:t>ASCO</w:t>
            </w:r>
            <w:r w:rsidRPr="00E93D93">
              <w:rPr>
                <w:rFonts w:hint="eastAsia"/>
                <w:sz w:val="22"/>
                <w:szCs w:val="22"/>
                <w14:ligatures w14:val="standardContextual"/>
              </w:rPr>
              <w:t>会议上报告了其治疗二线及以上</w:t>
            </w:r>
            <w:r w:rsidRPr="00E93D93">
              <w:rPr>
                <w:rFonts w:hint="eastAsia"/>
                <w:sz w:val="22"/>
                <w:szCs w:val="22"/>
                <w14:ligatures w14:val="standardContextual"/>
              </w:rPr>
              <w:t>HCC</w:t>
            </w:r>
            <w:r w:rsidRPr="00E93D93">
              <w:rPr>
                <w:rFonts w:hint="eastAsia"/>
                <w:sz w:val="22"/>
                <w:szCs w:val="22"/>
                <w14:ligatures w14:val="standardContextual"/>
              </w:rPr>
              <w:t>的客观缓解率超过</w:t>
            </w:r>
            <w:r w:rsidRPr="00E93D93">
              <w:rPr>
                <w:rFonts w:hint="eastAsia"/>
                <w:sz w:val="22"/>
                <w:szCs w:val="22"/>
                <w14:ligatures w14:val="standardContextual"/>
              </w:rPr>
              <w:t>30%</w:t>
            </w:r>
            <w:r w:rsidRPr="00E93D93">
              <w:rPr>
                <w:rFonts w:hint="eastAsia"/>
                <w:sz w:val="22"/>
                <w:szCs w:val="22"/>
                <w14:ligatures w14:val="standardContextual"/>
              </w:rPr>
              <w:t>，与当前一线联合治疗方案相当，且显著高于现有可及</w:t>
            </w:r>
            <w:r w:rsidRPr="00E93D93">
              <w:rPr>
                <w:rFonts w:hint="eastAsia"/>
                <w:sz w:val="22"/>
                <w:szCs w:val="22"/>
                <w14:ligatures w14:val="standardContextual"/>
              </w:rPr>
              <w:t>TKI</w:t>
            </w:r>
            <w:r w:rsidRPr="00E93D93">
              <w:rPr>
                <w:rFonts w:hint="eastAsia"/>
                <w:sz w:val="22"/>
                <w:szCs w:val="22"/>
                <w14:ligatures w14:val="standardContextual"/>
              </w:rPr>
              <w:t>药物在免疫治疗经治人群中的数据。得益于创新的</w:t>
            </w:r>
            <w:r w:rsidRPr="00E93D93">
              <w:rPr>
                <w:rFonts w:hint="eastAsia"/>
                <w:sz w:val="22"/>
                <w:szCs w:val="22"/>
                <w14:ligatures w14:val="standardContextual"/>
              </w:rPr>
              <w:t>4-1BB</w:t>
            </w:r>
            <w:r w:rsidRPr="00E93D93">
              <w:rPr>
                <w:rFonts w:hint="eastAsia"/>
                <w:sz w:val="22"/>
                <w:szCs w:val="22"/>
                <w14:ligatures w14:val="standardContextual"/>
              </w:rPr>
              <w:t>靶向策略，安全性仍然是我们关键的差异化优势。这一特征支持早期治疗线的开发，</w:t>
            </w:r>
            <w:r w:rsidRPr="00E93D93">
              <w:rPr>
                <w:rFonts w:hint="eastAsia"/>
                <w:sz w:val="22"/>
                <w:szCs w:val="22"/>
                <w14:ligatures w14:val="standardContextual"/>
              </w:rPr>
              <w:t>BGB-B2033</w:t>
            </w:r>
            <w:r w:rsidRPr="00E93D93">
              <w:rPr>
                <w:rFonts w:hint="eastAsia"/>
                <w:sz w:val="22"/>
                <w:szCs w:val="22"/>
                <w14:ligatures w14:val="standardContextual"/>
              </w:rPr>
              <w:t>与百泽安</w:t>
            </w:r>
            <w:r w:rsidRPr="00095040">
              <w:rPr>
                <w:rFonts w:hint="eastAsia"/>
                <w:sz w:val="22"/>
                <w:szCs w:val="22"/>
                <w:vertAlign w:val="superscript"/>
                <w14:ligatures w14:val="standardContextual"/>
              </w:rPr>
              <w:t>®</w:t>
            </w:r>
            <w:r w:rsidRPr="00E93D93">
              <w:rPr>
                <w:rFonts w:hint="eastAsia"/>
                <w:sz w:val="22"/>
                <w:szCs w:val="22"/>
                <w14:ligatures w14:val="standardContextual"/>
              </w:rPr>
              <w:t>和贝伐珠单抗的联合治疗研究已入组约</w:t>
            </w:r>
            <w:r w:rsidRPr="00E93D93">
              <w:rPr>
                <w:rFonts w:hint="eastAsia"/>
                <w:sz w:val="22"/>
                <w:szCs w:val="22"/>
                <w14:ligatures w14:val="standardContextual"/>
              </w:rPr>
              <w:t>70</w:t>
            </w:r>
            <w:r w:rsidRPr="00E93D93">
              <w:rPr>
                <w:rFonts w:hint="eastAsia"/>
                <w:sz w:val="22"/>
                <w:szCs w:val="22"/>
                <w14:ligatures w14:val="standardContextual"/>
              </w:rPr>
              <w:t>例患者。我们的研发势头依然强劲。仅用</w:t>
            </w:r>
            <w:r w:rsidRPr="00E93D93">
              <w:rPr>
                <w:rFonts w:hint="eastAsia"/>
                <w:sz w:val="22"/>
                <w:szCs w:val="22"/>
                <w14:ligatures w14:val="standardContextual"/>
              </w:rPr>
              <w:t>2.5</w:t>
            </w:r>
            <w:r w:rsidRPr="00E93D93">
              <w:rPr>
                <w:rFonts w:hint="eastAsia"/>
                <w:sz w:val="22"/>
                <w:szCs w:val="22"/>
                <w14:ligatures w14:val="standardContextual"/>
              </w:rPr>
              <w:t>个月完成了中国潜在注册扩展队列的入组，该队列纳入免疫治疗及</w:t>
            </w:r>
            <w:r w:rsidRPr="00E93D93">
              <w:rPr>
                <w:rFonts w:hint="eastAsia"/>
                <w:sz w:val="22"/>
                <w:szCs w:val="22"/>
                <w14:ligatures w14:val="standardContextual"/>
              </w:rPr>
              <w:t>TKI</w:t>
            </w:r>
            <w:r w:rsidRPr="00E93D93">
              <w:rPr>
                <w:rFonts w:hint="eastAsia"/>
                <w:sz w:val="22"/>
                <w:szCs w:val="22"/>
                <w14:ligatures w14:val="standardContextual"/>
              </w:rPr>
              <w:t>治疗均经治后的</w:t>
            </w:r>
            <w:r w:rsidRPr="00E93D93">
              <w:rPr>
                <w:rFonts w:hint="eastAsia"/>
                <w:sz w:val="22"/>
                <w:szCs w:val="22"/>
                <w14:ligatures w14:val="standardContextual"/>
              </w:rPr>
              <w:t>HCC</w:t>
            </w:r>
            <w:r w:rsidRPr="00E93D93">
              <w:rPr>
                <w:rFonts w:hint="eastAsia"/>
                <w:sz w:val="22"/>
                <w:szCs w:val="22"/>
                <w14:ligatures w14:val="standardContextual"/>
              </w:rPr>
              <w:t>患者。同时，基于迄今为止观察到的显著疗效和安全性特征，我们正在与全球监管机构密切合作，探索二线及以上</w:t>
            </w:r>
            <w:r w:rsidRPr="00E93D93">
              <w:rPr>
                <w:rFonts w:hint="eastAsia"/>
                <w:sz w:val="22"/>
                <w:szCs w:val="22"/>
                <w14:ligatures w14:val="standardContextual"/>
              </w:rPr>
              <w:t>HCC</w:t>
            </w:r>
            <w:r w:rsidRPr="00E93D93">
              <w:rPr>
                <w:rFonts w:hint="eastAsia"/>
                <w:sz w:val="22"/>
                <w:szCs w:val="22"/>
                <w14:ligatures w14:val="standardContextual"/>
              </w:rPr>
              <w:t>的加速批准路径。</w:t>
            </w:r>
          </w:p>
          <w:p w14:paraId="2F79065A" w14:textId="77777777" w:rsidR="009A3FF6" w:rsidRPr="00E93D93" w:rsidRDefault="009A3FF6" w:rsidP="008429E6">
            <w:pPr>
              <w:overflowPunct w:val="0"/>
              <w:autoSpaceDE w:val="0"/>
              <w:autoSpaceDN w:val="0"/>
              <w:spacing w:line="360" w:lineRule="auto"/>
              <w:ind w:firstLineChars="200" w:firstLine="440"/>
              <w:rPr>
                <w:sz w:val="22"/>
                <w:szCs w:val="22"/>
                <w14:ligatures w14:val="standardContextual"/>
              </w:rPr>
            </w:pPr>
            <w:r w:rsidRPr="00E93D93">
              <w:rPr>
                <w:rFonts w:hint="eastAsia"/>
                <w:sz w:val="22"/>
                <w:szCs w:val="22"/>
                <w14:ligatures w14:val="standardContextual"/>
              </w:rPr>
              <w:t>接下来介绍</w:t>
            </w:r>
            <w:r w:rsidRPr="00E93D93">
              <w:rPr>
                <w:rFonts w:hint="eastAsia"/>
                <w:sz w:val="22"/>
                <w:szCs w:val="22"/>
                <w14:ligatures w14:val="standardContextual"/>
              </w:rPr>
              <w:t>B7-H4 ADC</w:t>
            </w:r>
            <w:r w:rsidRPr="00E93D93">
              <w:rPr>
                <w:rFonts w:hint="eastAsia"/>
                <w:sz w:val="22"/>
                <w:szCs w:val="22"/>
                <w14:ligatures w14:val="standardContextual"/>
              </w:rPr>
              <w:t>——</w:t>
            </w:r>
            <w:r w:rsidRPr="00E93D93">
              <w:rPr>
                <w:rFonts w:hint="eastAsia"/>
                <w:sz w:val="22"/>
                <w:szCs w:val="22"/>
                <w14:ligatures w14:val="standardContextual"/>
              </w:rPr>
              <w:t>BG-C9074</w:t>
            </w:r>
            <w:r w:rsidRPr="00E93D93">
              <w:rPr>
                <w:rFonts w:hint="eastAsia"/>
                <w:sz w:val="22"/>
                <w:szCs w:val="22"/>
                <w14:ligatures w14:val="standardContextual"/>
              </w:rPr>
              <w:t>项目的最新进展。我们在</w:t>
            </w:r>
            <w:r w:rsidRPr="00E93D93">
              <w:rPr>
                <w:rFonts w:hint="eastAsia"/>
                <w:sz w:val="22"/>
                <w:szCs w:val="22"/>
                <w14:ligatures w14:val="standardContextual"/>
              </w:rPr>
              <w:lastRenderedPageBreak/>
              <w:t>ASCO</w:t>
            </w:r>
            <w:r w:rsidRPr="00E93D93">
              <w:rPr>
                <w:rFonts w:hint="eastAsia"/>
                <w:sz w:val="22"/>
                <w:szCs w:val="22"/>
                <w14:ligatures w14:val="standardContextual"/>
              </w:rPr>
              <w:t>会议上展示的数据支持该项目有望成为卵巢癌领域的领先项目。关键的差异化优势是安全性。在</w:t>
            </w:r>
            <w:r w:rsidRPr="00E93D93">
              <w:rPr>
                <w:rFonts w:hint="eastAsia"/>
                <w:sz w:val="22"/>
                <w:szCs w:val="22"/>
                <w14:ligatures w14:val="standardContextual"/>
              </w:rPr>
              <w:t>6 mg/kg</w:t>
            </w:r>
            <w:r w:rsidRPr="00E93D93">
              <w:rPr>
                <w:rFonts w:hint="eastAsia"/>
                <w:sz w:val="22"/>
                <w:szCs w:val="22"/>
                <w14:ligatures w14:val="standardContextual"/>
              </w:rPr>
              <w:t>剂量下，治疗相关≥</w:t>
            </w:r>
            <w:r w:rsidRPr="00E93D93">
              <w:rPr>
                <w:rFonts w:hint="eastAsia"/>
                <w:sz w:val="22"/>
                <w:szCs w:val="22"/>
                <w14:ligatures w14:val="standardContextual"/>
              </w:rPr>
              <w:t>3</w:t>
            </w:r>
            <w:r w:rsidRPr="00E93D93">
              <w:rPr>
                <w:rFonts w:hint="eastAsia"/>
                <w:sz w:val="22"/>
                <w:szCs w:val="22"/>
                <w14:ligatures w14:val="standardContextual"/>
              </w:rPr>
              <w:t>级不良事件的发生率约为</w:t>
            </w:r>
            <w:r w:rsidRPr="00E93D93">
              <w:rPr>
                <w:rFonts w:hint="eastAsia"/>
                <w:sz w:val="22"/>
                <w:szCs w:val="22"/>
                <w14:ligatures w14:val="standardContextual"/>
              </w:rPr>
              <w:t>26%</w:t>
            </w:r>
            <w:r w:rsidRPr="00E93D93">
              <w:rPr>
                <w:rFonts w:hint="eastAsia"/>
                <w:sz w:val="22"/>
                <w:szCs w:val="22"/>
                <w14:ligatures w14:val="standardContextual"/>
              </w:rPr>
              <w:t>，发生率不到同类在研</w:t>
            </w:r>
            <w:r w:rsidRPr="00E93D93">
              <w:rPr>
                <w:rFonts w:hint="eastAsia"/>
                <w:sz w:val="22"/>
                <w:szCs w:val="22"/>
                <w14:ligatures w14:val="standardContextual"/>
              </w:rPr>
              <w:t>ADC</w:t>
            </w:r>
            <w:r w:rsidRPr="00E93D93">
              <w:rPr>
                <w:rFonts w:hint="eastAsia"/>
                <w:sz w:val="22"/>
                <w:szCs w:val="22"/>
                <w14:ligatures w14:val="standardContextual"/>
              </w:rPr>
              <w:t>在一线卵巢癌未经生物标志物筛选人群中的一半。该特征高度契合维持治疗场景的需求，因为长期耐受性是该阶段的关键考量。我们同样报告了令人鼓舞的疗效数据，并且抗肿瘤活性不受</w:t>
            </w:r>
            <w:r w:rsidRPr="00E93D93">
              <w:rPr>
                <w:rFonts w:hint="eastAsia"/>
                <w:sz w:val="22"/>
                <w:szCs w:val="22"/>
                <w14:ligatures w14:val="standardContextual"/>
              </w:rPr>
              <w:t>B7-H4</w:t>
            </w:r>
            <w:r w:rsidRPr="00E93D93">
              <w:rPr>
                <w:rFonts w:hint="eastAsia"/>
                <w:sz w:val="22"/>
                <w:szCs w:val="22"/>
                <w14:ligatures w14:val="standardContextual"/>
              </w:rPr>
              <w:t>表达水平影响，有力支持全人群开发策略。基于上述数据，我们计划于</w:t>
            </w:r>
            <w:r w:rsidRPr="00E93D93">
              <w:rPr>
                <w:rFonts w:hint="eastAsia"/>
                <w:sz w:val="22"/>
                <w:szCs w:val="22"/>
                <w14:ligatures w14:val="standardContextual"/>
              </w:rPr>
              <w:t>2026</w:t>
            </w:r>
            <w:r w:rsidRPr="00E93D93">
              <w:rPr>
                <w:rFonts w:hint="eastAsia"/>
                <w:sz w:val="22"/>
                <w:szCs w:val="22"/>
                <w14:ligatures w14:val="standardContextual"/>
              </w:rPr>
              <w:t>年底前启动一线卵巢癌维持治疗的</w:t>
            </w:r>
            <w:r w:rsidRPr="00E93D93">
              <w:rPr>
                <w:rFonts w:hint="eastAsia"/>
                <w:sz w:val="22"/>
                <w:szCs w:val="22"/>
                <w14:ligatures w14:val="standardContextual"/>
              </w:rPr>
              <w:t>3</w:t>
            </w:r>
            <w:r w:rsidRPr="00E93D93">
              <w:rPr>
                <w:rFonts w:hint="eastAsia"/>
                <w:sz w:val="22"/>
                <w:szCs w:val="22"/>
                <w14:ligatures w14:val="standardContextual"/>
              </w:rPr>
              <w:t>期研究，同时继续拓展在子宫内膜癌和三阴性乳腺癌中的开发机会。综上，</w:t>
            </w:r>
            <w:r w:rsidRPr="00E93D93">
              <w:rPr>
                <w:rFonts w:hint="eastAsia"/>
                <w:sz w:val="22"/>
                <w:szCs w:val="22"/>
                <w14:ligatures w14:val="standardContextual"/>
              </w:rPr>
              <w:t>BG-C9074</w:t>
            </w:r>
            <w:r w:rsidRPr="00E93D93">
              <w:rPr>
                <w:rFonts w:hint="eastAsia"/>
                <w:sz w:val="22"/>
                <w:szCs w:val="22"/>
                <w14:ligatures w14:val="standardContextual"/>
              </w:rPr>
              <w:t>兼具充满竞争力的疗效与潜在的同类最佳耐受性优势，确立了其作为领先</w:t>
            </w:r>
            <w:r w:rsidRPr="00E93D93">
              <w:rPr>
                <w:rFonts w:hint="eastAsia"/>
                <w:sz w:val="22"/>
                <w:szCs w:val="22"/>
                <w14:ligatures w14:val="standardContextual"/>
              </w:rPr>
              <w:t>B7-H4 ADC</w:t>
            </w:r>
            <w:r w:rsidRPr="00E93D93">
              <w:rPr>
                <w:rFonts w:hint="eastAsia"/>
                <w:sz w:val="22"/>
                <w:szCs w:val="22"/>
                <w14:ligatures w14:val="standardContextual"/>
              </w:rPr>
              <w:t>的地位。</w:t>
            </w:r>
          </w:p>
          <w:p w14:paraId="50F5795F" w14:textId="77777777" w:rsidR="009A3FF6" w:rsidRPr="00E93D93" w:rsidRDefault="009A3FF6" w:rsidP="008429E6">
            <w:pPr>
              <w:overflowPunct w:val="0"/>
              <w:autoSpaceDE w:val="0"/>
              <w:autoSpaceDN w:val="0"/>
              <w:spacing w:line="360" w:lineRule="auto"/>
              <w:ind w:firstLineChars="200" w:firstLine="440"/>
              <w:rPr>
                <w:sz w:val="22"/>
                <w:szCs w:val="22"/>
                <w14:ligatures w14:val="standardContextual"/>
              </w:rPr>
            </w:pPr>
            <w:r w:rsidRPr="00E93D93">
              <w:rPr>
                <w:rFonts w:hint="eastAsia"/>
                <w:sz w:val="22"/>
                <w:szCs w:val="22"/>
                <w14:ligatures w14:val="standardContextual"/>
              </w:rPr>
              <w:t>我们高度期待即将召开的</w:t>
            </w:r>
            <w:r w:rsidRPr="00E93D93">
              <w:rPr>
                <w:rFonts w:hint="eastAsia"/>
                <w:sz w:val="22"/>
                <w:szCs w:val="22"/>
                <w14:ligatures w14:val="standardContextual"/>
              </w:rPr>
              <w:t>ESMO</w:t>
            </w:r>
            <w:r w:rsidRPr="00E93D93">
              <w:rPr>
                <w:rFonts w:hint="eastAsia"/>
                <w:sz w:val="22"/>
                <w:szCs w:val="22"/>
                <w14:ligatures w14:val="standardContextual"/>
              </w:rPr>
              <w:t>大会。本次会议共有</w:t>
            </w:r>
            <w:r w:rsidRPr="00E93D93">
              <w:rPr>
                <w:rFonts w:hint="eastAsia"/>
                <w:sz w:val="22"/>
                <w:szCs w:val="22"/>
                <w14:ligatures w14:val="standardContextual"/>
              </w:rPr>
              <w:t>12</w:t>
            </w:r>
            <w:r w:rsidRPr="00E93D93">
              <w:rPr>
                <w:rFonts w:hint="eastAsia"/>
                <w:sz w:val="22"/>
                <w:szCs w:val="22"/>
                <w14:ligatures w14:val="standardContextual"/>
              </w:rPr>
              <w:t>篇摘要入选，包括</w:t>
            </w:r>
            <w:r w:rsidRPr="00E93D93">
              <w:rPr>
                <w:rFonts w:hint="eastAsia"/>
                <w:sz w:val="22"/>
                <w:szCs w:val="22"/>
                <w14:ligatures w14:val="standardContextual"/>
              </w:rPr>
              <w:t>1</w:t>
            </w:r>
            <w:r w:rsidRPr="00E93D93">
              <w:rPr>
                <w:rFonts w:hint="eastAsia"/>
                <w:sz w:val="22"/>
                <w:szCs w:val="22"/>
                <w14:ligatures w14:val="standardContextual"/>
              </w:rPr>
              <w:t>项快速口头报告以及</w:t>
            </w:r>
            <w:r w:rsidRPr="00E93D93">
              <w:rPr>
                <w:rFonts w:hint="eastAsia"/>
                <w:sz w:val="22"/>
                <w:szCs w:val="22"/>
                <w14:ligatures w14:val="standardContextual"/>
              </w:rPr>
              <w:t>9</w:t>
            </w:r>
            <w:r w:rsidRPr="00E93D93">
              <w:rPr>
                <w:rFonts w:hint="eastAsia"/>
                <w:sz w:val="22"/>
                <w:szCs w:val="22"/>
                <w14:ligatures w14:val="standardContextual"/>
              </w:rPr>
              <w:t>项海报展示。本次汇报的核心亮点如下：</w:t>
            </w:r>
            <w:r w:rsidRPr="00E93D93">
              <w:rPr>
                <w:rFonts w:hint="eastAsia"/>
                <w:sz w:val="22"/>
                <w:szCs w:val="22"/>
                <w14:ligatures w14:val="standardContextual"/>
              </w:rPr>
              <w:t xml:space="preserve">GPC3 </w:t>
            </w:r>
            <w:r w:rsidRPr="00E93D93">
              <w:rPr>
                <w:rFonts w:hint="eastAsia"/>
                <w:sz w:val="22"/>
                <w:szCs w:val="22"/>
                <w14:ligatures w14:val="standardContextual"/>
              </w:rPr>
              <w:t>×</w:t>
            </w:r>
            <w:r w:rsidRPr="00E93D93">
              <w:rPr>
                <w:rFonts w:hint="eastAsia"/>
                <w:sz w:val="22"/>
                <w:szCs w:val="22"/>
                <w14:ligatures w14:val="standardContextual"/>
              </w:rPr>
              <w:t xml:space="preserve"> 4-1BB</w:t>
            </w:r>
            <w:r w:rsidRPr="00E93D93">
              <w:rPr>
                <w:rFonts w:hint="eastAsia"/>
                <w:sz w:val="22"/>
                <w:szCs w:val="22"/>
                <w14:ligatures w14:val="standardContextual"/>
              </w:rPr>
              <w:t>双抗的口头报告将公布</w:t>
            </w:r>
            <w:r w:rsidRPr="00E93D93">
              <w:rPr>
                <w:rFonts w:hint="eastAsia"/>
                <w:sz w:val="22"/>
                <w:szCs w:val="22"/>
                <w14:ligatures w14:val="standardContextual"/>
              </w:rPr>
              <w:t>1</w:t>
            </w:r>
            <w:r w:rsidRPr="00E93D93">
              <w:rPr>
                <w:rFonts w:hint="eastAsia"/>
                <w:sz w:val="22"/>
                <w:szCs w:val="22"/>
                <w14:ligatures w14:val="standardContextual"/>
              </w:rPr>
              <w:t>期剂量优化数据；首次披露</w:t>
            </w:r>
            <w:r w:rsidRPr="00E93D93">
              <w:rPr>
                <w:rFonts w:hint="eastAsia"/>
                <w:sz w:val="22"/>
                <w:szCs w:val="22"/>
                <w14:ligatures w14:val="standardContextual"/>
              </w:rPr>
              <w:t>PRMT5</w:t>
            </w:r>
            <w:r w:rsidRPr="00E93D93">
              <w:rPr>
                <w:rFonts w:hint="eastAsia"/>
                <w:sz w:val="22"/>
                <w:szCs w:val="22"/>
                <w14:ligatures w14:val="standardContextual"/>
              </w:rPr>
              <w:t>抑制剂的</w:t>
            </w:r>
            <w:r w:rsidRPr="00E93D93">
              <w:rPr>
                <w:rFonts w:hint="eastAsia"/>
                <w:sz w:val="22"/>
                <w:szCs w:val="22"/>
                <w14:ligatures w14:val="standardContextual"/>
              </w:rPr>
              <w:t>1</w:t>
            </w:r>
            <w:r w:rsidRPr="00E93D93">
              <w:rPr>
                <w:rFonts w:hint="eastAsia"/>
                <w:sz w:val="22"/>
                <w:szCs w:val="22"/>
                <w14:ligatures w14:val="standardContextual"/>
              </w:rPr>
              <w:t>期概念验证数据，重点聚焦非小细胞肺癌，并呈现出具有临床意义的初步脑部活性证据；以及</w:t>
            </w:r>
            <w:r w:rsidRPr="00E93D93">
              <w:rPr>
                <w:rFonts w:hint="eastAsia"/>
                <w:sz w:val="22"/>
                <w:szCs w:val="22"/>
                <w14:ligatures w14:val="standardContextual"/>
              </w:rPr>
              <w:t>CEA ADC</w:t>
            </w:r>
            <w:r w:rsidRPr="00E93D93">
              <w:rPr>
                <w:rFonts w:hint="eastAsia"/>
                <w:sz w:val="22"/>
                <w:szCs w:val="22"/>
                <w14:ligatures w14:val="standardContextual"/>
              </w:rPr>
              <w:t>的初步概念验证数据，进一步彰显了其在非小细胞肺癌领域令人瞩目的同类首创潜力。这些汇报充分彰显了我们创新引擎的实力，以及管线的广度。</w:t>
            </w:r>
          </w:p>
          <w:p w14:paraId="743E00B5" w14:textId="77777777" w:rsidR="009A3FF6" w:rsidRDefault="009A3FF6" w:rsidP="008429E6">
            <w:pPr>
              <w:overflowPunct w:val="0"/>
              <w:autoSpaceDE w:val="0"/>
              <w:autoSpaceDN w:val="0"/>
              <w:spacing w:line="360" w:lineRule="auto"/>
              <w:ind w:firstLineChars="200" w:firstLine="440"/>
              <w:rPr>
                <w:sz w:val="22"/>
                <w:szCs w:val="22"/>
                <w14:ligatures w14:val="standardContextual"/>
              </w:rPr>
            </w:pPr>
            <w:r w:rsidRPr="00E93D93">
              <w:rPr>
                <w:rFonts w:hint="eastAsia"/>
                <w:sz w:val="22"/>
                <w:szCs w:val="22"/>
                <w14:ligatures w14:val="standardContextual"/>
              </w:rPr>
              <w:t>主要里程碑已介绍完毕，这里我仅针对几项关键信息稍作补充。血液肿瘤方面，预计将于今年年底前递交</w:t>
            </w:r>
            <w:r w:rsidRPr="00E93D93">
              <w:rPr>
                <w:rFonts w:hint="eastAsia"/>
                <w:sz w:val="22"/>
                <w:szCs w:val="22"/>
                <w14:ligatures w14:val="standardContextual"/>
              </w:rPr>
              <w:t>tacabrutideg</w:t>
            </w:r>
            <w:r w:rsidRPr="00E93D93">
              <w:rPr>
                <w:rFonts w:hint="eastAsia"/>
                <w:sz w:val="22"/>
                <w:szCs w:val="22"/>
                <w14:ligatures w14:val="standardContextual"/>
              </w:rPr>
              <w:t>用于治疗</w:t>
            </w:r>
            <w:r w:rsidRPr="00E93D93">
              <w:rPr>
                <w:rFonts w:hint="eastAsia"/>
                <w:sz w:val="22"/>
                <w:szCs w:val="22"/>
                <w14:ligatures w14:val="standardContextual"/>
              </w:rPr>
              <w:t>R/R CLL</w:t>
            </w:r>
            <w:r w:rsidRPr="00E93D93">
              <w:rPr>
                <w:rFonts w:hint="eastAsia"/>
                <w:sz w:val="22"/>
                <w:szCs w:val="22"/>
                <w14:ligatures w14:val="standardContextual"/>
              </w:rPr>
              <w:t>的潜在加速批准申请，目前正按计划推进，此举将进一步拓展我们在</w:t>
            </w:r>
            <w:r w:rsidRPr="00E93D93">
              <w:rPr>
                <w:rFonts w:hint="eastAsia"/>
                <w:sz w:val="22"/>
                <w:szCs w:val="22"/>
                <w14:ligatures w14:val="standardContextual"/>
              </w:rPr>
              <w:t>B</w:t>
            </w:r>
            <w:r w:rsidRPr="00E93D93">
              <w:rPr>
                <w:rFonts w:hint="eastAsia"/>
                <w:sz w:val="22"/>
                <w:szCs w:val="22"/>
                <w14:ligatures w14:val="standardContextual"/>
              </w:rPr>
              <w:t>细胞恶性肿瘤领域的</w:t>
            </w:r>
            <w:r w:rsidRPr="00E93D93">
              <w:rPr>
                <w:rFonts w:hint="eastAsia"/>
                <w:sz w:val="22"/>
                <w:szCs w:val="22"/>
                <w14:ligatures w14:val="standardContextual"/>
              </w:rPr>
              <w:t>CLL</w:t>
            </w:r>
            <w:r w:rsidRPr="00E93D93">
              <w:rPr>
                <w:rFonts w:hint="eastAsia"/>
                <w:sz w:val="22"/>
                <w:szCs w:val="22"/>
                <w14:ligatures w14:val="standardContextual"/>
              </w:rPr>
              <w:t>核心产品矩阵。此外，我们计划于</w:t>
            </w:r>
            <w:r w:rsidRPr="00E93D93">
              <w:rPr>
                <w:rFonts w:hint="eastAsia"/>
                <w:sz w:val="22"/>
                <w:szCs w:val="22"/>
                <w14:ligatures w14:val="standardContextual"/>
              </w:rPr>
              <w:t>2027</w:t>
            </w:r>
            <w:r w:rsidRPr="00E93D93">
              <w:rPr>
                <w:rFonts w:hint="eastAsia"/>
                <w:sz w:val="22"/>
                <w:szCs w:val="22"/>
                <w14:ligatures w14:val="standardContextual"/>
              </w:rPr>
              <w:t>年启动针对</w:t>
            </w:r>
            <w:r w:rsidRPr="00E93D93">
              <w:rPr>
                <w:rFonts w:hint="eastAsia"/>
                <w:sz w:val="22"/>
                <w:szCs w:val="22"/>
                <w14:ligatures w14:val="standardContextual"/>
              </w:rPr>
              <w:t>R/R CLL</w:t>
            </w:r>
            <w:r w:rsidRPr="00E93D93">
              <w:rPr>
                <w:rFonts w:hint="eastAsia"/>
                <w:sz w:val="22"/>
                <w:szCs w:val="22"/>
                <w14:ligatures w14:val="standardContextual"/>
              </w:rPr>
              <w:t>的</w:t>
            </w:r>
            <w:r w:rsidRPr="00E93D93">
              <w:rPr>
                <w:rFonts w:hint="eastAsia"/>
                <w:sz w:val="22"/>
                <w:szCs w:val="22"/>
                <w14:ligatures w14:val="standardContextual"/>
              </w:rPr>
              <w:t>tacabrutideg/</w:t>
            </w:r>
            <w:r w:rsidRPr="00E93D93">
              <w:rPr>
                <w:rFonts w:hint="eastAsia"/>
                <w:sz w:val="22"/>
                <w:szCs w:val="22"/>
                <w14:ligatures w14:val="standardContextual"/>
              </w:rPr>
              <w:t>索托克拉固定疗程联合用药方案的</w:t>
            </w:r>
            <w:r w:rsidRPr="00E93D93">
              <w:rPr>
                <w:rFonts w:hint="eastAsia"/>
                <w:sz w:val="22"/>
                <w:szCs w:val="22"/>
                <w14:ligatures w14:val="standardContextual"/>
              </w:rPr>
              <w:t>3</w:t>
            </w:r>
            <w:r w:rsidRPr="00E93D93">
              <w:rPr>
                <w:rFonts w:hint="eastAsia"/>
                <w:sz w:val="22"/>
                <w:szCs w:val="22"/>
                <w14:ligatures w14:val="standardContextual"/>
              </w:rPr>
              <w:t>期临床开发。实体瘤方面，</w:t>
            </w:r>
            <w:r w:rsidRPr="00E93D93">
              <w:rPr>
                <w:rFonts w:hint="eastAsia"/>
                <w:sz w:val="22"/>
                <w:szCs w:val="22"/>
                <w14:ligatures w14:val="standardContextual"/>
              </w:rPr>
              <w:t xml:space="preserve">GPC3 </w:t>
            </w:r>
            <w:r w:rsidRPr="00E93D93">
              <w:rPr>
                <w:rFonts w:hint="eastAsia"/>
                <w:sz w:val="22"/>
                <w:szCs w:val="22"/>
                <w14:ligatures w14:val="standardContextual"/>
              </w:rPr>
              <w:t>×</w:t>
            </w:r>
            <w:r w:rsidRPr="00E93D93">
              <w:rPr>
                <w:rFonts w:hint="eastAsia"/>
                <w:sz w:val="22"/>
                <w:szCs w:val="22"/>
                <w14:ligatures w14:val="standardContextual"/>
              </w:rPr>
              <w:t xml:space="preserve"> 4-1BB</w:t>
            </w:r>
            <w:r w:rsidRPr="00E93D93">
              <w:rPr>
                <w:rFonts w:hint="eastAsia"/>
                <w:sz w:val="22"/>
                <w:szCs w:val="22"/>
                <w14:ligatures w14:val="standardContextual"/>
              </w:rPr>
              <w:t>双抗用于二线及以上肝细胞癌与</w:t>
            </w:r>
            <w:r w:rsidRPr="00E93D93">
              <w:rPr>
                <w:rFonts w:hint="eastAsia"/>
                <w:sz w:val="22"/>
                <w:szCs w:val="22"/>
                <w14:ligatures w14:val="standardContextual"/>
              </w:rPr>
              <w:t>B7-H4 ADC</w:t>
            </w:r>
            <w:r w:rsidRPr="00E93D93">
              <w:rPr>
                <w:rFonts w:hint="eastAsia"/>
                <w:sz w:val="22"/>
                <w:szCs w:val="22"/>
                <w14:ligatures w14:val="standardContextual"/>
              </w:rPr>
              <w:t>用于一线卵巢癌维持治疗的两项关键性研究，均计划于今年年底前启动。展望不远的未来，</w:t>
            </w:r>
            <w:r w:rsidRPr="00E93D93">
              <w:rPr>
                <w:rFonts w:hint="eastAsia"/>
                <w:sz w:val="22"/>
                <w:szCs w:val="22"/>
                <w14:ligatures w14:val="standardContextual"/>
              </w:rPr>
              <w:t>PRMT5</w:t>
            </w:r>
            <w:r w:rsidRPr="00E93D93">
              <w:rPr>
                <w:rFonts w:hint="eastAsia"/>
                <w:sz w:val="22"/>
                <w:szCs w:val="22"/>
                <w14:ligatures w14:val="standardContextual"/>
              </w:rPr>
              <w:t>抑制剂与</w:t>
            </w:r>
            <w:r w:rsidRPr="00E93D93">
              <w:rPr>
                <w:rFonts w:hint="eastAsia"/>
                <w:sz w:val="22"/>
                <w:szCs w:val="22"/>
                <w14:ligatures w14:val="standardContextual"/>
              </w:rPr>
              <w:t>CEA ADC</w:t>
            </w:r>
            <w:r w:rsidRPr="00E93D93">
              <w:rPr>
                <w:rFonts w:hint="eastAsia"/>
                <w:sz w:val="22"/>
                <w:szCs w:val="22"/>
                <w14:ligatures w14:val="standardContextual"/>
              </w:rPr>
              <w:t>项目正持续推进，预计将于</w:t>
            </w:r>
            <w:r w:rsidRPr="00E93D93">
              <w:rPr>
                <w:rFonts w:hint="eastAsia"/>
                <w:sz w:val="22"/>
                <w:szCs w:val="22"/>
                <w14:ligatures w14:val="standardContextual"/>
              </w:rPr>
              <w:t>2027</w:t>
            </w:r>
            <w:r w:rsidRPr="00E93D93">
              <w:rPr>
                <w:rFonts w:hint="eastAsia"/>
                <w:sz w:val="22"/>
                <w:szCs w:val="22"/>
                <w14:ligatures w14:val="standardContextual"/>
              </w:rPr>
              <w:t>年迈入</w:t>
            </w:r>
            <w:r w:rsidRPr="00E93D93">
              <w:rPr>
                <w:rFonts w:hint="eastAsia"/>
                <w:sz w:val="22"/>
                <w:szCs w:val="22"/>
                <w14:ligatures w14:val="standardContextual"/>
              </w:rPr>
              <w:t>3</w:t>
            </w:r>
            <w:r w:rsidRPr="00E93D93">
              <w:rPr>
                <w:rFonts w:hint="eastAsia"/>
                <w:sz w:val="22"/>
                <w:szCs w:val="22"/>
                <w14:ligatures w14:val="standardContextual"/>
              </w:rPr>
              <w:t>期临床开发阶段。</w:t>
            </w:r>
          </w:p>
          <w:p w14:paraId="09AE1FBC" w14:textId="77777777" w:rsidR="009A3FF6" w:rsidRDefault="009A3FF6" w:rsidP="008429E6">
            <w:pPr>
              <w:overflowPunct w:val="0"/>
              <w:autoSpaceDE w:val="0"/>
              <w:autoSpaceDN w:val="0"/>
              <w:spacing w:line="360" w:lineRule="auto"/>
              <w:ind w:firstLineChars="200" w:firstLine="440"/>
              <w:rPr>
                <w:sz w:val="22"/>
                <w:szCs w:val="22"/>
                <w14:ligatures w14:val="standardContextual"/>
              </w:rPr>
            </w:pPr>
          </w:p>
          <w:p w14:paraId="78042C10" w14:textId="465502A0" w:rsidR="009A3FF6" w:rsidRPr="005A248A" w:rsidRDefault="009A3FF6" w:rsidP="008429E6">
            <w:pPr>
              <w:overflowPunct w:val="0"/>
              <w:autoSpaceDE w:val="0"/>
              <w:autoSpaceDN w:val="0"/>
              <w:spacing w:line="360" w:lineRule="auto"/>
              <w:ind w:firstLineChars="200" w:firstLine="440"/>
              <w:rPr>
                <w:sz w:val="22"/>
                <w:szCs w:val="22"/>
              </w:rPr>
            </w:pPr>
            <w:r w:rsidRPr="00F10AB4">
              <w:rPr>
                <w:rFonts w:hint="eastAsia"/>
                <w:sz w:val="22"/>
                <w:szCs w:val="22"/>
                <w14:ligatures w14:val="standardContextual"/>
              </w:rPr>
              <w:t>Q</w:t>
            </w:r>
            <w:r w:rsidRPr="00F10AB4">
              <w:rPr>
                <w:rFonts w:hint="eastAsia"/>
                <w:sz w:val="22"/>
                <w:szCs w:val="22"/>
                <w14:ligatures w14:val="standardContextual"/>
              </w:rPr>
              <w:t>：</w:t>
            </w:r>
            <w:r w:rsidRPr="005A248A">
              <w:rPr>
                <w:rFonts w:hint="eastAsia"/>
                <w:sz w:val="22"/>
                <w:szCs w:val="22"/>
              </w:rPr>
              <w:t>请问百悦泽</w:t>
            </w:r>
            <w:r w:rsidRPr="005A248A">
              <w:rPr>
                <w:rFonts w:hint="eastAsia"/>
                <w:sz w:val="22"/>
                <w:szCs w:val="22"/>
                <w:vertAlign w:val="superscript"/>
              </w:rPr>
              <w:t>®</w:t>
            </w:r>
            <w:r w:rsidRPr="005A248A">
              <w:rPr>
                <w:rFonts w:hint="eastAsia"/>
                <w:sz w:val="22"/>
                <w:szCs w:val="22"/>
              </w:rPr>
              <w:t>销售增长的主要驱动因素有哪些，其中</w:t>
            </w:r>
            <w:r w:rsidRPr="005A248A">
              <w:rPr>
                <w:sz w:val="22"/>
                <w:szCs w:val="22"/>
              </w:rPr>
              <w:t>CLL</w:t>
            </w:r>
            <w:r w:rsidRPr="005A248A">
              <w:rPr>
                <w:rFonts w:hint="eastAsia"/>
                <w:sz w:val="22"/>
                <w:szCs w:val="22"/>
              </w:rPr>
              <w:t>及非</w:t>
            </w:r>
            <w:r w:rsidRPr="005A248A">
              <w:rPr>
                <w:sz w:val="22"/>
                <w:szCs w:val="22"/>
              </w:rPr>
              <w:t>CLL</w:t>
            </w:r>
            <w:r w:rsidRPr="005A248A">
              <w:rPr>
                <w:rFonts w:hint="eastAsia"/>
                <w:sz w:val="22"/>
                <w:szCs w:val="22"/>
              </w:rPr>
              <w:t>适应症分别贡献多少？</w:t>
            </w:r>
          </w:p>
          <w:p w14:paraId="531B4790" w14:textId="079E5B7D" w:rsidR="009A3FF6" w:rsidRPr="00F10AB4" w:rsidRDefault="009A3FF6" w:rsidP="008429E6">
            <w:pPr>
              <w:spacing w:line="360" w:lineRule="auto"/>
              <w:ind w:firstLineChars="200" w:firstLine="440"/>
              <w:rPr>
                <w:sz w:val="22"/>
                <w:szCs w:val="22"/>
                <w14:ligatures w14:val="standardContextual"/>
              </w:rPr>
            </w:pPr>
            <w:r w:rsidRPr="00F10AB4">
              <w:rPr>
                <w:rFonts w:hint="eastAsia"/>
                <w:sz w:val="22"/>
                <w:szCs w:val="22"/>
                <w14:ligatures w14:val="standardContextual"/>
              </w:rPr>
              <w:lastRenderedPageBreak/>
              <w:t>A</w:t>
            </w:r>
            <w:r w:rsidRPr="00F10AB4">
              <w:rPr>
                <w:rFonts w:hint="eastAsia"/>
                <w:sz w:val="22"/>
                <w:szCs w:val="22"/>
                <w14:ligatures w14:val="standardContextual"/>
              </w:rPr>
              <w:t>：第二季度，</w:t>
            </w:r>
            <w:r w:rsidR="006F2471">
              <w:rPr>
                <w:rFonts w:hint="eastAsia"/>
                <w:sz w:val="22"/>
                <w:szCs w:val="22"/>
                <w14:ligatures w14:val="standardContextual"/>
              </w:rPr>
              <w:t>受</w:t>
            </w:r>
            <w:r w:rsidRPr="00C26359">
              <w:rPr>
                <w:sz w:val="22"/>
                <w:szCs w:val="22"/>
                <w14:ligatures w14:val="standardContextual"/>
              </w:rPr>
              <w:t>益于</w:t>
            </w:r>
            <w:r w:rsidRPr="00F10AB4">
              <w:rPr>
                <w:sz w:val="22"/>
                <w:szCs w:val="22"/>
                <w14:ligatures w14:val="standardContextual"/>
              </w:rPr>
              <w:t>所有区域市场需求的强劲增长</w:t>
            </w:r>
            <w:r w:rsidRPr="00F10AB4">
              <w:rPr>
                <w:rFonts w:hint="eastAsia"/>
                <w:sz w:val="22"/>
                <w:szCs w:val="22"/>
                <w14:ligatures w14:val="standardContextual"/>
              </w:rPr>
              <w:t>，</w:t>
            </w:r>
            <w:r w:rsidRPr="00F10AB4">
              <w:rPr>
                <w:sz w:val="22"/>
                <w:szCs w:val="22"/>
                <w14:ligatures w14:val="standardContextual"/>
              </w:rPr>
              <w:t>我们见证了百悦泽</w:t>
            </w:r>
            <w:r w:rsidRPr="00F10AB4">
              <w:rPr>
                <w:sz w:val="22"/>
                <w:szCs w:val="22"/>
                <w:vertAlign w:val="superscript"/>
                <w14:ligatures w14:val="standardContextual"/>
              </w:rPr>
              <w:t>®</w:t>
            </w:r>
            <w:r w:rsidRPr="00F10AB4">
              <w:rPr>
                <w:rFonts w:hint="eastAsia"/>
                <w:sz w:val="22"/>
                <w:szCs w:val="22"/>
                <w14:ligatures w14:val="standardContextual"/>
              </w:rPr>
              <w:t>和</w:t>
            </w:r>
            <w:r w:rsidRPr="00F10AB4">
              <w:rPr>
                <w:sz w:val="22"/>
                <w:szCs w:val="22"/>
                <w14:ligatures w14:val="standardContextual"/>
              </w:rPr>
              <w:t>公司其他产品组合强劲</w:t>
            </w:r>
            <w:r>
              <w:rPr>
                <w:rFonts w:hint="eastAsia"/>
                <w:sz w:val="22"/>
                <w:szCs w:val="22"/>
                <w14:ligatures w14:val="standardContextual"/>
              </w:rPr>
              <w:t>的</w:t>
            </w:r>
            <w:r w:rsidRPr="00F10AB4">
              <w:rPr>
                <w:sz w:val="22"/>
                <w:szCs w:val="22"/>
                <w14:ligatures w14:val="standardContextual"/>
              </w:rPr>
              <w:t>增长势头。在上个季度，我们曾提到过百悦泽</w:t>
            </w:r>
            <w:r w:rsidRPr="00F10AB4">
              <w:rPr>
                <w:sz w:val="22"/>
                <w:szCs w:val="22"/>
                <w:vertAlign w:val="superscript"/>
                <w14:ligatures w14:val="standardContextual"/>
              </w:rPr>
              <w:t>®</w:t>
            </w:r>
            <w:r w:rsidRPr="00F10AB4">
              <w:rPr>
                <w:rFonts w:hint="eastAsia"/>
                <w:sz w:val="22"/>
                <w:szCs w:val="22"/>
                <w14:ligatures w14:val="standardContextual"/>
              </w:rPr>
              <w:t>美国市场</w:t>
            </w:r>
            <w:r w:rsidRPr="00F10AB4">
              <w:rPr>
                <w:sz w:val="22"/>
                <w:szCs w:val="22"/>
                <w14:ligatures w14:val="standardContextual"/>
              </w:rPr>
              <w:t>4</w:t>
            </w:r>
            <w:r w:rsidRPr="00F10AB4">
              <w:rPr>
                <w:sz w:val="22"/>
                <w:szCs w:val="22"/>
                <w14:ligatures w14:val="standardContextual"/>
              </w:rPr>
              <w:t>月和</w:t>
            </w:r>
            <w:r w:rsidRPr="00F10AB4">
              <w:rPr>
                <w:sz w:val="22"/>
                <w:szCs w:val="22"/>
                <w14:ligatures w14:val="standardContextual"/>
              </w:rPr>
              <w:t>5</w:t>
            </w:r>
            <w:r w:rsidRPr="00F10AB4">
              <w:rPr>
                <w:sz w:val="22"/>
                <w:szCs w:val="22"/>
                <w14:ligatures w14:val="standardContextual"/>
              </w:rPr>
              <w:t>月显现出的强劲势头；显然，这种强劲势头已经延续到了我们第二季度的业绩中。</w:t>
            </w:r>
          </w:p>
          <w:p w14:paraId="589552ED" w14:textId="77777777" w:rsidR="009A3FF6" w:rsidRPr="005A248A" w:rsidRDefault="009A3FF6" w:rsidP="008429E6">
            <w:pPr>
              <w:overflowPunct w:val="0"/>
              <w:autoSpaceDE w:val="0"/>
              <w:autoSpaceDN w:val="0"/>
              <w:spacing w:line="360" w:lineRule="auto"/>
              <w:ind w:firstLineChars="200" w:firstLine="440"/>
              <w:rPr>
                <w:sz w:val="22"/>
                <w:szCs w:val="22"/>
              </w:rPr>
            </w:pPr>
            <w:r w:rsidRPr="005A248A">
              <w:rPr>
                <w:rFonts w:hint="eastAsia"/>
                <w:sz w:val="22"/>
                <w:szCs w:val="22"/>
              </w:rPr>
              <w:t>在刚才的发言中重点强调了三个核心</w:t>
            </w:r>
            <w:r>
              <w:rPr>
                <w:rFonts w:hint="eastAsia"/>
                <w:sz w:val="22"/>
                <w:szCs w:val="22"/>
              </w:rPr>
              <w:t>因素</w:t>
            </w:r>
            <w:r w:rsidRPr="005A248A">
              <w:rPr>
                <w:rFonts w:hint="eastAsia"/>
                <w:sz w:val="22"/>
                <w:szCs w:val="22"/>
              </w:rPr>
              <w:t>。首先，我们的新增患者启动治疗数量达到了自产品上市以来的最高水平。因此，看到产品在市场上获得如此积极的认可，我们感到非常振奋。这得益于我们在</w:t>
            </w:r>
            <w:r w:rsidRPr="005A248A">
              <w:rPr>
                <w:sz w:val="22"/>
                <w:szCs w:val="22"/>
              </w:rPr>
              <w:t>CLL</w:t>
            </w:r>
            <w:r w:rsidRPr="005A248A">
              <w:rPr>
                <w:rFonts w:hint="eastAsia"/>
                <w:sz w:val="22"/>
                <w:szCs w:val="22"/>
              </w:rPr>
              <w:t>以及非</w:t>
            </w:r>
            <w:r w:rsidRPr="005A248A">
              <w:rPr>
                <w:sz w:val="22"/>
                <w:szCs w:val="22"/>
              </w:rPr>
              <w:t>CLL</w:t>
            </w:r>
            <w:r w:rsidRPr="005A248A">
              <w:rPr>
                <w:rFonts w:hint="eastAsia"/>
                <w:sz w:val="22"/>
                <w:szCs w:val="22"/>
              </w:rPr>
              <w:t>适应症上的强劲表现。因此，我们确实在所有适应症上都看到了持续的增长。</w:t>
            </w:r>
            <w:r>
              <w:rPr>
                <w:rFonts w:hint="eastAsia"/>
                <w:sz w:val="22"/>
                <w:szCs w:val="22"/>
              </w:rPr>
              <w:t>从</w:t>
            </w:r>
            <w:r w:rsidRPr="005A248A">
              <w:rPr>
                <w:rFonts w:hint="eastAsia"/>
                <w:sz w:val="22"/>
                <w:szCs w:val="22"/>
              </w:rPr>
              <w:t>五</w:t>
            </w:r>
            <w:r>
              <w:rPr>
                <w:rFonts w:hint="eastAsia"/>
                <w:sz w:val="22"/>
                <w:szCs w:val="22"/>
              </w:rPr>
              <w:t>项已获批</w:t>
            </w:r>
            <w:r w:rsidRPr="005A248A">
              <w:rPr>
                <w:rFonts w:hint="eastAsia"/>
                <w:sz w:val="22"/>
                <w:szCs w:val="22"/>
              </w:rPr>
              <w:t>适应症</w:t>
            </w:r>
            <w:r>
              <w:rPr>
                <w:rFonts w:hint="eastAsia"/>
                <w:sz w:val="22"/>
                <w:szCs w:val="22"/>
              </w:rPr>
              <w:t>覆盖的患者规模来看</w:t>
            </w:r>
            <w:r w:rsidRPr="005A248A">
              <w:rPr>
                <w:rFonts w:hint="eastAsia"/>
                <w:sz w:val="22"/>
                <w:szCs w:val="22"/>
              </w:rPr>
              <w:t>，非</w:t>
            </w:r>
            <w:r w:rsidRPr="005A248A">
              <w:rPr>
                <w:sz w:val="22"/>
                <w:szCs w:val="22"/>
              </w:rPr>
              <w:t>CLL</w:t>
            </w:r>
            <w:r w:rsidRPr="005A248A">
              <w:rPr>
                <w:rFonts w:hint="eastAsia"/>
                <w:sz w:val="22"/>
                <w:szCs w:val="22"/>
              </w:rPr>
              <w:t>适应症的患者约占</w:t>
            </w:r>
            <w:r w:rsidRPr="00551678">
              <w:rPr>
                <w:sz w:val="22"/>
                <w:szCs w:val="22"/>
              </w:rPr>
              <w:t>总患者群体的</w:t>
            </w:r>
            <w:r w:rsidRPr="005A248A">
              <w:rPr>
                <w:rFonts w:hint="eastAsia"/>
                <w:sz w:val="22"/>
                <w:szCs w:val="22"/>
              </w:rPr>
              <w:t>三分之一。而在这些非</w:t>
            </w:r>
            <w:r w:rsidRPr="005A248A">
              <w:rPr>
                <w:sz w:val="22"/>
                <w:szCs w:val="22"/>
              </w:rPr>
              <w:t>CLL</w:t>
            </w:r>
            <w:r w:rsidRPr="005A248A">
              <w:rPr>
                <w:rFonts w:hint="eastAsia"/>
                <w:sz w:val="22"/>
                <w:szCs w:val="22"/>
              </w:rPr>
              <w:t>治疗领域，我们在这些适应症中占据了非常高的市场份额。刚才谈到的另一点是治疗时长，这方面的数据目前虽然还不成熟，但趋势依然非常积极。真实世界数据也印证了这一点。我们先前提到最近</w:t>
            </w:r>
            <w:r>
              <w:rPr>
                <w:rFonts w:hint="eastAsia"/>
                <w:sz w:val="22"/>
                <w:szCs w:val="22"/>
              </w:rPr>
              <w:t>在</w:t>
            </w:r>
            <w:r>
              <w:rPr>
                <w:rFonts w:hint="eastAsia"/>
                <w:sz w:val="22"/>
                <w:szCs w:val="22"/>
              </w:rPr>
              <w:t>ASCO</w:t>
            </w:r>
            <w:r>
              <w:rPr>
                <w:rFonts w:hint="eastAsia"/>
                <w:sz w:val="22"/>
                <w:szCs w:val="22"/>
              </w:rPr>
              <w:t>上</w:t>
            </w:r>
            <w:r w:rsidRPr="005A248A">
              <w:rPr>
                <w:rFonts w:hint="eastAsia"/>
                <w:sz w:val="22"/>
                <w:szCs w:val="22"/>
              </w:rPr>
              <w:t>发表的一项针对超</w:t>
            </w:r>
            <w:r w:rsidRPr="005A248A">
              <w:rPr>
                <w:sz w:val="22"/>
                <w:szCs w:val="22"/>
              </w:rPr>
              <w:t>10,000</w:t>
            </w:r>
            <w:r w:rsidRPr="005A248A">
              <w:rPr>
                <w:rFonts w:hint="eastAsia"/>
                <w:sz w:val="22"/>
                <w:szCs w:val="22"/>
              </w:rPr>
              <w:t>例</w:t>
            </w:r>
            <w:r w:rsidRPr="005A248A">
              <w:rPr>
                <w:sz w:val="22"/>
                <w:szCs w:val="22"/>
              </w:rPr>
              <w:t>Medicare</w:t>
            </w:r>
            <w:r w:rsidRPr="005A248A">
              <w:rPr>
                <w:rFonts w:hint="eastAsia"/>
                <w:sz w:val="22"/>
                <w:szCs w:val="22"/>
              </w:rPr>
              <w:t>患者的研究。这项研究非常值得关注，数据显示，与阿可替尼和伊布替尼相比，百悦泽</w:t>
            </w:r>
            <w:r w:rsidRPr="005A248A">
              <w:rPr>
                <w:sz w:val="22"/>
                <w:szCs w:val="22"/>
                <w:vertAlign w:val="superscript"/>
              </w:rPr>
              <w:t>®</w:t>
            </w:r>
            <w:r w:rsidRPr="005A248A">
              <w:rPr>
                <w:rFonts w:hint="eastAsia"/>
                <w:sz w:val="22"/>
                <w:szCs w:val="22"/>
              </w:rPr>
              <w:t>在停药后展现出了显著的长期获益。事实上，截止本次汇报的数据截止日期，百悦泽</w:t>
            </w:r>
            <w:r w:rsidRPr="005A248A">
              <w:rPr>
                <w:sz w:val="22"/>
                <w:szCs w:val="22"/>
                <w:vertAlign w:val="superscript"/>
              </w:rPr>
              <w:t>®</w:t>
            </w:r>
            <w:r w:rsidRPr="005A248A">
              <w:rPr>
                <w:rFonts w:hint="eastAsia"/>
                <w:sz w:val="22"/>
                <w:szCs w:val="22"/>
              </w:rPr>
              <w:t>甚至尚未达到中位停药时间。真正让我们感到欣慰的是，这些数据直接转化为了患者更好的预后和体验，而这正是我们整体需求增长的原因。基于这些优异的数据，我们已更新内部规划假设，将更长的治疗时长纳入考量。</w:t>
            </w:r>
          </w:p>
          <w:p w14:paraId="739B3259" w14:textId="5FBAF268"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5A248A">
              <w:rPr>
                <w:sz w:val="22"/>
                <w:szCs w:val="22"/>
              </w:rPr>
              <w:t>Q</w:t>
            </w:r>
            <w:r w:rsidRPr="005A248A">
              <w:rPr>
                <w:rFonts w:hint="eastAsia"/>
                <w:sz w:val="22"/>
                <w:szCs w:val="22"/>
              </w:rPr>
              <w:t>：阿卡替尼联合维奈克拉固定疗程方案上市后，目前公司是否已观察到对</w:t>
            </w:r>
            <w:r w:rsidRPr="005A248A">
              <w:rPr>
                <w:sz w:val="22"/>
                <w:szCs w:val="22"/>
              </w:rPr>
              <w:t>CLL</w:t>
            </w:r>
            <w:r w:rsidRPr="005A248A">
              <w:rPr>
                <w:rFonts w:hint="eastAsia"/>
                <w:sz w:val="22"/>
                <w:szCs w:val="22"/>
              </w:rPr>
              <w:t>市场产生的影响，以及如何展望未来几个季度</w:t>
            </w:r>
            <w:r w:rsidRPr="005A248A">
              <w:rPr>
                <w:sz w:val="22"/>
                <w:szCs w:val="22"/>
              </w:rPr>
              <w:t>CLL</w:t>
            </w:r>
            <w:r w:rsidRPr="005A248A">
              <w:rPr>
                <w:rFonts w:hint="eastAsia"/>
                <w:sz w:val="22"/>
                <w:szCs w:val="22"/>
              </w:rPr>
              <w:t>市场竞争格局的演变？</w:t>
            </w:r>
          </w:p>
          <w:p w14:paraId="23E781E3" w14:textId="5CF5F1F7" w:rsidR="009A3FF6" w:rsidRPr="005A248A" w:rsidRDefault="009A3FF6" w:rsidP="008429E6">
            <w:pPr>
              <w:overflowPunct w:val="0"/>
              <w:autoSpaceDE w:val="0"/>
              <w:autoSpaceDN w:val="0"/>
              <w:spacing w:line="360" w:lineRule="auto"/>
              <w:ind w:firstLineChars="200" w:firstLine="440"/>
              <w:rPr>
                <w:sz w:val="22"/>
                <w:szCs w:val="22"/>
              </w:rPr>
            </w:pPr>
            <w:r w:rsidRPr="00F10AB4">
              <w:rPr>
                <w:rFonts w:hint="eastAsia"/>
                <w:sz w:val="22"/>
                <w:szCs w:val="22"/>
                <w14:ligatures w14:val="standardContextual"/>
              </w:rPr>
              <w:t>A</w:t>
            </w:r>
            <w:r w:rsidRPr="00F10AB4">
              <w:rPr>
                <w:rFonts w:hint="eastAsia"/>
                <w:sz w:val="22"/>
                <w:szCs w:val="22"/>
                <w14:ligatures w14:val="standardContextual"/>
              </w:rPr>
              <w:t>：</w:t>
            </w:r>
            <w:r w:rsidRPr="005A248A">
              <w:rPr>
                <w:rFonts w:hint="eastAsia"/>
                <w:sz w:val="22"/>
                <w:szCs w:val="22"/>
              </w:rPr>
              <w:t>目前我们尚未观察到</w:t>
            </w:r>
            <w:r w:rsidRPr="005A248A">
              <w:rPr>
                <w:sz w:val="22"/>
                <w:szCs w:val="22"/>
              </w:rPr>
              <w:t>AMPLIFY</w:t>
            </w:r>
            <w:r w:rsidRPr="005A248A">
              <w:rPr>
                <w:rFonts w:hint="eastAsia"/>
                <w:sz w:val="22"/>
                <w:szCs w:val="22"/>
              </w:rPr>
              <w:t>试验（</w:t>
            </w:r>
            <w:r w:rsidRPr="005A248A">
              <w:rPr>
                <w:sz w:val="22"/>
                <w:szCs w:val="22"/>
              </w:rPr>
              <w:t>AV</w:t>
            </w:r>
            <w:r w:rsidRPr="005A248A">
              <w:rPr>
                <w:rFonts w:hint="eastAsia"/>
                <w:sz w:val="22"/>
                <w:szCs w:val="22"/>
              </w:rPr>
              <w:t>）</w:t>
            </w:r>
            <w:r w:rsidR="00484051">
              <w:rPr>
                <w:rFonts w:hint="eastAsia"/>
                <w:sz w:val="22"/>
                <w:szCs w:val="22"/>
              </w:rPr>
              <w:t>方案</w:t>
            </w:r>
            <w:r w:rsidRPr="005A248A">
              <w:rPr>
                <w:rFonts w:hint="eastAsia"/>
                <w:sz w:val="22"/>
                <w:szCs w:val="22"/>
              </w:rPr>
              <w:t>在美国市场带来显著影响，现在还为时尚早。</w:t>
            </w:r>
          </w:p>
          <w:p w14:paraId="036E9731" w14:textId="77777777" w:rsidR="009A3FF6" w:rsidRPr="005A248A" w:rsidRDefault="009A3FF6" w:rsidP="008429E6">
            <w:pPr>
              <w:overflowPunct w:val="0"/>
              <w:autoSpaceDE w:val="0"/>
              <w:autoSpaceDN w:val="0"/>
              <w:spacing w:line="360" w:lineRule="auto"/>
              <w:ind w:firstLineChars="200" w:firstLine="440"/>
              <w:rPr>
                <w:sz w:val="22"/>
                <w:szCs w:val="22"/>
                <w14:ligatures w14:val="standardContextual"/>
              </w:rPr>
            </w:pPr>
            <w:r w:rsidRPr="00F10AB4">
              <w:rPr>
                <w:sz w:val="22"/>
                <w:szCs w:val="22"/>
                <w14:ligatures w14:val="standardContextual"/>
              </w:rPr>
              <w:t>在</w:t>
            </w:r>
            <w:r w:rsidRPr="00F10AB4">
              <w:rPr>
                <w:sz w:val="22"/>
                <w:szCs w:val="22"/>
                <w14:ligatures w14:val="standardContextual"/>
              </w:rPr>
              <w:t>CLL</w:t>
            </w:r>
            <w:r w:rsidRPr="00F10AB4">
              <w:rPr>
                <w:sz w:val="22"/>
                <w:szCs w:val="22"/>
                <w14:ligatures w14:val="standardContextual"/>
              </w:rPr>
              <w:t>治疗中，长期预后至关重要。正如我们观察到的那样，患者在治疗第</w:t>
            </w:r>
            <w:r w:rsidRPr="00F10AB4">
              <w:rPr>
                <w:sz w:val="22"/>
                <w:szCs w:val="22"/>
                <w14:ligatures w14:val="standardContextual"/>
              </w:rPr>
              <w:t>3</w:t>
            </w:r>
            <w:r w:rsidRPr="00F10AB4">
              <w:rPr>
                <w:sz w:val="22"/>
                <w:szCs w:val="22"/>
                <w14:ligatures w14:val="standardContextual"/>
              </w:rPr>
              <w:t>年到第</w:t>
            </w:r>
            <w:r w:rsidRPr="00F10AB4">
              <w:rPr>
                <w:sz w:val="22"/>
                <w:szCs w:val="22"/>
                <w14:ligatures w14:val="standardContextual"/>
              </w:rPr>
              <w:t>6</w:t>
            </w:r>
            <w:r w:rsidRPr="00F10AB4">
              <w:rPr>
                <w:sz w:val="22"/>
                <w:szCs w:val="22"/>
                <w14:ligatures w14:val="standardContextual"/>
              </w:rPr>
              <w:t>年的</w:t>
            </w:r>
            <w:r w:rsidRPr="00F10AB4">
              <w:rPr>
                <w:sz w:val="22"/>
                <w:szCs w:val="22"/>
                <w14:ligatures w14:val="standardContextual"/>
              </w:rPr>
              <w:t>PFS</w:t>
            </w:r>
            <w:r w:rsidRPr="00F10AB4">
              <w:rPr>
                <w:sz w:val="22"/>
                <w:szCs w:val="22"/>
                <w14:ligatures w14:val="standardContextual"/>
              </w:rPr>
              <w:t>率存在巨大差异。</w:t>
            </w:r>
            <w:r w:rsidRPr="00F10AB4">
              <w:rPr>
                <w:sz w:val="22"/>
                <w:szCs w:val="22"/>
                <w14:ligatures w14:val="standardContextual"/>
              </w:rPr>
              <w:t>AV</w:t>
            </w:r>
            <w:r w:rsidRPr="00F10AB4">
              <w:rPr>
                <w:sz w:val="22"/>
                <w:szCs w:val="22"/>
                <w14:ligatures w14:val="standardContextual"/>
              </w:rPr>
              <w:t>方案目前只有三年的数据，还没有长期数据。而从现有数据来看，在所有含维奈克拉的方案中，该方案的</w:t>
            </w:r>
            <w:r w:rsidRPr="00F10AB4">
              <w:rPr>
                <w:sz w:val="22"/>
                <w:szCs w:val="22"/>
                <w14:ligatures w14:val="standardContextual"/>
              </w:rPr>
              <w:t>uMRD</w:t>
            </w:r>
            <w:r w:rsidRPr="00F10AB4">
              <w:rPr>
                <w:sz w:val="22"/>
                <w:szCs w:val="22"/>
                <w14:ligatures w14:val="standardContextual"/>
              </w:rPr>
              <w:t>率以及</w:t>
            </w:r>
            <w:r w:rsidRPr="00F10AB4">
              <w:rPr>
                <w:sz w:val="22"/>
                <w:szCs w:val="22"/>
                <w14:ligatures w14:val="standardContextual"/>
              </w:rPr>
              <w:t>PFS</w:t>
            </w:r>
            <w:r w:rsidRPr="00F10AB4">
              <w:rPr>
                <w:sz w:val="22"/>
                <w:szCs w:val="22"/>
                <w14:ligatures w14:val="standardContextual"/>
              </w:rPr>
              <w:t>均处于最低水平。因此，虽然很难预测这组数据在六年后的表现，但我们确实有其他随访时间更长的数据集，在三年</w:t>
            </w:r>
            <w:r w:rsidRPr="00F10AB4">
              <w:rPr>
                <w:sz w:val="22"/>
                <w:szCs w:val="22"/>
                <w14:ligatures w14:val="standardContextual"/>
              </w:rPr>
              <w:lastRenderedPageBreak/>
              <w:t>这个节点上的表现优于</w:t>
            </w:r>
            <w:r w:rsidRPr="00F10AB4">
              <w:rPr>
                <w:sz w:val="22"/>
                <w:szCs w:val="22"/>
                <w14:ligatures w14:val="standardContextual"/>
              </w:rPr>
              <w:t>AV</w:t>
            </w:r>
            <w:r w:rsidRPr="00F10AB4">
              <w:rPr>
                <w:sz w:val="22"/>
                <w:szCs w:val="22"/>
                <w14:ligatures w14:val="standardContextual"/>
              </w:rPr>
              <w:t>，</w:t>
            </w:r>
            <w:r>
              <w:rPr>
                <w:rFonts w:hint="eastAsia"/>
                <w:sz w:val="22"/>
                <w:szCs w:val="22"/>
                <w14:ligatures w14:val="standardContextual"/>
              </w:rPr>
              <w:t>这</w:t>
            </w:r>
            <w:r w:rsidRPr="00F10AB4">
              <w:rPr>
                <w:sz w:val="22"/>
                <w:szCs w:val="22"/>
                <w14:ligatures w14:val="standardContextual"/>
              </w:rPr>
              <w:t>包括</w:t>
            </w:r>
            <w:r w:rsidRPr="00F10AB4">
              <w:rPr>
                <w:sz w:val="22"/>
                <w:szCs w:val="22"/>
                <w14:ligatures w14:val="standardContextual"/>
              </w:rPr>
              <w:t>VO</w:t>
            </w:r>
            <w:r w:rsidRPr="00F10AB4">
              <w:rPr>
                <w:sz w:val="22"/>
                <w:szCs w:val="22"/>
                <w14:ligatures w14:val="standardContextual"/>
              </w:rPr>
              <w:t>和</w:t>
            </w:r>
            <w:r w:rsidRPr="00F10AB4">
              <w:rPr>
                <w:sz w:val="22"/>
                <w:szCs w:val="22"/>
                <w14:ligatures w14:val="standardContextual"/>
              </w:rPr>
              <w:t>VI</w:t>
            </w:r>
            <w:r w:rsidRPr="00F10AB4">
              <w:rPr>
                <w:sz w:val="22"/>
                <w:szCs w:val="22"/>
                <w14:ligatures w14:val="standardContextual"/>
              </w:rPr>
              <w:t>方案。当我们审视这些数据时，它们确实凸显了当前含维奈克拉的固定疗程方案所面临的诸多挑战。特别是当我们关注</w:t>
            </w:r>
            <w:r w:rsidRPr="00F10AB4">
              <w:rPr>
                <w:sz w:val="22"/>
                <w:szCs w:val="22"/>
                <w14:ligatures w14:val="standardContextual"/>
              </w:rPr>
              <w:t>IGHV</w:t>
            </w:r>
            <w:r w:rsidRPr="00F10AB4">
              <w:rPr>
                <w:sz w:val="22"/>
                <w:szCs w:val="22"/>
                <w14:ligatures w14:val="standardContextual"/>
              </w:rPr>
              <w:t>未突变患者群体时，也就是占一线</w:t>
            </w:r>
            <w:r w:rsidRPr="00F10AB4">
              <w:rPr>
                <w:sz w:val="22"/>
                <w:szCs w:val="22"/>
                <w14:ligatures w14:val="standardContextual"/>
              </w:rPr>
              <w:t>CLL</w:t>
            </w:r>
            <w:r w:rsidRPr="00F10AB4">
              <w:rPr>
                <w:sz w:val="22"/>
                <w:szCs w:val="22"/>
                <w14:ligatures w14:val="standardContextual"/>
              </w:rPr>
              <w:t>患者大多数的这部分人群，百悦泽</w:t>
            </w:r>
            <w:r w:rsidRPr="005A248A">
              <w:rPr>
                <w:sz w:val="22"/>
                <w:szCs w:val="22"/>
                <w:vertAlign w:val="superscript"/>
                <w14:ligatures w14:val="standardContextual"/>
              </w:rPr>
              <w:t>®</w:t>
            </w:r>
            <w:r w:rsidRPr="00F10AB4">
              <w:rPr>
                <w:sz w:val="22"/>
                <w:szCs w:val="22"/>
                <w14:ligatures w14:val="standardContextual"/>
              </w:rPr>
              <w:t>与其他含维奈克拉联合方案的</w:t>
            </w:r>
            <w:r w:rsidRPr="00F10AB4">
              <w:rPr>
                <w:sz w:val="22"/>
                <w:szCs w:val="22"/>
                <w14:ligatures w14:val="standardContextual"/>
              </w:rPr>
              <w:t>PFS</w:t>
            </w:r>
            <w:r w:rsidRPr="00F10AB4">
              <w:rPr>
                <w:sz w:val="22"/>
                <w:szCs w:val="22"/>
                <w14:ligatures w14:val="standardContextual"/>
              </w:rPr>
              <w:t>率之间存在明显的差异。例如，在第六年，百悦泽</w:t>
            </w:r>
            <w:r w:rsidRPr="005A248A">
              <w:rPr>
                <w:sz w:val="22"/>
                <w:szCs w:val="22"/>
                <w:vertAlign w:val="superscript"/>
                <w14:ligatures w14:val="standardContextual"/>
              </w:rPr>
              <w:t>®</w:t>
            </w:r>
            <w:r w:rsidRPr="00F10AB4">
              <w:rPr>
                <w:sz w:val="22"/>
                <w:szCs w:val="22"/>
                <w14:ligatures w14:val="standardContextual"/>
              </w:rPr>
              <w:t>的</w:t>
            </w:r>
            <w:r w:rsidRPr="00F10AB4">
              <w:rPr>
                <w:sz w:val="22"/>
                <w:szCs w:val="22"/>
                <w14:ligatures w14:val="standardContextual"/>
              </w:rPr>
              <w:t>PFS</w:t>
            </w:r>
            <w:r w:rsidRPr="00F10AB4">
              <w:rPr>
                <w:sz w:val="22"/>
                <w:szCs w:val="22"/>
                <w14:ligatures w14:val="standardContextual"/>
              </w:rPr>
              <w:t>率</w:t>
            </w:r>
            <w:r>
              <w:rPr>
                <w:rFonts w:hint="eastAsia"/>
                <w:sz w:val="22"/>
                <w:szCs w:val="22"/>
                <w14:ligatures w14:val="standardContextual"/>
              </w:rPr>
              <w:t>超过</w:t>
            </w:r>
            <w:r w:rsidRPr="00F10AB4">
              <w:rPr>
                <w:sz w:val="22"/>
                <w:szCs w:val="22"/>
                <w14:ligatures w14:val="standardContextual"/>
              </w:rPr>
              <w:t>70%</w:t>
            </w:r>
            <w:r w:rsidRPr="00F10AB4">
              <w:rPr>
                <w:sz w:val="22"/>
                <w:szCs w:val="22"/>
                <w14:ligatures w14:val="standardContextual"/>
              </w:rPr>
              <w:t>，而含维奈克拉的固定疗程方案的</w:t>
            </w:r>
            <w:r w:rsidRPr="00F10AB4">
              <w:rPr>
                <w:sz w:val="22"/>
                <w:szCs w:val="22"/>
                <w14:ligatures w14:val="standardContextual"/>
              </w:rPr>
              <w:t>PFS</w:t>
            </w:r>
            <w:r w:rsidRPr="00F10AB4">
              <w:rPr>
                <w:sz w:val="22"/>
                <w:szCs w:val="22"/>
                <w14:ligatures w14:val="standardContextual"/>
              </w:rPr>
              <w:t>率仅</w:t>
            </w:r>
            <w:r>
              <w:rPr>
                <w:rFonts w:hint="eastAsia"/>
                <w:sz w:val="22"/>
                <w:szCs w:val="22"/>
                <w14:ligatures w14:val="standardContextual"/>
              </w:rPr>
              <w:t>略高于</w:t>
            </w:r>
            <w:r w:rsidRPr="00F10AB4">
              <w:rPr>
                <w:sz w:val="22"/>
                <w:szCs w:val="22"/>
                <w14:ligatures w14:val="standardContextual"/>
              </w:rPr>
              <w:t>40%</w:t>
            </w:r>
            <w:r w:rsidRPr="00F10AB4">
              <w:rPr>
                <w:sz w:val="22"/>
                <w:szCs w:val="22"/>
                <w14:ligatures w14:val="standardContextual"/>
              </w:rPr>
              <w:t>。这意味着</w:t>
            </w:r>
            <w:r w:rsidRPr="00F10AB4">
              <w:rPr>
                <w:sz w:val="22"/>
                <w:szCs w:val="22"/>
                <w14:ligatures w14:val="standardContextual"/>
              </w:rPr>
              <w:t>PFS</w:t>
            </w:r>
            <w:r w:rsidRPr="00F10AB4">
              <w:rPr>
                <w:sz w:val="22"/>
                <w:szCs w:val="22"/>
                <w14:ligatures w14:val="standardContextual"/>
              </w:rPr>
              <w:t>率有</w:t>
            </w:r>
            <w:r w:rsidRPr="00F10AB4">
              <w:rPr>
                <w:sz w:val="22"/>
                <w:szCs w:val="22"/>
                <w14:ligatures w14:val="standardContextual"/>
              </w:rPr>
              <w:t>30%</w:t>
            </w:r>
            <w:r w:rsidRPr="00F10AB4">
              <w:rPr>
                <w:sz w:val="22"/>
                <w:szCs w:val="22"/>
                <w14:ligatures w14:val="standardContextual"/>
              </w:rPr>
              <w:t>的差距，这一点非常关键。此外，当同时考虑安全性问题时，一些含维奈克拉的方案报告的严重感染发生率高达</w:t>
            </w:r>
            <w:r w:rsidRPr="00F10AB4">
              <w:rPr>
                <w:sz w:val="22"/>
                <w:szCs w:val="22"/>
                <w14:ligatures w14:val="standardContextual"/>
              </w:rPr>
              <w:t>20%</w:t>
            </w:r>
            <w:r w:rsidRPr="00F10AB4">
              <w:rPr>
                <w:sz w:val="22"/>
                <w:szCs w:val="22"/>
                <w14:ligatures w14:val="standardContextual"/>
              </w:rPr>
              <w:t>至</w:t>
            </w:r>
            <w:r w:rsidRPr="00F10AB4">
              <w:rPr>
                <w:sz w:val="22"/>
                <w:szCs w:val="22"/>
                <w14:ligatures w14:val="standardContextual"/>
              </w:rPr>
              <w:t>30%</w:t>
            </w:r>
            <w:r w:rsidRPr="00F10AB4">
              <w:rPr>
                <w:sz w:val="22"/>
                <w:szCs w:val="22"/>
                <w14:ligatures w14:val="standardContextual"/>
              </w:rPr>
              <w:t>，其中包括致死性感染；而且近一半的疾病进展事件结局为死亡，患者甚至失去了再次接受治疗的机会。这清楚地表明，这一患者群体在接受含维奈克拉的方案治疗时，预后并不理想，因此百悦泽</w:t>
            </w:r>
            <w:r w:rsidRPr="005A248A">
              <w:rPr>
                <w:sz w:val="22"/>
                <w:szCs w:val="22"/>
                <w:vertAlign w:val="superscript"/>
                <w14:ligatures w14:val="standardContextual"/>
              </w:rPr>
              <w:t>®</w:t>
            </w:r>
            <w:r w:rsidRPr="00F10AB4">
              <w:rPr>
                <w:sz w:val="22"/>
                <w:szCs w:val="22"/>
                <w14:ligatures w14:val="standardContextual"/>
              </w:rPr>
              <w:t>成为</w:t>
            </w:r>
            <w:r w:rsidRPr="00F10AB4">
              <w:rPr>
                <w:rFonts w:hint="eastAsia"/>
                <w:sz w:val="22"/>
                <w:szCs w:val="22"/>
                <w14:ligatures w14:val="standardContextual"/>
              </w:rPr>
              <w:t>首选</w:t>
            </w:r>
            <w:r w:rsidRPr="00F10AB4">
              <w:rPr>
                <w:sz w:val="22"/>
                <w:szCs w:val="22"/>
                <w14:ligatures w14:val="standardContextual"/>
              </w:rPr>
              <w:t>治疗方案也就顺理成章了。</w:t>
            </w:r>
          </w:p>
          <w:p w14:paraId="44AAEF58"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Q</w:t>
            </w:r>
            <w:r w:rsidRPr="00F10AB4">
              <w:rPr>
                <w:rFonts w:hint="eastAsia"/>
                <w:sz w:val="22"/>
                <w:szCs w:val="22"/>
                <w14:ligatures w14:val="standardContextual"/>
              </w:rPr>
              <w:t>：</w:t>
            </w:r>
            <w:r w:rsidRPr="005A248A">
              <w:rPr>
                <w:rFonts w:hint="eastAsia"/>
                <w:sz w:val="22"/>
                <w:szCs w:val="22"/>
              </w:rPr>
              <w:t>关于</w:t>
            </w:r>
            <w:r w:rsidRPr="005A248A">
              <w:rPr>
                <w:sz w:val="22"/>
                <w:szCs w:val="22"/>
              </w:rPr>
              <w:t>CELESTIAL-301</w:t>
            </w:r>
            <w:r w:rsidRPr="005A248A">
              <w:rPr>
                <w:rFonts w:hint="eastAsia"/>
                <w:sz w:val="22"/>
                <w:szCs w:val="22"/>
              </w:rPr>
              <w:t>试验，公司能否提供两组治疗方案的风险比数据</w:t>
            </w:r>
            <w:r w:rsidRPr="00F10AB4">
              <w:rPr>
                <w:rFonts w:hint="eastAsia"/>
                <w:sz w:val="22"/>
                <w:szCs w:val="22"/>
                <w14:ligatures w14:val="standardContextual"/>
              </w:rPr>
              <w:t>？</w:t>
            </w:r>
          </w:p>
          <w:p w14:paraId="6CACD3D0" w14:textId="0674D469"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A</w:t>
            </w:r>
            <w:r w:rsidRPr="00F10AB4">
              <w:rPr>
                <w:rFonts w:hint="eastAsia"/>
                <w:sz w:val="22"/>
                <w:szCs w:val="22"/>
                <w14:ligatures w14:val="standardContextual"/>
              </w:rPr>
              <w:t>：</w:t>
            </w:r>
            <w:r w:rsidRPr="005A248A">
              <w:rPr>
                <w:rFonts w:hint="eastAsia"/>
                <w:sz w:val="22"/>
                <w:szCs w:val="22"/>
              </w:rPr>
              <w:t>此次</w:t>
            </w:r>
            <w:r w:rsidRPr="00F10AB4">
              <w:rPr>
                <w:sz w:val="22"/>
                <w:szCs w:val="22"/>
                <w14:ligatures w14:val="standardContextual"/>
              </w:rPr>
              <w:t>CELESTIAL</w:t>
            </w:r>
            <w:r w:rsidRPr="005A248A">
              <w:rPr>
                <w:sz w:val="22"/>
                <w:szCs w:val="22"/>
              </w:rPr>
              <w:t>-301</w:t>
            </w:r>
            <w:r w:rsidRPr="00F10AB4">
              <w:rPr>
                <w:sz w:val="22"/>
                <w:szCs w:val="22"/>
                <w14:ligatures w14:val="standardContextual"/>
              </w:rPr>
              <w:t>试验</w:t>
            </w:r>
            <w:r w:rsidRPr="005A248A">
              <w:rPr>
                <w:rFonts w:hint="eastAsia"/>
                <w:sz w:val="22"/>
                <w:szCs w:val="22"/>
              </w:rPr>
              <w:t>，独立数据监查委员会对</w:t>
            </w:r>
            <w:r w:rsidRPr="005A248A">
              <w:rPr>
                <w:sz w:val="22"/>
                <w:szCs w:val="22"/>
              </w:rPr>
              <w:t>uMRD</w:t>
            </w:r>
            <w:r w:rsidRPr="005A248A">
              <w:rPr>
                <w:rFonts w:hint="eastAsia"/>
                <w:sz w:val="22"/>
                <w:szCs w:val="22"/>
              </w:rPr>
              <w:t>数据进行了审查。目前</w:t>
            </w:r>
            <w:r w:rsidR="00E75964">
              <w:rPr>
                <w:rFonts w:hint="eastAsia"/>
                <w:sz w:val="22"/>
                <w:szCs w:val="22"/>
              </w:rPr>
              <w:t>公司</w:t>
            </w:r>
            <w:r w:rsidRPr="005A248A">
              <w:rPr>
                <w:rFonts w:hint="eastAsia"/>
                <w:sz w:val="22"/>
                <w:szCs w:val="22"/>
              </w:rPr>
              <w:t>仍处于盲态，因此我们没有风险比的具体细节。但话虽如此，我们对达到</w:t>
            </w:r>
            <w:r w:rsidRPr="005A248A">
              <w:rPr>
                <w:sz w:val="22"/>
                <w:szCs w:val="22"/>
              </w:rPr>
              <w:t>PFS</w:t>
            </w:r>
            <w:r w:rsidRPr="005A248A">
              <w:rPr>
                <w:rFonts w:hint="eastAsia"/>
                <w:sz w:val="22"/>
                <w:szCs w:val="22"/>
              </w:rPr>
              <w:t>这一主要监管终点，以及证明</w:t>
            </w:r>
            <w:r w:rsidRPr="005A248A">
              <w:rPr>
                <w:sz w:val="22"/>
                <w:szCs w:val="22"/>
              </w:rPr>
              <w:t>ZS</w:t>
            </w:r>
            <w:r w:rsidRPr="005A248A">
              <w:rPr>
                <w:rFonts w:hint="eastAsia"/>
                <w:sz w:val="22"/>
                <w:szCs w:val="22"/>
              </w:rPr>
              <w:t>优效于</w:t>
            </w:r>
            <w:r w:rsidRPr="005A248A">
              <w:rPr>
                <w:sz w:val="22"/>
                <w:szCs w:val="22"/>
              </w:rPr>
              <w:t>VO</w:t>
            </w:r>
            <w:r w:rsidRPr="005A248A">
              <w:rPr>
                <w:rFonts w:hint="eastAsia"/>
                <w:sz w:val="22"/>
                <w:szCs w:val="22"/>
              </w:rPr>
              <w:t>的能力，依然充满信心。</w:t>
            </w:r>
          </w:p>
          <w:p w14:paraId="3D46D264" w14:textId="77777777" w:rsidR="009A3FF6" w:rsidRPr="005A248A" w:rsidRDefault="009A3FF6" w:rsidP="008429E6">
            <w:pPr>
              <w:overflowPunct w:val="0"/>
              <w:autoSpaceDE w:val="0"/>
              <w:autoSpaceDN w:val="0"/>
              <w:spacing w:line="360" w:lineRule="auto"/>
              <w:ind w:firstLineChars="200" w:firstLine="440"/>
              <w:rPr>
                <w:sz w:val="22"/>
                <w:szCs w:val="22"/>
              </w:rPr>
            </w:pPr>
            <w:r w:rsidRPr="00F10AB4">
              <w:rPr>
                <w:rFonts w:hint="eastAsia"/>
                <w:sz w:val="22"/>
                <w:szCs w:val="22"/>
                <w14:ligatures w14:val="standardContextual"/>
              </w:rPr>
              <w:t>Q</w:t>
            </w:r>
            <w:r w:rsidRPr="00F10AB4">
              <w:rPr>
                <w:rFonts w:hint="eastAsia"/>
                <w:sz w:val="22"/>
                <w:szCs w:val="22"/>
                <w14:ligatures w14:val="standardContextual"/>
              </w:rPr>
              <w:t>：</w:t>
            </w:r>
            <w:r w:rsidRPr="005A248A">
              <w:rPr>
                <w:rFonts w:hint="eastAsia"/>
                <w:sz w:val="22"/>
                <w:szCs w:val="22"/>
              </w:rPr>
              <w:t>请公司分享医生对</w:t>
            </w:r>
            <w:r w:rsidRPr="005A248A">
              <w:rPr>
                <w:sz w:val="22"/>
                <w:szCs w:val="22"/>
              </w:rPr>
              <w:t>MANGROVE</w:t>
            </w:r>
            <w:r w:rsidRPr="005A248A">
              <w:rPr>
                <w:rFonts w:hint="eastAsia"/>
                <w:sz w:val="22"/>
                <w:szCs w:val="22"/>
              </w:rPr>
              <w:t>试验设计以及已披露结果的初步反馈，与已获批的</w:t>
            </w:r>
            <w:r w:rsidRPr="005A248A">
              <w:rPr>
                <w:sz w:val="22"/>
                <w:szCs w:val="22"/>
              </w:rPr>
              <w:t>ECHO</w:t>
            </w:r>
            <w:r w:rsidRPr="005A248A">
              <w:rPr>
                <w:rFonts w:hint="eastAsia"/>
                <w:sz w:val="22"/>
                <w:szCs w:val="22"/>
              </w:rPr>
              <w:t>试验方案相比，医生是如何解读的？</w:t>
            </w:r>
          </w:p>
          <w:p w14:paraId="61021BAB"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A</w:t>
            </w:r>
            <w:r w:rsidRPr="00F10AB4">
              <w:rPr>
                <w:rFonts w:hint="eastAsia"/>
                <w:sz w:val="22"/>
                <w:szCs w:val="22"/>
                <w14:ligatures w14:val="standardContextual"/>
              </w:rPr>
              <w:t>：</w:t>
            </w:r>
            <w:r w:rsidRPr="00F10AB4">
              <w:rPr>
                <w:sz w:val="22"/>
                <w:szCs w:val="22"/>
                <w14:ligatures w14:val="standardContextual"/>
              </w:rPr>
              <w:t>实际上，我们对</w:t>
            </w:r>
            <w:r w:rsidRPr="00F10AB4">
              <w:rPr>
                <w:sz w:val="22"/>
                <w:szCs w:val="22"/>
                <w14:ligatures w14:val="standardContextual"/>
              </w:rPr>
              <w:t>MANGROVE</w:t>
            </w:r>
            <w:r w:rsidRPr="00F10AB4">
              <w:rPr>
                <w:sz w:val="22"/>
                <w:szCs w:val="22"/>
                <w14:ligatures w14:val="standardContextual"/>
              </w:rPr>
              <w:t>的研究结果感到非常兴奋。</w:t>
            </w:r>
            <w:r w:rsidRPr="00F10AB4">
              <w:rPr>
                <w:sz w:val="22"/>
                <w:szCs w:val="22"/>
                <w14:ligatures w14:val="standardContextual"/>
              </w:rPr>
              <w:t>MANGROVE</w:t>
            </w:r>
            <w:r w:rsidRPr="00F10AB4">
              <w:rPr>
                <w:sz w:val="22"/>
                <w:szCs w:val="22"/>
                <w14:ligatures w14:val="standardContextual"/>
              </w:rPr>
              <w:t>研究再次完美地证明了，百悦泽</w:t>
            </w:r>
            <w:r w:rsidRPr="005A248A">
              <w:rPr>
                <w:sz w:val="22"/>
                <w:szCs w:val="22"/>
                <w:vertAlign w:val="superscript"/>
                <w14:ligatures w14:val="standardContextual"/>
              </w:rPr>
              <w:t>®</w:t>
            </w:r>
            <w:r w:rsidRPr="00F10AB4">
              <w:rPr>
                <w:sz w:val="22"/>
                <w:szCs w:val="22"/>
                <w14:ligatures w14:val="standardContextual"/>
              </w:rPr>
              <w:t>差异化的产品特性如何为患者带来真正的显著获益。从研究设计的角度来看，与其他一些研究相比，</w:t>
            </w:r>
            <w:r w:rsidRPr="00F10AB4">
              <w:rPr>
                <w:sz w:val="22"/>
                <w:szCs w:val="22"/>
                <w14:ligatures w14:val="standardContextual"/>
              </w:rPr>
              <w:t>MANGROVE</w:t>
            </w:r>
            <w:r w:rsidRPr="00F10AB4">
              <w:rPr>
                <w:sz w:val="22"/>
                <w:szCs w:val="22"/>
                <w14:ligatures w14:val="standardContextual"/>
              </w:rPr>
              <w:t>研究的一个重要区别在于：它旨在一线套细胞淋巴瘤治疗中验证一种无化疗方案，并首次证明该方案确实优于标准治疗化疗方案。其他</w:t>
            </w:r>
            <w:r w:rsidRPr="00F10AB4">
              <w:rPr>
                <w:sz w:val="22"/>
                <w:szCs w:val="22"/>
                <w14:ligatures w14:val="standardContextual"/>
              </w:rPr>
              <w:t>BTK</w:t>
            </w:r>
            <w:r w:rsidRPr="00F10AB4">
              <w:rPr>
                <w:sz w:val="22"/>
                <w:szCs w:val="22"/>
                <w14:ligatures w14:val="standardContextual"/>
              </w:rPr>
              <w:t>抑制剂</w:t>
            </w:r>
            <w:r>
              <w:rPr>
                <w:rFonts w:hint="eastAsia"/>
                <w:sz w:val="22"/>
                <w:szCs w:val="22"/>
                <w14:ligatures w14:val="standardContextual"/>
              </w:rPr>
              <w:t>类似研究</w:t>
            </w:r>
            <w:r w:rsidRPr="00F10AB4">
              <w:rPr>
                <w:sz w:val="22"/>
                <w:szCs w:val="22"/>
                <w14:ligatures w14:val="standardContextual"/>
              </w:rPr>
              <w:t>（例如</w:t>
            </w:r>
            <w:r w:rsidRPr="00F10AB4">
              <w:rPr>
                <w:sz w:val="22"/>
                <w:szCs w:val="22"/>
                <w14:ligatures w14:val="standardContextual"/>
              </w:rPr>
              <w:t>ECHO</w:t>
            </w:r>
            <w:r w:rsidRPr="00F10AB4">
              <w:rPr>
                <w:sz w:val="22"/>
                <w:szCs w:val="22"/>
                <w14:ligatures w14:val="standardContextual"/>
              </w:rPr>
              <w:t>方案）实际上是将</w:t>
            </w:r>
            <w:r w:rsidRPr="00F10AB4">
              <w:rPr>
                <w:sz w:val="22"/>
                <w:szCs w:val="22"/>
                <w14:ligatures w14:val="standardContextual"/>
              </w:rPr>
              <w:t>BTK</w:t>
            </w:r>
            <w:r w:rsidRPr="00F10AB4">
              <w:rPr>
                <w:sz w:val="22"/>
                <w:szCs w:val="22"/>
                <w14:ligatures w14:val="standardContextual"/>
              </w:rPr>
              <w:t>抑制剂添加到了化疗方案中。因此，它们更多是</w:t>
            </w:r>
            <w:r w:rsidRPr="00F10AB4">
              <w:rPr>
                <w:sz w:val="22"/>
                <w:szCs w:val="22"/>
                <w14:ligatures w14:val="standardContextual"/>
              </w:rPr>
              <w:t>“</w:t>
            </w:r>
            <w:r w:rsidRPr="00F10AB4">
              <w:rPr>
                <w:sz w:val="22"/>
                <w:szCs w:val="22"/>
                <w14:ligatures w14:val="standardContextual"/>
              </w:rPr>
              <w:t>附加</w:t>
            </w:r>
            <w:r w:rsidRPr="00F10AB4">
              <w:rPr>
                <w:sz w:val="22"/>
                <w:szCs w:val="22"/>
                <w14:ligatures w14:val="standardContextual"/>
              </w:rPr>
              <w:t>”</w:t>
            </w:r>
            <w:r w:rsidRPr="00F10AB4">
              <w:rPr>
                <w:sz w:val="22"/>
                <w:szCs w:val="22"/>
                <w14:ligatures w14:val="standardContextual"/>
              </w:rPr>
              <w:t>设计，而非</w:t>
            </w:r>
            <w:r w:rsidRPr="00F10AB4">
              <w:rPr>
                <w:sz w:val="22"/>
                <w:szCs w:val="22"/>
                <w14:ligatures w14:val="standardContextual"/>
              </w:rPr>
              <w:t>“</w:t>
            </w:r>
            <w:r w:rsidRPr="00F10AB4">
              <w:rPr>
                <w:sz w:val="22"/>
                <w:szCs w:val="22"/>
                <w14:ligatures w14:val="standardContextual"/>
              </w:rPr>
              <w:t>替代</w:t>
            </w:r>
            <w:r w:rsidRPr="00F10AB4">
              <w:rPr>
                <w:sz w:val="22"/>
                <w:szCs w:val="22"/>
                <w14:ligatures w14:val="standardContextual"/>
              </w:rPr>
              <w:t>”</w:t>
            </w:r>
            <w:r w:rsidRPr="00F10AB4">
              <w:rPr>
                <w:sz w:val="22"/>
                <w:szCs w:val="22"/>
                <w14:ligatures w14:val="standardContextual"/>
              </w:rPr>
              <w:t>设计。而</w:t>
            </w:r>
            <w:r w:rsidRPr="00F10AB4">
              <w:rPr>
                <w:sz w:val="22"/>
                <w:szCs w:val="22"/>
                <w14:ligatures w14:val="standardContextual"/>
              </w:rPr>
              <w:t>MANGROVE</w:t>
            </w:r>
            <w:r w:rsidRPr="00F10AB4">
              <w:rPr>
                <w:sz w:val="22"/>
                <w:szCs w:val="22"/>
                <w14:ligatures w14:val="standardContextual"/>
              </w:rPr>
              <w:t>研究首次证明，无化疗的</w:t>
            </w:r>
            <w:r w:rsidRPr="00F10AB4">
              <w:rPr>
                <w:sz w:val="22"/>
                <w:szCs w:val="22"/>
                <w14:ligatures w14:val="standardContextual"/>
              </w:rPr>
              <w:t>ZR</w:t>
            </w:r>
            <w:r w:rsidRPr="00F10AB4">
              <w:rPr>
                <w:sz w:val="22"/>
                <w:szCs w:val="22"/>
                <w14:ligatures w14:val="standardContextual"/>
              </w:rPr>
              <w:t>方案优效于</w:t>
            </w:r>
            <w:r w:rsidRPr="00F10AB4">
              <w:rPr>
                <w:sz w:val="22"/>
                <w:szCs w:val="22"/>
                <w14:ligatures w14:val="standardContextual"/>
              </w:rPr>
              <w:t>BR</w:t>
            </w:r>
            <w:r w:rsidRPr="00F10AB4">
              <w:rPr>
                <w:sz w:val="22"/>
                <w:szCs w:val="22"/>
                <w14:ligatures w14:val="standardContextual"/>
              </w:rPr>
              <w:t>方案，风险比为</w:t>
            </w:r>
            <w:r w:rsidRPr="00F10AB4">
              <w:rPr>
                <w:sz w:val="22"/>
                <w:szCs w:val="22"/>
                <w14:ligatures w14:val="standardContextual"/>
              </w:rPr>
              <w:t>0.57</w:t>
            </w:r>
            <w:r w:rsidRPr="00F10AB4">
              <w:rPr>
                <w:sz w:val="22"/>
                <w:szCs w:val="22"/>
                <w14:ligatures w14:val="standardContextual"/>
              </w:rPr>
              <w:t>，有利于</w:t>
            </w:r>
            <w:r w:rsidRPr="00F10AB4">
              <w:rPr>
                <w:sz w:val="22"/>
                <w:szCs w:val="22"/>
                <w14:ligatures w14:val="standardContextual"/>
              </w:rPr>
              <w:t>ZR</w:t>
            </w:r>
            <w:r w:rsidRPr="00F10AB4">
              <w:rPr>
                <w:sz w:val="22"/>
                <w:szCs w:val="22"/>
                <w14:ligatures w14:val="standardContextual"/>
              </w:rPr>
              <w:t>组。就无化疗方案而言，这些结果</w:t>
            </w:r>
            <w:r w:rsidRPr="00F10AB4">
              <w:rPr>
                <w:rFonts w:hint="eastAsia"/>
                <w:sz w:val="22"/>
                <w:szCs w:val="22"/>
                <w14:ligatures w14:val="standardContextual"/>
              </w:rPr>
              <w:t>是优异的</w:t>
            </w:r>
            <w:r w:rsidRPr="00F10AB4">
              <w:rPr>
                <w:sz w:val="22"/>
                <w:szCs w:val="22"/>
                <w14:ligatures w14:val="standardContextual"/>
              </w:rPr>
              <w:t>。我们之前提到过，总生存期数据目前尚不成熟，但我相信，当这些数据最</w:t>
            </w:r>
            <w:r w:rsidRPr="00F10AB4">
              <w:rPr>
                <w:sz w:val="22"/>
                <w:szCs w:val="22"/>
                <w14:ligatures w14:val="standardContextual"/>
              </w:rPr>
              <w:lastRenderedPageBreak/>
              <w:t>终揭晓时，将会呈现出极具说服力的结果。当我们与医生、</w:t>
            </w:r>
            <w:r w:rsidRPr="00F10AB4">
              <w:rPr>
                <w:sz w:val="22"/>
                <w:szCs w:val="22"/>
                <w14:ligatures w14:val="standardContextual"/>
              </w:rPr>
              <w:t>KOL</w:t>
            </w:r>
            <w:r w:rsidRPr="00F10AB4">
              <w:rPr>
                <w:sz w:val="22"/>
                <w:szCs w:val="22"/>
                <w14:ligatures w14:val="standardContextual"/>
              </w:rPr>
              <w:t>（关键意见领袖）以及</w:t>
            </w:r>
            <w:r w:rsidRPr="00F10AB4">
              <w:rPr>
                <w:sz w:val="22"/>
                <w:szCs w:val="22"/>
                <w14:ligatures w14:val="standardContextual"/>
              </w:rPr>
              <w:t>MCL</w:t>
            </w:r>
            <w:r w:rsidRPr="00F10AB4">
              <w:rPr>
                <w:sz w:val="22"/>
                <w:szCs w:val="22"/>
                <w14:ligatures w14:val="standardContextual"/>
              </w:rPr>
              <w:t>领域的专家分享这些结果时，他们对这些数据表现出了极大的热情。我认为，他们非常清楚这些数据会产生怎样的影响：无化疗方案能让患者避免化疗带来的一些毒副作用，并免去利妥昔单抗的静脉输注治疗。事实上，大家对于了解这种</w:t>
            </w:r>
            <w:r w:rsidRPr="00F10AB4">
              <w:rPr>
                <w:rFonts w:hint="eastAsia"/>
                <w:sz w:val="22"/>
                <w:szCs w:val="22"/>
                <w14:ligatures w14:val="standardContextual"/>
              </w:rPr>
              <w:t>“</w:t>
            </w:r>
            <w:r w:rsidRPr="00F10AB4">
              <w:rPr>
                <w:sz w:val="22"/>
                <w:szCs w:val="22"/>
                <w14:ligatures w14:val="standardContextual"/>
              </w:rPr>
              <w:t>无利妥昔单抗维持治疗</w:t>
            </w:r>
            <w:r w:rsidRPr="00F10AB4">
              <w:rPr>
                <w:rFonts w:hint="eastAsia"/>
                <w:sz w:val="22"/>
                <w:szCs w:val="22"/>
                <w14:ligatures w14:val="standardContextual"/>
              </w:rPr>
              <w:t>”</w:t>
            </w:r>
            <w:r w:rsidRPr="00F10AB4">
              <w:rPr>
                <w:sz w:val="22"/>
                <w:szCs w:val="22"/>
                <w14:ligatures w14:val="standardContextual"/>
              </w:rPr>
              <w:t>方案的实际疗效，有着极高的关注度。总而言之，到目前为止，我们从</w:t>
            </w:r>
            <w:r w:rsidRPr="00F10AB4">
              <w:rPr>
                <w:sz w:val="22"/>
                <w:szCs w:val="22"/>
                <w14:ligatures w14:val="standardContextual"/>
              </w:rPr>
              <w:t>MCL</w:t>
            </w:r>
            <w:r w:rsidRPr="00F10AB4">
              <w:rPr>
                <w:sz w:val="22"/>
                <w:szCs w:val="22"/>
                <w14:ligatures w14:val="standardContextual"/>
              </w:rPr>
              <w:t>治疗领域获得了非常积极的反馈。</w:t>
            </w:r>
          </w:p>
          <w:p w14:paraId="28EC6B0E" w14:textId="77777777" w:rsidR="009A3FF6" w:rsidRPr="005A248A" w:rsidRDefault="009A3FF6" w:rsidP="008429E6">
            <w:pPr>
              <w:overflowPunct w:val="0"/>
              <w:autoSpaceDE w:val="0"/>
              <w:autoSpaceDN w:val="0"/>
              <w:spacing w:line="360" w:lineRule="auto"/>
              <w:ind w:firstLineChars="200" w:firstLine="440"/>
              <w:rPr>
                <w:sz w:val="22"/>
                <w:szCs w:val="22"/>
              </w:rPr>
            </w:pPr>
            <w:r w:rsidRPr="00F10AB4">
              <w:rPr>
                <w:rFonts w:hint="eastAsia"/>
                <w:sz w:val="22"/>
                <w:szCs w:val="22"/>
                <w14:ligatures w14:val="standardContextual"/>
              </w:rPr>
              <w:t>Q</w:t>
            </w:r>
            <w:r w:rsidRPr="00F10AB4">
              <w:rPr>
                <w:rFonts w:hint="eastAsia"/>
                <w:sz w:val="22"/>
                <w:szCs w:val="22"/>
                <w14:ligatures w14:val="standardContextual"/>
              </w:rPr>
              <w:t>：</w:t>
            </w:r>
            <w:r w:rsidRPr="005A248A">
              <w:rPr>
                <w:rFonts w:hint="eastAsia"/>
                <w:sz w:val="22"/>
                <w:szCs w:val="22"/>
              </w:rPr>
              <w:t>请问公司</w:t>
            </w:r>
            <w:r w:rsidRPr="005A248A">
              <w:rPr>
                <w:sz w:val="22"/>
                <w:szCs w:val="22"/>
              </w:rPr>
              <w:t>tacabrutideg</w:t>
            </w:r>
            <w:r w:rsidRPr="005A248A">
              <w:rPr>
                <w:rFonts w:hint="eastAsia"/>
                <w:sz w:val="22"/>
                <w:szCs w:val="22"/>
              </w:rPr>
              <w:t>（</w:t>
            </w:r>
            <w:r w:rsidRPr="005A248A">
              <w:rPr>
                <w:sz w:val="22"/>
                <w:szCs w:val="22"/>
              </w:rPr>
              <w:t>BTK CDAC</w:t>
            </w:r>
            <w:r w:rsidRPr="005A248A">
              <w:rPr>
                <w:rFonts w:hint="eastAsia"/>
                <w:sz w:val="22"/>
                <w:szCs w:val="22"/>
              </w:rPr>
              <w:t>）的研发进展，以及公司如何看待</w:t>
            </w:r>
            <w:r w:rsidRPr="005A248A">
              <w:rPr>
                <w:sz w:val="22"/>
                <w:szCs w:val="22"/>
              </w:rPr>
              <w:t>tacabrutideg</w:t>
            </w:r>
            <w:r w:rsidRPr="005A248A">
              <w:rPr>
                <w:rFonts w:hint="eastAsia"/>
                <w:sz w:val="22"/>
                <w:szCs w:val="22"/>
              </w:rPr>
              <w:t>相较于其他</w:t>
            </w:r>
            <w:r w:rsidRPr="005A248A">
              <w:rPr>
                <w:sz w:val="22"/>
                <w:szCs w:val="22"/>
              </w:rPr>
              <w:t>BTK</w:t>
            </w:r>
            <w:r w:rsidRPr="005A248A">
              <w:rPr>
                <w:rFonts w:hint="eastAsia"/>
                <w:sz w:val="22"/>
                <w:szCs w:val="22"/>
              </w:rPr>
              <w:t>降解剂的差异化优势？</w:t>
            </w:r>
          </w:p>
          <w:p w14:paraId="10D3BC33"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A</w:t>
            </w:r>
            <w:r w:rsidRPr="00F10AB4">
              <w:rPr>
                <w:rFonts w:hint="eastAsia"/>
                <w:sz w:val="22"/>
                <w:szCs w:val="22"/>
                <w14:ligatures w14:val="standardContextual"/>
              </w:rPr>
              <w:t>：</w:t>
            </w:r>
            <w:r w:rsidRPr="00F10AB4">
              <w:rPr>
                <w:sz w:val="22"/>
                <w:szCs w:val="22"/>
                <w14:ligatures w14:val="standardContextual"/>
              </w:rPr>
              <w:t>目前</w:t>
            </w:r>
            <w:r w:rsidRPr="00F10AB4">
              <w:rPr>
                <w:rFonts w:hint="eastAsia"/>
                <w:sz w:val="22"/>
                <w:szCs w:val="22"/>
                <w14:ligatures w14:val="standardContextual"/>
              </w:rPr>
              <w:t>该</w:t>
            </w:r>
            <w:r w:rsidRPr="00F10AB4">
              <w:rPr>
                <w:sz w:val="22"/>
                <w:szCs w:val="22"/>
                <w14:ligatures w14:val="standardContextual"/>
              </w:rPr>
              <w:t>项目进展一切顺利，</w:t>
            </w:r>
            <w:r>
              <w:rPr>
                <w:rFonts w:hint="eastAsia"/>
                <w:sz w:val="22"/>
                <w:szCs w:val="22"/>
                <w14:ligatures w14:val="standardContextual"/>
              </w:rPr>
              <w:t>如</w:t>
            </w:r>
            <w:r w:rsidRPr="00F10AB4">
              <w:rPr>
                <w:sz w:val="22"/>
                <w:szCs w:val="22"/>
                <w14:ligatures w14:val="standardContextual"/>
              </w:rPr>
              <w:t>数据支持</w:t>
            </w:r>
            <w:r>
              <w:rPr>
                <w:rFonts w:hint="eastAsia"/>
                <w:sz w:val="22"/>
                <w:szCs w:val="22"/>
                <w14:ligatures w14:val="standardContextual"/>
              </w:rPr>
              <w:t>，</w:t>
            </w:r>
            <w:r w:rsidRPr="00F10AB4">
              <w:rPr>
                <w:sz w:val="22"/>
                <w:szCs w:val="22"/>
                <w14:ligatures w14:val="standardContextual"/>
              </w:rPr>
              <w:t>我们期待在今年第四季度递交加速批准上市许可申请。美国</w:t>
            </w:r>
            <w:r w:rsidRPr="00F10AB4">
              <w:rPr>
                <w:sz w:val="22"/>
                <w:szCs w:val="22"/>
                <w14:ligatures w14:val="standardContextual"/>
              </w:rPr>
              <w:t>FDA</w:t>
            </w:r>
            <w:r w:rsidRPr="00F10AB4">
              <w:rPr>
                <w:sz w:val="22"/>
                <w:szCs w:val="22"/>
                <w14:ligatures w14:val="standardContextual"/>
              </w:rPr>
              <w:t>此前已授予</w:t>
            </w:r>
            <w:r w:rsidRPr="00F10AB4">
              <w:rPr>
                <w:sz w:val="22"/>
                <w:szCs w:val="22"/>
                <w14:ligatures w14:val="standardContextual"/>
              </w:rPr>
              <w:t>tacabrutideg</w:t>
            </w:r>
            <w:r w:rsidRPr="00F10AB4">
              <w:rPr>
                <w:sz w:val="22"/>
                <w:szCs w:val="22"/>
                <w14:ligatures w14:val="standardContextual"/>
              </w:rPr>
              <w:t>快速通道资格认定，用于治疗既往接受过至少两线治疗（包括</w:t>
            </w:r>
            <w:r w:rsidRPr="00F10AB4">
              <w:rPr>
                <w:sz w:val="22"/>
                <w:szCs w:val="22"/>
                <w14:ligatures w14:val="standardContextual"/>
              </w:rPr>
              <w:t>BTK</w:t>
            </w:r>
            <w:r w:rsidRPr="00F10AB4">
              <w:rPr>
                <w:sz w:val="22"/>
                <w:szCs w:val="22"/>
                <w14:ligatures w14:val="standardContextual"/>
              </w:rPr>
              <w:t>抑制剂和</w:t>
            </w:r>
            <w:r w:rsidRPr="00F10AB4">
              <w:rPr>
                <w:sz w:val="22"/>
                <w:szCs w:val="22"/>
                <w14:ligatures w14:val="standardContextual"/>
              </w:rPr>
              <w:t>BCL2</w:t>
            </w:r>
            <w:r w:rsidRPr="00F10AB4">
              <w:rPr>
                <w:sz w:val="22"/>
                <w:szCs w:val="22"/>
                <w14:ligatures w14:val="standardContextual"/>
              </w:rPr>
              <w:t>抑制剂）的复发</w:t>
            </w:r>
            <w:r w:rsidRPr="00F10AB4">
              <w:rPr>
                <w:sz w:val="22"/>
                <w:szCs w:val="22"/>
                <w14:ligatures w14:val="standardContextual"/>
              </w:rPr>
              <w:t>/</w:t>
            </w:r>
            <w:r w:rsidRPr="00F10AB4">
              <w:rPr>
                <w:sz w:val="22"/>
                <w:szCs w:val="22"/>
                <w14:ligatures w14:val="standardContextual"/>
              </w:rPr>
              <w:t>难治性</w:t>
            </w:r>
            <w:r w:rsidRPr="00F10AB4">
              <w:rPr>
                <w:sz w:val="22"/>
                <w:szCs w:val="22"/>
                <w14:ligatures w14:val="standardContextual"/>
              </w:rPr>
              <w:t>CLL</w:t>
            </w:r>
            <w:r w:rsidRPr="00F10AB4">
              <w:rPr>
                <w:sz w:val="22"/>
                <w:szCs w:val="22"/>
                <w14:ligatures w14:val="standardContextual"/>
              </w:rPr>
              <w:t>成年患者。从我们目前在不同患者群体中观察到的</w:t>
            </w:r>
            <w:r w:rsidRPr="00F10AB4">
              <w:rPr>
                <w:sz w:val="22"/>
                <w:szCs w:val="22"/>
                <w14:ligatures w14:val="standardContextual"/>
              </w:rPr>
              <w:t>1</w:t>
            </w:r>
            <w:r w:rsidRPr="00F10AB4">
              <w:rPr>
                <w:sz w:val="22"/>
                <w:szCs w:val="22"/>
                <w14:ligatures w14:val="standardContextual"/>
              </w:rPr>
              <w:t>期数据来看，无论是缓解率还是缓解的持久性都非常令人振奋。我们认为，该药物展现出了极具竞争力的临床特征。参照以往的加速批准先例，我们认为该药物的特性完全契合加速批准的审评要求。除此之外，我们还有几项重要的</w:t>
            </w:r>
            <w:r w:rsidRPr="00F10AB4">
              <w:rPr>
                <w:sz w:val="22"/>
                <w:szCs w:val="22"/>
                <w14:ligatures w14:val="standardContextual"/>
              </w:rPr>
              <w:t>3</w:t>
            </w:r>
            <w:r w:rsidRPr="00F10AB4">
              <w:rPr>
                <w:sz w:val="22"/>
                <w:szCs w:val="22"/>
                <w14:ligatures w14:val="standardContextual"/>
              </w:rPr>
              <w:t>期研究正在顺利推进。特别值得一提的是，我们正在开展</w:t>
            </w:r>
            <w:r w:rsidRPr="00F10AB4">
              <w:rPr>
                <w:sz w:val="22"/>
                <w:szCs w:val="22"/>
                <w14:ligatures w14:val="standardContextual"/>
              </w:rPr>
              <w:t>tacabrutideg</w:t>
            </w:r>
            <w:r w:rsidRPr="00F10AB4">
              <w:rPr>
                <w:sz w:val="22"/>
                <w:szCs w:val="22"/>
                <w14:ligatures w14:val="standardContextual"/>
              </w:rPr>
              <w:t>与非共价</w:t>
            </w:r>
            <w:r w:rsidRPr="00F10AB4">
              <w:rPr>
                <w:sz w:val="22"/>
                <w:szCs w:val="22"/>
                <w14:ligatures w14:val="standardContextual"/>
              </w:rPr>
              <w:t>BTK</w:t>
            </w:r>
            <w:r w:rsidRPr="00F10AB4">
              <w:rPr>
                <w:sz w:val="22"/>
                <w:szCs w:val="22"/>
                <w14:ligatures w14:val="standardContextual"/>
              </w:rPr>
              <w:t>抑制剂匹妥布替尼的头对头研究。这项研究的入组情况非常好，我们也非常期待在数据公布时与大家分享结果。此外，正如我之前提到的，我们还计划于明年初启动一项</w:t>
            </w:r>
            <w:r w:rsidRPr="00F10AB4">
              <w:rPr>
                <w:sz w:val="22"/>
                <w:szCs w:val="22"/>
                <w14:ligatures w14:val="standardContextual"/>
              </w:rPr>
              <w:t>tacabrutideg</w:t>
            </w:r>
            <w:r w:rsidRPr="00F10AB4">
              <w:rPr>
                <w:sz w:val="22"/>
                <w:szCs w:val="22"/>
                <w14:ligatures w14:val="standardContextual"/>
              </w:rPr>
              <w:t>联合索托克拉治疗复发</w:t>
            </w:r>
            <w:r w:rsidRPr="00F10AB4">
              <w:rPr>
                <w:sz w:val="22"/>
                <w:szCs w:val="22"/>
                <w14:ligatures w14:val="standardContextual"/>
              </w:rPr>
              <w:t>/</w:t>
            </w:r>
            <w:r w:rsidRPr="00F10AB4">
              <w:rPr>
                <w:sz w:val="22"/>
                <w:szCs w:val="22"/>
                <w14:ligatures w14:val="standardContextual"/>
              </w:rPr>
              <w:t>难治性</w:t>
            </w:r>
            <w:r w:rsidRPr="00F10AB4">
              <w:rPr>
                <w:sz w:val="22"/>
                <w:szCs w:val="22"/>
                <w14:ligatures w14:val="standardContextual"/>
              </w:rPr>
              <w:t>CLL</w:t>
            </w:r>
            <w:r w:rsidRPr="00F10AB4">
              <w:rPr>
                <w:sz w:val="22"/>
                <w:szCs w:val="22"/>
                <w14:ligatures w14:val="standardContextual"/>
              </w:rPr>
              <w:t>的研究。</w:t>
            </w:r>
            <w:r w:rsidRPr="005A248A">
              <w:rPr>
                <w:rFonts w:hint="eastAsia"/>
                <w:sz w:val="22"/>
                <w:szCs w:val="22"/>
              </w:rPr>
              <w:t>总体而言，我认为这确实反映了我们对该项目日益增长的信心，以及我们具备实现这一产品组合定位的能力，</w:t>
            </w:r>
            <w:r>
              <w:rPr>
                <w:rFonts w:hint="eastAsia"/>
                <w:sz w:val="22"/>
                <w:szCs w:val="22"/>
              </w:rPr>
              <w:t>凭借</w:t>
            </w:r>
            <w:r w:rsidRPr="005A3FD5">
              <w:rPr>
                <w:sz w:val="22"/>
                <w:szCs w:val="22"/>
              </w:rPr>
              <w:t>目前所展现出的特征</w:t>
            </w:r>
            <w:r w:rsidRPr="005A248A">
              <w:rPr>
                <w:sz w:val="22"/>
                <w:szCs w:val="22"/>
              </w:rPr>
              <w:t>tacabrutideg</w:t>
            </w:r>
            <w:r w:rsidRPr="005A248A">
              <w:rPr>
                <w:rFonts w:hint="eastAsia"/>
                <w:sz w:val="22"/>
                <w:szCs w:val="22"/>
              </w:rPr>
              <w:t>有望与我们其他产品组合</w:t>
            </w:r>
            <w:r>
              <w:rPr>
                <w:rFonts w:hint="eastAsia"/>
                <w:sz w:val="22"/>
                <w:szCs w:val="22"/>
              </w:rPr>
              <w:t>共同构成</w:t>
            </w:r>
            <w:r w:rsidRPr="005A248A">
              <w:rPr>
                <w:sz w:val="22"/>
                <w:szCs w:val="22"/>
              </w:rPr>
              <w:t>CLL</w:t>
            </w:r>
            <w:r>
              <w:rPr>
                <w:rFonts w:hint="eastAsia"/>
                <w:sz w:val="22"/>
                <w:szCs w:val="22"/>
              </w:rPr>
              <w:t>治疗</w:t>
            </w:r>
            <w:r w:rsidRPr="005A248A">
              <w:rPr>
                <w:rFonts w:hint="eastAsia"/>
                <w:sz w:val="22"/>
                <w:szCs w:val="22"/>
              </w:rPr>
              <w:t>领域的基石性产品。</w:t>
            </w:r>
          </w:p>
          <w:p w14:paraId="25E7A847" w14:textId="77777777" w:rsidR="009A3FF6" w:rsidRPr="00D97877" w:rsidRDefault="009A3FF6" w:rsidP="008429E6">
            <w:pPr>
              <w:overflowPunct w:val="0"/>
              <w:autoSpaceDE w:val="0"/>
              <w:autoSpaceDN w:val="0"/>
              <w:spacing w:line="360" w:lineRule="auto"/>
              <w:ind w:firstLineChars="200" w:firstLine="440"/>
              <w:rPr>
                <w:sz w:val="22"/>
                <w:szCs w:val="22"/>
              </w:rPr>
            </w:pPr>
            <w:r w:rsidRPr="00F10AB4">
              <w:rPr>
                <w:rFonts w:hint="eastAsia"/>
                <w:sz w:val="22"/>
                <w:szCs w:val="22"/>
                <w14:ligatures w14:val="standardContextual"/>
              </w:rPr>
              <w:t>Q</w:t>
            </w:r>
            <w:r w:rsidRPr="00F10AB4">
              <w:rPr>
                <w:rFonts w:hint="eastAsia"/>
                <w:sz w:val="22"/>
                <w:szCs w:val="22"/>
                <w14:ligatures w14:val="standardContextual"/>
              </w:rPr>
              <w:t>：</w:t>
            </w:r>
            <w:r w:rsidRPr="00D97877">
              <w:rPr>
                <w:rFonts w:hint="eastAsia"/>
                <w:sz w:val="22"/>
                <w:szCs w:val="22"/>
              </w:rPr>
              <w:t>请问</w:t>
            </w:r>
            <w:r w:rsidRPr="00D97877">
              <w:rPr>
                <w:rFonts w:hint="eastAsia"/>
                <w:sz w:val="22"/>
                <w:szCs w:val="22"/>
              </w:rPr>
              <w:t>MANGROVE</w:t>
            </w:r>
            <w:r>
              <w:rPr>
                <w:rFonts w:hint="eastAsia"/>
                <w:sz w:val="22"/>
                <w:szCs w:val="22"/>
              </w:rPr>
              <w:t>研究</w:t>
            </w:r>
            <w:r w:rsidRPr="00D97877">
              <w:rPr>
                <w:rFonts w:hint="eastAsia"/>
                <w:sz w:val="22"/>
                <w:szCs w:val="22"/>
              </w:rPr>
              <w:t>数据预计何时披露？请公司介绍</w:t>
            </w:r>
            <w:r w:rsidRPr="00D97877">
              <w:rPr>
                <w:rFonts w:hint="eastAsia"/>
                <w:sz w:val="22"/>
                <w:szCs w:val="22"/>
              </w:rPr>
              <w:t>KAT6A/B</w:t>
            </w:r>
            <w:r w:rsidRPr="00D97877">
              <w:rPr>
                <w:rFonts w:hint="eastAsia"/>
                <w:sz w:val="22"/>
                <w:szCs w:val="22"/>
              </w:rPr>
              <w:t>抑制剂的分子设计以及差异化的安全性特性，未来是否有与</w:t>
            </w:r>
            <w:r w:rsidRPr="00D97877">
              <w:rPr>
                <w:rFonts w:hint="eastAsia"/>
                <w:sz w:val="22"/>
                <w:szCs w:val="22"/>
              </w:rPr>
              <w:t>CDK4</w:t>
            </w:r>
            <w:r w:rsidRPr="00D97877">
              <w:rPr>
                <w:rFonts w:hint="eastAsia"/>
                <w:sz w:val="22"/>
                <w:szCs w:val="22"/>
              </w:rPr>
              <w:t>抑制剂或其他管线资产联合开发的计划？</w:t>
            </w:r>
          </w:p>
          <w:p w14:paraId="432F64AA" w14:textId="232D7155" w:rsidR="009A3FF6" w:rsidRPr="005A248A" w:rsidRDefault="009A3FF6" w:rsidP="008429E6">
            <w:pPr>
              <w:overflowPunct w:val="0"/>
              <w:autoSpaceDE w:val="0"/>
              <w:autoSpaceDN w:val="0"/>
              <w:spacing w:line="360" w:lineRule="auto"/>
              <w:ind w:firstLineChars="200" w:firstLine="440"/>
              <w:rPr>
                <w:sz w:val="22"/>
                <w:szCs w:val="22"/>
              </w:rPr>
            </w:pPr>
            <w:r w:rsidRPr="00F10AB4">
              <w:rPr>
                <w:rFonts w:hint="eastAsia"/>
                <w:sz w:val="22"/>
                <w:szCs w:val="22"/>
                <w14:ligatures w14:val="standardContextual"/>
              </w:rPr>
              <w:t>A</w:t>
            </w:r>
            <w:r w:rsidRPr="00F10AB4">
              <w:rPr>
                <w:rFonts w:hint="eastAsia"/>
                <w:sz w:val="22"/>
                <w:szCs w:val="22"/>
                <w14:ligatures w14:val="standardContextual"/>
              </w:rPr>
              <w:t>：</w:t>
            </w:r>
            <w:r w:rsidRPr="00D97877">
              <w:rPr>
                <w:sz w:val="22"/>
                <w:szCs w:val="22"/>
              </w:rPr>
              <w:t>我们非常高兴能在即将召开的</w:t>
            </w:r>
            <w:r w:rsidR="00B64227">
              <w:rPr>
                <w:rFonts w:hint="eastAsia"/>
                <w:sz w:val="22"/>
                <w:szCs w:val="22"/>
              </w:rPr>
              <w:t>医学会议</w:t>
            </w:r>
            <w:r w:rsidRPr="00D97877">
              <w:rPr>
                <w:sz w:val="22"/>
                <w:szCs w:val="22"/>
              </w:rPr>
              <w:t>上展示</w:t>
            </w:r>
            <w:r w:rsidRPr="00D97877">
              <w:rPr>
                <w:sz w:val="22"/>
                <w:szCs w:val="22"/>
              </w:rPr>
              <w:t>MANGROVE</w:t>
            </w:r>
            <w:r>
              <w:rPr>
                <w:rFonts w:hint="eastAsia"/>
                <w:sz w:val="22"/>
                <w:szCs w:val="22"/>
              </w:rPr>
              <w:t>研究</w:t>
            </w:r>
            <w:r w:rsidRPr="00D97877">
              <w:rPr>
                <w:sz w:val="22"/>
                <w:szCs w:val="22"/>
              </w:rPr>
              <w:t>数</w:t>
            </w:r>
            <w:r w:rsidRPr="005A248A">
              <w:rPr>
                <w:rFonts w:hint="eastAsia"/>
                <w:sz w:val="22"/>
                <w:szCs w:val="22"/>
              </w:rPr>
              <w:t>据。</w:t>
            </w:r>
          </w:p>
          <w:p w14:paraId="0C35A26E" w14:textId="1750D099" w:rsidR="009A3FF6" w:rsidRPr="00656871" w:rsidRDefault="009A3FF6" w:rsidP="00656871">
            <w:pPr>
              <w:overflowPunct w:val="0"/>
              <w:autoSpaceDE w:val="0"/>
              <w:autoSpaceDN w:val="0"/>
              <w:spacing w:line="360" w:lineRule="auto"/>
              <w:ind w:firstLineChars="200" w:firstLine="440"/>
              <w:rPr>
                <w:sz w:val="22"/>
                <w:szCs w:val="22"/>
              </w:rPr>
            </w:pPr>
            <w:r w:rsidRPr="005A248A">
              <w:rPr>
                <w:rFonts w:hint="eastAsia"/>
                <w:sz w:val="22"/>
                <w:szCs w:val="22"/>
              </w:rPr>
              <w:lastRenderedPageBreak/>
              <w:t>就</w:t>
            </w:r>
            <w:r w:rsidRPr="005A248A">
              <w:rPr>
                <w:sz w:val="22"/>
                <w:szCs w:val="22"/>
              </w:rPr>
              <w:t>KAT6</w:t>
            </w:r>
            <w:r w:rsidRPr="005A248A">
              <w:rPr>
                <w:rFonts w:hint="eastAsia"/>
                <w:sz w:val="22"/>
                <w:szCs w:val="22"/>
              </w:rPr>
              <w:t>而言，该分子被设计为对</w:t>
            </w:r>
            <w:r w:rsidRPr="005A248A">
              <w:rPr>
                <w:sz w:val="22"/>
                <w:szCs w:val="22"/>
              </w:rPr>
              <w:t>KAT6</w:t>
            </w:r>
            <w:r w:rsidRPr="005A248A">
              <w:rPr>
                <w:rFonts w:hint="eastAsia"/>
                <w:sz w:val="22"/>
                <w:szCs w:val="22"/>
              </w:rPr>
              <w:t>更具有选择性，并尽可能避免对</w:t>
            </w:r>
            <w:r w:rsidRPr="005A248A">
              <w:rPr>
                <w:sz w:val="22"/>
                <w:szCs w:val="22"/>
              </w:rPr>
              <w:t>KAT7</w:t>
            </w:r>
            <w:r w:rsidRPr="005A248A">
              <w:rPr>
                <w:rFonts w:hint="eastAsia"/>
                <w:sz w:val="22"/>
                <w:szCs w:val="22"/>
              </w:rPr>
              <w:t>的抑制。这是与辉瑞</w:t>
            </w:r>
            <w:r w:rsidRPr="005A248A">
              <w:rPr>
                <w:sz w:val="22"/>
                <w:szCs w:val="22"/>
              </w:rPr>
              <w:t>KAT6</w:t>
            </w:r>
            <w:r w:rsidRPr="005A248A">
              <w:rPr>
                <w:rFonts w:hint="eastAsia"/>
                <w:sz w:val="22"/>
                <w:szCs w:val="22"/>
              </w:rPr>
              <w:t>项目的主要区别。我们认为这可能降低血液学毒性。从去年开始，我们的这个项目进入了临床阶段，启动了乳腺癌的首次人体研究。虽然最初设计是为与我们的</w:t>
            </w:r>
            <w:r w:rsidRPr="005A248A">
              <w:rPr>
                <w:sz w:val="22"/>
                <w:szCs w:val="22"/>
              </w:rPr>
              <w:t>CDK4</w:t>
            </w:r>
            <w:r w:rsidRPr="005A248A">
              <w:rPr>
                <w:rFonts w:hint="eastAsia"/>
                <w:sz w:val="22"/>
                <w:szCs w:val="22"/>
              </w:rPr>
              <w:t>抑制剂进行联合用药，但可以肯定的是，在我们的管线中，</w:t>
            </w:r>
            <w:r w:rsidR="00F26CA2" w:rsidRPr="00F26CA2">
              <w:rPr>
                <w:sz w:val="22"/>
                <w:szCs w:val="22"/>
              </w:rPr>
              <w:t>还有许多其他管线分子可探索与</w:t>
            </w:r>
            <w:r w:rsidR="00F26CA2" w:rsidRPr="00F26CA2">
              <w:rPr>
                <w:sz w:val="22"/>
                <w:szCs w:val="22"/>
              </w:rPr>
              <w:t>KAT6</w:t>
            </w:r>
            <w:r w:rsidR="00F26CA2" w:rsidRPr="00F26CA2">
              <w:rPr>
                <w:sz w:val="22"/>
                <w:szCs w:val="22"/>
              </w:rPr>
              <w:t>抑制剂</w:t>
            </w:r>
            <w:r w:rsidR="00656871">
              <w:rPr>
                <w:rFonts w:hint="eastAsia"/>
                <w:sz w:val="22"/>
                <w:szCs w:val="22"/>
              </w:rPr>
              <w:t>联用用于治疗</w:t>
            </w:r>
            <w:r w:rsidR="00F26CA2" w:rsidRPr="00F26CA2">
              <w:rPr>
                <w:sz w:val="22"/>
                <w:szCs w:val="22"/>
              </w:rPr>
              <w:t>乳腺癌</w:t>
            </w:r>
            <w:r w:rsidRPr="005A248A">
              <w:rPr>
                <w:rFonts w:hint="eastAsia"/>
                <w:sz w:val="22"/>
                <w:szCs w:val="22"/>
              </w:rPr>
              <w:t>。除此之外，我们还启动了第二项</w:t>
            </w:r>
            <w:r w:rsidRPr="005A248A">
              <w:rPr>
                <w:sz w:val="22"/>
                <w:szCs w:val="22"/>
              </w:rPr>
              <w:t>1</w:t>
            </w:r>
            <w:r w:rsidRPr="005A248A">
              <w:rPr>
                <w:rFonts w:hint="eastAsia"/>
                <w:sz w:val="22"/>
                <w:szCs w:val="22"/>
              </w:rPr>
              <w:t>期研究，研究目的是探索</w:t>
            </w:r>
            <w:r w:rsidRPr="005A248A">
              <w:rPr>
                <w:sz w:val="22"/>
                <w:szCs w:val="22"/>
              </w:rPr>
              <w:t>KAT6</w:t>
            </w:r>
            <w:r w:rsidRPr="005A248A">
              <w:rPr>
                <w:rFonts w:hint="eastAsia"/>
                <w:sz w:val="22"/>
                <w:szCs w:val="22"/>
              </w:rPr>
              <w:t>用于治疗</w:t>
            </w:r>
            <w:r w:rsidRPr="005A248A">
              <w:rPr>
                <w:sz w:val="22"/>
                <w:szCs w:val="22"/>
              </w:rPr>
              <w:t>AML</w:t>
            </w:r>
            <w:r w:rsidRPr="005A248A">
              <w:rPr>
                <w:rFonts w:hint="eastAsia"/>
                <w:sz w:val="22"/>
                <w:szCs w:val="22"/>
              </w:rPr>
              <w:t>。我们已经看到了很多关于</w:t>
            </w:r>
            <w:r w:rsidRPr="005A248A">
              <w:rPr>
                <w:sz w:val="22"/>
                <w:szCs w:val="22"/>
              </w:rPr>
              <w:t>KAT6</w:t>
            </w:r>
            <w:r w:rsidRPr="005A248A">
              <w:rPr>
                <w:rFonts w:hint="eastAsia"/>
                <w:sz w:val="22"/>
                <w:szCs w:val="22"/>
              </w:rPr>
              <w:t>治疗</w:t>
            </w:r>
            <w:r w:rsidRPr="005A248A">
              <w:rPr>
                <w:sz w:val="22"/>
                <w:szCs w:val="22"/>
              </w:rPr>
              <w:t>AML</w:t>
            </w:r>
            <w:r w:rsidRPr="005A248A">
              <w:rPr>
                <w:rFonts w:hint="eastAsia"/>
                <w:sz w:val="22"/>
                <w:szCs w:val="22"/>
              </w:rPr>
              <w:t>的临床前转化数据，我们期待看到这种分子在治疗</w:t>
            </w:r>
            <w:r w:rsidRPr="005A248A">
              <w:rPr>
                <w:sz w:val="22"/>
                <w:szCs w:val="22"/>
              </w:rPr>
              <w:t>AML</w:t>
            </w:r>
            <w:r w:rsidRPr="005A248A">
              <w:rPr>
                <w:rFonts w:hint="eastAsia"/>
                <w:sz w:val="22"/>
                <w:szCs w:val="22"/>
              </w:rPr>
              <w:t>中的作用。</w:t>
            </w:r>
          </w:p>
          <w:p w14:paraId="00A5132E"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Q</w:t>
            </w:r>
            <w:r w:rsidRPr="00F10AB4">
              <w:rPr>
                <w:rFonts w:hint="eastAsia"/>
                <w:sz w:val="22"/>
                <w:szCs w:val="22"/>
                <w14:ligatures w14:val="standardContextual"/>
              </w:rPr>
              <w:t>：公司预计将在</w:t>
            </w:r>
            <w:r w:rsidRPr="00F10AB4">
              <w:rPr>
                <w:rFonts w:hint="eastAsia"/>
                <w:sz w:val="22"/>
                <w:szCs w:val="22"/>
                <w14:ligatures w14:val="standardContextual"/>
              </w:rPr>
              <w:t>ESMO</w:t>
            </w:r>
            <w:r w:rsidRPr="00F10AB4">
              <w:rPr>
                <w:rFonts w:hint="eastAsia"/>
                <w:sz w:val="22"/>
                <w:szCs w:val="22"/>
                <w14:ligatures w14:val="standardContextual"/>
              </w:rPr>
              <w:t>披露</w:t>
            </w:r>
            <w:r w:rsidRPr="00F10AB4">
              <w:rPr>
                <w:rFonts w:hint="eastAsia"/>
                <w:sz w:val="22"/>
                <w:szCs w:val="22"/>
                <w14:ligatures w14:val="standardContextual"/>
              </w:rPr>
              <w:t>PRMT5</w:t>
            </w:r>
            <w:r w:rsidRPr="00F10AB4">
              <w:rPr>
                <w:rFonts w:hint="eastAsia"/>
                <w:sz w:val="22"/>
                <w:szCs w:val="22"/>
                <w14:ligatures w14:val="standardContextual"/>
              </w:rPr>
              <w:t>抑制剂的哪些数据，以及后续开发计划如何？</w:t>
            </w:r>
          </w:p>
          <w:p w14:paraId="57DD8E8C"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A</w:t>
            </w:r>
            <w:r w:rsidRPr="00F10AB4">
              <w:rPr>
                <w:rFonts w:hint="eastAsia"/>
                <w:sz w:val="22"/>
                <w:szCs w:val="22"/>
                <w14:ligatures w14:val="standardContextual"/>
              </w:rPr>
              <w:t>：</w:t>
            </w:r>
            <w:r w:rsidRPr="005A248A">
              <w:rPr>
                <w:rFonts w:hint="eastAsia"/>
                <w:sz w:val="22"/>
                <w:szCs w:val="22"/>
              </w:rPr>
              <w:t>我们对</w:t>
            </w:r>
            <w:r w:rsidRPr="005A248A">
              <w:rPr>
                <w:sz w:val="22"/>
                <w:szCs w:val="22"/>
              </w:rPr>
              <w:t>PRMT5</w:t>
            </w:r>
            <w:r w:rsidRPr="005A248A">
              <w:rPr>
                <w:rFonts w:hint="eastAsia"/>
                <w:sz w:val="22"/>
                <w:szCs w:val="22"/>
              </w:rPr>
              <w:t>抑制剂感到非常兴奋，并期待着在</w:t>
            </w:r>
            <w:r w:rsidRPr="005A248A">
              <w:rPr>
                <w:sz w:val="22"/>
                <w:szCs w:val="22"/>
              </w:rPr>
              <w:t>ESMO</w:t>
            </w:r>
            <w:r w:rsidRPr="005A248A">
              <w:rPr>
                <w:rFonts w:hint="eastAsia"/>
                <w:sz w:val="22"/>
                <w:szCs w:val="22"/>
              </w:rPr>
              <w:t>进行</w:t>
            </w:r>
            <w:r>
              <w:rPr>
                <w:rFonts w:hint="eastAsia"/>
                <w:sz w:val="22"/>
                <w:szCs w:val="22"/>
              </w:rPr>
              <w:t>首次数据</w:t>
            </w:r>
            <w:r w:rsidRPr="005A248A">
              <w:rPr>
                <w:rFonts w:hint="eastAsia"/>
                <w:sz w:val="22"/>
                <w:szCs w:val="22"/>
              </w:rPr>
              <w:t>披露。该分子于</w:t>
            </w:r>
            <w:r w:rsidRPr="005A248A">
              <w:rPr>
                <w:sz w:val="22"/>
                <w:szCs w:val="22"/>
              </w:rPr>
              <w:t>2025</w:t>
            </w:r>
            <w:r w:rsidRPr="005A248A">
              <w:rPr>
                <w:rFonts w:hint="eastAsia"/>
                <w:sz w:val="22"/>
                <w:szCs w:val="22"/>
              </w:rPr>
              <w:t>年第一季度进入临床，因此这是我们的首次数据披露，将包括单药治疗</w:t>
            </w:r>
            <w:r w:rsidRPr="005A248A">
              <w:rPr>
                <w:sz w:val="22"/>
                <w:szCs w:val="22"/>
              </w:rPr>
              <w:t>1a</w:t>
            </w:r>
            <w:r w:rsidRPr="005A248A">
              <w:rPr>
                <w:rFonts w:hint="eastAsia"/>
                <w:sz w:val="22"/>
                <w:szCs w:val="22"/>
              </w:rPr>
              <w:t>期剂量递增数据。我们还将纳入大量已入组扩展阶段的患者。因为我们的分子设计为具有</w:t>
            </w:r>
            <w:r w:rsidRPr="005A248A">
              <w:rPr>
                <w:sz w:val="22"/>
                <w:szCs w:val="22"/>
              </w:rPr>
              <w:t>CNS</w:t>
            </w:r>
            <w:r w:rsidRPr="005A248A">
              <w:rPr>
                <w:rFonts w:hint="eastAsia"/>
                <w:sz w:val="22"/>
                <w:szCs w:val="22"/>
              </w:rPr>
              <w:t>渗透性，我们重点入组了非小细胞肺癌患者。我们将分享一部分数据，这些数据表明我们已获得具有临床意义的</w:t>
            </w:r>
            <w:r w:rsidRPr="005A248A">
              <w:rPr>
                <w:sz w:val="22"/>
                <w:szCs w:val="22"/>
              </w:rPr>
              <w:t>CNS</w:t>
            </w:r>
            <w:r w:rsidRPr="005A248A">
              <w:rPr>
                <w:rFonts w:hint="eastAsia"/>
                <w:sz w:val="22"/>
                <w:szCs w:val="22"/>
              </w:rPr>
              <w:t>覆盖的早期证据，但我们将分享用于治疗不同肿瘤类型的数据，包括非小细胞肺癌、胰腺癌和其他肿瘤类型。虽然我们重点关注肺癌，但我们计划为该分子制定一个广泛的开发计划。</w:t>
            </w:r>
          </w:p>
          <w:p w14:paraId="69B26B99"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Q</w:t>
            </w:r>
            <w:r w:rsidRPr="00F10AB4">
              <w:rPr>
                <w:rFonts w:hint="eastAsia"/>
                <w:sz w:val="22"/>
                <w:szCs w:val="22"/>
                <w14:ligatures w14:val="standardContextual"/>
              </w:rPr>
              <w:t>：</w:t>
            </w:r>
            <w:r w:rsidRPr="005A248A">
              <w:rPr>
                <w:rFonts w:hint="eastAsia"/>
                <w:sz w:val="22"/>
                <w:szCs w:val="22"/>
              </w:rPr>
              <w:t>本次上调业绩指引的主要驱动因素是什么？与上一季度发布的业绩指引相比，哪些因素变化最为显著？</w:t>
            </w:r>
          </w:p>
          <w:p w14:paraId="7CD6B09C" w14:textId="54D3747D"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A</w:t>
            </w:r>
            <w:r w:rsidRPr="00F10AB4">
              <w:rPr>
                <w:rFonts w:hint="eastAsia"/>
                <w:sz w:val="22"/>
                <w:szCs w:val="22"/>
                <w14:ligatures w14:val="standardContextual"/>
              </w:rPr>
              <w:t>：</w:t>
            </w:r>
            <w:r w:rsidRPr="00F10AB4">
              <w:rPr>
                <w:sz w:val="22"/>
                <w:szCs w:val="22"/>
                <w14:ligatures w14:val="standardContextual"/>
              </w:rPr>
              <w:t>我想</w:t>
            </w:r>
            <w:r w:rsidRPr="00F10AB4">
              <w:rPr>
                <w:rFonts w:hint="eastAsia"/>
                <w:sz w:val="22"/>
                <w:szCs w:val="22"/>
                <w14:ligatures w14:val="standardContextual"/>
              </w:rPr>
              <w:t>以上讨论</w:t>
            </w:r>
            <w:r w:rsidRPr="00F10AB4">
              <w:rPr>
                <w:sz w:val="22"/>
                <w:szCs w:val="22"/>
                <w14:ligatures w14:val="standardContextual"/>
              </w:rPr>
              <w:t>已经涵盖了本季度推动业绩表现的诸多因素。我重点提到的那些，都是百悦泽</w:t>
            </w:r>
            <w:r w:rsidRPr="00F10AB4">
              <w:rPr>
                <w:sz w:val="22"/>
                <w:szCs w:val="22"/>
                <w:vertAlign w:val="superscript"/>
                <w14:ligatures w14:val="standardContextual"/>
              </w:rPr>
              <w:t>®</w:t>
            </w:r>
            <w:r w:rsidRPr="00F10AB4">
              <w:rPr>
                <w:sz w:val="22"/>
                <w:szCs w:val="22"/>
                <w14:ligatures w14:val="standardContextual"/>
              </w:rPr>
              <w:t>的优势领域，无论是我们观察到的新患者启动治疗</w:t>
            </w:r>
            <w:r w:rsidRPr="00F10AB4">
              <w:rPr>
                <w:rFonts w:hint="eastAsia"/>
                <w:sz w:val="22"/>
                <w:szCs w:val="22"/>
                <w14:ligatures w14:val="standardContextual"/>
              </w:rPr>
              <w:t>数量</w:t>
            </w:r>
            <w:r w:rsidRPr="00F10AB4">
              <w:rPr>
                <w:sz w:val="22"/>
                <w:szCs w:val="22"/>
                <w14:ligatures w14:val="standardContextual"/>
              </w:rPr>
              <w:t>的水平、</w:t>
            </w:r>
            <w:r w:rsidRPr="00F10AB4">
              <w:rPr>
                <w:rFonts w:hint="eastAsia"/>
                <w:sz w:val="22"/>
                <w:szCs w:val="22"/>
                <w14:ligatures w14:val="standardContextual"/>
              </w:rPr>
              <w:t>在</w:t>
            </w:r>
            <w:r w:rsidRPr="00F10AB4">
              <w:rPr>
                <w:sz w:val="22"/>
                <w:szCs w:val="22"/>
                <w14:ligatures w14:val="standardContextual"/>
              </w:rPr>
              <w:t>所有</w:t>
            </w:r>
            <w:r w:rsidRPr="00F10AB4">
              <w:rPr>
                <w:rFonts w:hint="eastAsia"/>
                <w:sz w:val="22"/>
                <w:szCs w:val="22"/>
                <w14:ligatures w14:val="standardContextual"/>
              </w:rPr>
              <w:t>已获批</w:t>
            </w:r>
            <w:r w:rsidRPr="00F10AB4">
              <w:rPr>
                <w:sz w:val="22"/>
                <w:szCs w:val="22"/>
                <w14:ligatures w14:val="standardContextual"/>
              </w:rPr>
              <w:t>适应症的</w:t>
            </w:r>
            <w:r w:rsidRPr="00F10AB4">
              <w:rPr>
                <w:rFonts w:hint="eastAsia"/>
                <w:sz w:val="22"/>
                <w:szCs w:val="22"/>
                <w14:ligatures w14:val="standardContextual"/>
              </w:rPr>
              <w:t>强劲表现</w:t>
            </w:r>
            <w:r w:rsidRPr="00F10AB4">
              <w:rPr>
                <w:sz w:val="22"/>
                <w:szCs w:val="22"/>
                <w14:ligatures w14:val="standardContextual"/>
              </w:rPr>
              <w:t>，</w:t>
            </w:r>
            <w:r w:rsidRPr="00F10AB4">
              <w:rPr>
                <w:rFonts w:hint="eastAsia"/>
                <w:sz w:val="22"/>
                <w:szCs w:val="22"/>
                <w14:ligatures w14:val="standardContextual"/>
              </w:rPr>
              <w:t>以及</w:t>
            </w:r>
            <w:r w:rsidRPr="00F10AB4">
              <w:rPr>
                <w:sz w:val="22"/>
                <w:szCs w:val="22"/>
                <w14:ligatures w14:val="standardContextual"/>
              </w:rPr>
              <w:t>我们</w:t>
            </w:r>
            <w:r w:rsidRPr="00F10AB4">
              <w:rPr>
                <w:rFonts w:hint="eastAsia"/>
                <w:sz w:val="22"/>
                <w:szCs w:val="22"/>
                <w14:ligatures w14:val="standardContextual"/>
              </w:rPr>
              <w:t>对患者</w:t>
            </w:r>
            <w:r w:rsidRPr="00F10AB4">
              <w:rPr>
                <w:sz w:val="22"/>
                <w:szCs w:val="22"/>
                <w14:ligatures w14:val="standardContextual"/>
              </w:rPr>
              <w:t>治疗持续时间的</w:t>
            </w:r>
            <w:r w:rsidRPr="00F10AB4">
              <w:rPr>
                <w:rFonts w:hint="eastAsia"/>
                <w:sz w:val="22"/>
                <w:szCs w:val="22"/>
                <w14:ligatures w14:val="standardContextual"/>
              </w:rPr>
              <w:t>理解</w:t>
            </w:r>
            <w:r w:rsidRPr="00F10AB4">
              <w:rPr>
                <w:sz w:val="22"/>
                <w:szCs w:val="22"/>
                <w14:ligatures w14:val="standardContextual"/>
              </w:rPr>
              <w:t>，</w:t>
            </w:r>
            <w:r w:rsidRPr="00F10AB4">
              <w:rPr>
                <w:rFonts w:hint="eastAsia"/>
                <w:sz w:val="22"/>
                <w:szCs w:val="22"/>
                <w14:ligatures w14:val="standardContextual"/>
              </w:rPr>
              <w:t>这些都</w:t>
            </w:r>
            <w:r w:rsidRPr="00F10AB4">
              <w:rPr>
                <w:sz w:val="22"/>
                <w:szCs w:val="22"/>
                <w14:ligatures w14:val="standardContextual"/>
              </w:rPr>
              <w:t>逐步</w:t>
            </w:r>
            <w:r w:rsidRPr="00F10AB4">
              <w:rPr>
                <w:rFonts w:hint="eastAsia"/>
                <w:sz w:val="22"/>
                <w:szCs w:val="22"/>
                <w14:ligatures w14:val="standardContextual"/>
              </w:rPr>
              <w:t>反</w:t>
            </w:r>
            <w:r w:rsidR="00F050BA">
              <w:rPr>
                <w:rFonts w:hint="eastAsia"/>
                <w:sz w:val="22"/>
                <w:szCs w:val="22"/>
                <w14:ligatures w14:val="standardContextual"/>
              </w:rPr>
              <w:t>映</w:t>
            </w:r>
            <w:r w:rsidRPr="00F10AB4">
              <w:rPr>
                <w:sz w:val="22"/>
                <w:szCs w:val="22"/>
                <w14:ligatures w14:val="standardContextual"/>
              </w:rPr>
              <w:t>在市场需求的变化之中。所有这些都是业务的优势领域，</w:t>
            </w:r>
            <w:r w:rsidRPr="00F10AB4">
              <w:rPr>
                <w:rFonts w:hint="eastAsia"/>
                <w:sz w:val="22"/>
                <w:szCs w:val="22"/>
                <w14:ligatures w14:val="standardContextual"/>
              </w:rPr>
              <w:t>其表现</w:t>
            </w:r>
            <w:r w:rsidRPr="00F10AB4">
              <w:rPr>
                <w:sz w:val="22"/>
                <w:szCs w:val="22"/>
                <w14:ligatures w14:val="standardContextual"/>
              </w:rPr>
              <w:t>超出了我们在年初的预期。归根结底，这意味着将有更多患者从百悦泽</w:t>
            </w:r>
            <w:r w:rsidRPr="005A248A">
              <w:rPr>
                <w:sz w:val="22"/>
                <w:szCs w:val="22"/>
                <w:vertAlign w:val="superscript"/>
                <w14:ligatures w14:val="standardContextual"/>
              </w:rPr>
              <w:t>®</w:t>
            </w:r>
            <w:r w:rsidRPr="00F10AB4">
              <w:rPr>
                <w:sz w:val="22"/>
                <w:szCs w:val="22"/>
                <w14:ligatures w14:val="standardContextual"/>
              </w:rPr>
              <w:t>治疗中获益。我们期待继续发展这一产品组合。</w:t>
            </w:r>
          </w:p>
          <w:p w14:paraId="53423D51"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Q</w:t>
            </w:r>
            <w:r w:rsidRPr="00F10AB4">
              <w:rPr>
                <w:rFonts w:hint="eastAsia"/>
                <w:sz w:val="22"/>
                <w:szCs w:val="22"/>
                <w14:ligatures w14:val="standardContextual"/>
              </w:rPr>
              <w:t>：</w:t>
            </w:r>
            <w:r w:rsidRPr="005A248A">
              <w:rPr>
                <w:rFonts w:hint="eastAsia"/>
                <w:sz w:val="22"/>
                <w:szCs w:val="22"/>
              </w:rPr>
              <w:t>请公司介绍</w:t>
            </w:r>
            <w:r w:rsidRPr="005A248A">
              <w:rPr>
                <w:sz w:val="22"/>
                <w:szCs w:val="22"/>
              </w:rPr>
              <w:t>CEA ADC</w:t>
            </w:r>
            <w:r w:rsidRPr="005A248A">
              <w:rPr>
                <w:rFonts w:hint="eastAsia"/>
                <w:sz w:val="22"/>
                <w:szCs w:val="22"/>
              </w:rPr>
              <w:t>的数据披露计划、差异化竞争优势以及整</w:t>
            </w:r>
            <w:r w:rsidRPr="005A248A">
              <w:rPr>
                <w:rFonts w:hint="eastAsia"/>
                <w:sz w:val="22"/>
                <w:szCs w:val="22"/>
              </w:rPr>
              <w:lastRenderedPageBreak/>
              <w:t>体开发策略？</w:t>
            </w:r>
          </w:p>
          <w:p w14:paraId="2F3734F4"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A</w:t>
            </w:r>
            <w:r w:rsidRPr="00F10AB4">
              <w:rPr>
                <w:rFonts w:hint="eastAsia"/>
                <w:sz w:val="22"/>
                <w:szCs w:val="22"/>
                <w14:ligatures w14:val="standardContextual"/>
              </w:rPr>
              <w:t>：</w:t>
            </w:r>
            <w:r w:rsidRPr="005A248A">
              <w:rPr>
                <w:rFonts w:hint="eastAsia"/>
                <w:sz w:val="22"/>
                <w:szCs w:val="22"/>
                <w14:ligatures w14:val="standardContextual"/>
              </w:rPr>
              <w:t>我们非常期待在即将到来的</w:t>
            </w:r>
            <w:r w:rsidRPr="005A248A">
              <w:rPr>
                <w:sz w:val="22"/>
                <w:szCs w:val="22"/>
                <w14:ligatures w14:val="standardContextual"/>
              </w:rPr>
              <w:t>ESMO</w:t>
            </w:r>
            <w:r w:rsidRPr="005A248A">
              <w:rPr>
                <w:rFonts w:hint="eastAsia"/>
                <w:sz w:val="22"/>
                <w:szCs w:val="22"/>
                <w14:ligatures w14:val="standardContextual"/>
              </w:rPr>
              <w:t>会议上首次公布</w:t>
            </w:r>
            <w:r w:rsidRPr="00F10AB4">
              <w:rPr>
                <w:sz w:val="22"/>
                <w:szCs w:val="22"/>
                <w14:ligatures w14:val="standardContextual"/>
              </w:rPr>
              <w:t>CEA ADC</w:t>
            </w:r>
            <w:r w:rsidRPr="00F10AB4">
              <w:rPr>
                <w:rFonts w:hint="eastAsia"/>
                <w:sz w:val="22"/>
                <w:szCs w:val="22"/>
                <w14:ligatures w14:val="standardContextual"/>
              </w:rPr>
              <w:t>的</w:t>
            </w:r>
            <w:r w:rsidRPr="005A248A">
              <w:rPr>
                <w:rFonts w:hint="eastAsia"/>
                <w:sz w:val="22"/>
                <w:szCs w:val="22"/>
                <w14:ligatures w14:val="standardContextual"/>
              </w:rPr>
              <w:t>数据。因为这是首次披露，所以这将包括</w:t>
            </w:r>
            <w:r w:rsidRPr="005A248A">
              <w:rPr>
                <w:sz w:val="22"/>
                <w:szCs w:val="22"/>
                <w14:ligatures w14:val="standardContextual"/>
              </w:rPr>
              <w:t>1</w:t>
            </w:r>
            <w:r w:rsidRPr="005A248A">
              <w:rPr>
                <w:rFonts w:hint="eastAsia"/>
                <w:sz w:val="22"/>
                <w:szCs w:val="22"/>
                <w14:ligatures w14:val="standardContextual"/>
              </w:rPr>
              <w:t>期剂量递增数据以及扩展数据。我们已经在非小细胞肺癌中获得了同类首创的概念验证数据，并且我们认为，这些数据与目前在非小细胞肺癌领域其他在研</w:t>
            </w:r>
            <w:r w:rsidRPr="005A248A">
              <w:rPr>
                <w:sz w:val="22"/>
                <w:szCs w:val="22"/>
                <w14:ligatures w14:val="standardContextual"/>
              </w:rPr>
              <w:t>ADC</w:t>
            </w:r>
            <w:r w:rsidRPr="005A248A">
              <w:rPr>
                <w:rFonts w:hint="eastAsia"/>
                <w:sz w:val="22"/>
                <w:szCs w:val="22"/>
                <w14:ligatures w14:val="standardContextual"/>
              </w:rPr>
              <w:t>相比，具有优势。最初的注册申报机会将在后线治疗中进行</w:t>
            </w:r>
            <w:r w:rsidRPr="00F10AB4">
              <w:rPr>
                <w:rFonts w:hint="eastAsia"/>
                <w:sz w:val="22"/>
                <w:szCs w:val="22"/>
                <w14:ligatures w14:val="standardContextual"/>
              </w:rPr>
              <w:t>探索</w:t>
            </w:r>
            <w:r w:rsidRPr="005A248A">
              <w:rPr>
                <w:rFonts w:hint="eastAsia"/>
                <w:sz w:val="22"/>
                <w:szCs w:val="22"/>
                <w14:ligatures w14:val="standardContextual"/>
              </w:rPr>
              <w:t>，但鉴于目前数据所展现出的强劲势头，我们正在积极</w:t>
            </w:r>
            <w:r w:rsidRPr="00F10AB4">
              <w:rPr>
                <w:rFonts w:hint="eastAsia"/>
                <w:sz w:val="22"/>
                <w:szCs w:val="22"/>
                <w14:ligatures w14:val="standardContextual"/>
              </w:rPr>
              <w:t>地</w:t>
            </w:r>
            <w:r w:rsidRPr="005A248A">
              <w:rPr>
                <w:rFonts w:hint="eastAsia"/>
                <w:sz w:val="22"/>
                <w:szCs w:val="22"/>
                <w14:ligatures w14:val="standardContextual"/>
              </w:rPr>
              <w:t>在早期治疗线中积累证据。</w:t>
            </w:r>
          </w:p>
          <w:p w14:paraId="73F73706"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Q</w:t>
            </w:r>
            <w:r w:rsidRPr="00F10AB4">
              <w:rPr>
                <w:rFonts w:hint="eastAsia"/>
                <w:sz w:val="22"/>
                <w:szCs w:val="22"/>
                <w14:ligatures w14:val="standardContextual"/>
              </w:rPr>
              <w:t>：</w:t>
            </w:r>
            <w:r w:rsidRPr="005A248A">
              <w:rPr>
                <w:rFonts w:hint="eastAsia"/>
                <w:sz w:val="22"/>
                <w:szCs w:val="22"/>
              </w:rPr>
              <w:t>请问公司</w:t>
            </w:r>
            <w:r w:rsidRPr="005A248A">
              <w:rPr>
                <w:sz w:val="22"/>
                <w:szCs w:val="22"/>
              </w:rPr>
              <w:t>RAS</w:t>
            </w:r>
            <w:r w:rsidRPr="005A248A">
              <w:rPr>
                <w:rFonts w:hint="eastAsia"/>
                <w:sz w:val="22"/>
                <w:szCs w:val="22"/>
              </w:rPr>
              <w:t>的整体开发策略是什么？能否提供关于</w:t>
            </w:r>
            <w:r w:rsidRPr="005A248A">
              <w:rPr>
                <w:sz w:val="22"/>
                <w:szCs w:val="22"/>
              </w:rPr>
              <w:t>RAS</w:t>
            </w:r>
            <w:r w:rsidRPr="005A248A">
              <w:rPr>
                <w:rFonts w:hint="eastAsia"/>
                <w:sz w:val="22"/>
                <w:szCs w:val="22"/>
              </w:rPr>
              <w:t>（</w:t>
            </w:r>
            <w:r w:rsidRPr="005A248A">
              <w:rPr>
                <w:sz w:val="22"/>
                <w:szCs w:val="22"/>
              </w:rPr>
              <w:t>ON</w:t>
            </w:r>
            <w:r w:rsidRPr="005A248A">
              <w:rPr>
                <w:rFonts w:hint="eastAsia"/>
                <w:sz w:val="22"/>
                <w:szCs w:val="22"/>
              </w:rPr>
              <w:t>）抑制剂的更多详细信息？</w:t>
            </w:r>
          </w:p>
          <w:p w14:paraId="6E06DED5"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A</w:t>
            </w:r>
            <w:r w:rsidRPr="00F10AB4">
              <w:rPr>
                <w:rFonts w:hint="eastAsia"/>
                <w:sz w:val="22"/>
                <w:szCs w:val="22"/>
                <w14:ligatures w14:val="standardContextual"/>
              </w:rPr>
              <w:t>：</w:t>
            </w:r>
            <w:r w:rsidRPr="005A248A">
              <w:rPr>
                <w:sz w:val="22"/>
                <w:szCs w:val="22"/>
              </w:rPr>
              <w:t>RAS</w:t>
            </w:r>
            <w:r w:rsidRPr="005A248A">
              <w:rPr>
                <w:rFonts w:hint="eastAsia"/>
                <w:sz w:val="22"/>
                <w:szCs w:val="22"/>
              </w:rPr>
              <w:t>抑制已被证明是一种非常重要的治疗方法，不仅在胰腺癌中，而且在非小细胞肺癌中也是如此。我们致力于该领域的创新。我们有一种高效的</w:t>
            </w:r>
            <w:r w:rsidRPr="005A248A">
              <w:rPr>
                <w:sz w:val="22"/>
                <w:szCs w:val="22"/>
              </w:rPr>
              <w:t>RAS</w:t>
            </w:r>
            <w:r w:rsidRPr="005A248A">
              <w:rPr>
                <w:rFonts w:hint="eastAsia"/>
                <w:sz w:val="22"/>
                <w:szCs w:val="22"/>
              </w:rPr>
              <w:t>（</w:t>
            </w:r>
            <w:r w:rsidRPr="005A248A">
              <w:rPr>
                <w:sz w:val="22"/>
                <w:szCs w:val="22"/>
              </w:rPr>
              <w:t>ON</w:t>
            </w:r>
            <w:r w:rsidRPr="005A248A">
              <w:rPr>
                <w:rFonts w:hint="eastAsia"/>
                <w:sz w:val="22"/>
                <w:szCs w:val="22"/>
              </w:rPr>
              <w:t>）抑制剂，将在今年年底前进入临床。与我们的</w:t>
            </w:r>
            <w:r w:rsidRPr="005A248A">
              <w:rPr>
                <w:sz w:val="22"/>
                <w:szCs w:val="22"/>
              </w:rPr>
              <w:t>PRMT5</w:t>
            </w:r>
            <w:r w:rsidRPr="005A248A">
              <w:rPr>
                <w:rFonts w:hint="eastAsia"/>
                <w:sz w:val="22"/>
                <w:szCs w:val="22"/>
              </w:rPr>
              <w:t>分子类似，该分子被设计为具有</w:t>
            </w:r>
            <w:r w:rsidRPr="005A248A">
              <w:rPr>
                <w:sz w:val="22"/>
                <w:szCs w:val="22"/>
              </w:rPr>
              <w:t>CNS</w:t>
            </w:r>
            <w:r w:rsidRPr="005A248A">
              <w:rPr>
                <w:rFonts w:hint="eastAsia"/>
                <w:sz w:val="22"/>
                <w:szCs w:val="22"/>
              </w:rPr>
              <w:t>渗透性，因此，我们对该分子在非小细胞肺癌中的机会尤为期待。我们对</w:t>
            </w:r>
            <w:r w:rsidRPr="005A248A">
              <w:rPr>
                <w:sz w:val="22"/>
                <w:szCs w:val="22"/>
              </w:rPr>
              <w:t>RAS</w:t>
            </w:r>
            <w:r w:rsidRPr="005A248A">
              <w:rPr>
                <w:rFonts w:hint="eastAsia"/>
                <w:sz w:val="22"/>
                <w:szCs w:val="22"/>
              </w:rPr>
              <w:t>（</w:t>
            </w:r>
            <w:r w:rsidRPr="005A248A">
              <w:rPr>
                <w:sz w:val="22"/>
                <w:szCs w:val="22"/>
              </w:rPr>
              <w:t>ON</w:t>
            </w:r>
            <w:r w:rsidRPr="005A248A">
              <w:rPr>
                <w:rFonts w:hint="eastAsia"/>
                <w:sz w:val="22"/>
                <w:szCs w:val="22"/>
              </w:rPr>
              <w:t>）抑制剂与</w:t>
            </w:r>
            <w:r w:rsidRPr="005A248A">
              <w:rPr>
                <w:sz w:val="22"/>
                <w:szCs w:val="22"/>
              </w:rPr>
              <w:t>PRMT5</w:t>
            </w:r>
            <w:r w:rsidRPr="005A248A">
              <w:rPr>
                <w:rFonts w:hint="eastAsia"/>
                <w:sz w:val="22"/>
                <w:szCs w:val="22"/>
              </w:rPr>
              <w:t>抑制剂联用在</w:t>
            </w:r>
            <w:r w:rsidRPr="005A248A">
              <w:rPr>
                <w:sz w:val="22"/>
                <w:szCs w:val="22"/>
              </w:rPr>
              <w:t>MTAP</w:t>
            </w:r>
            <w:r w:rsidRPr="005A248A">
              <w:rPr>
                <w:rFonts w:hint="eastAsia"/>
                <w:sz w:val="22"/>
                <w:szCs w:val="22"/>
              </w:rPr>
              <w:t>缺失型胰腺癌中的数据感到非常兴奋。我们将力争尽快在这方面积累证据。同时我们正在推进其他</w:t>
            </w:r>
            <w:r w:rsidRPr="005A248A">
              <w:rPr>
                <w:sz w:val="22"/>
                <w:szCs w:val="22"/>
              </w:rPr>
              <w:t>RAS</w:t>
            </w:r>
            <w:r w:rsidRPr="005A248A">
              <w:rPr>
                <w:rFonts w:hint="eastAsia"/>
                <w:sz w:val="22"/>
                <w:szCs w:val="22"/>
              </w:rPr>
              <w:t>靶向分子，包括靶向</w:t>
            </w:r>
            <w:r w:rsidRPr="005A248A">
              <w:rPr>
                <w:sz w:val="22"/>
                <w:szCs w:val="22"/>
              </w:rPr>
              <w:t>KRAS</w:t>
            </w:r>
            <w:r w:rsidRPr="005A248A">
              <w:rPr>
                <w:rFonts w:hint="eastAsia"/>
                <w:sz w:val="22"/>
                <w:szCs w:val="22"/>
              </w:rPr>
              <w:t>的降解剂，以及</w:t>
            </w:r>
            <w:r w:rsidRPr="005A248A">
              <w:rPr>
                <w:sz w:val="22"/>
                <w:szCs w:val="22"/>
              </w:rPr>
              <w:t>RAS</w:t>
            </w:r>
            <w:r w:rsidRPr="005A248A">
              <w:rPr>
                <w:rFonts w:hint="eastAsia"/>
                <w:sz w:val="22"/>
                <w:szCs w:val="22"/>
              </w:rPr>
              <w:t>（</w:t>
            </w:r>
            <w:r w:rsidRPr="005A248A">
              <w:rPr>
                <w:sz w:val="22"/>
                <w:szCs w:val="22"/>
              </w:rPr>
              <w:t>ON</w:t>
            </w:r>
            <w:r w:rsidRPr="005A248A">
              <w:rPr>
                <w:rFonts w:hint="eastAsia"/>
                <w:sz w:val="22"/>
                <w:szCs w:val="22"/>
              </w:rPr>
              <w:t>）</w:t>
            </w:r>
            <w:r w:rsidRPr="005A248A">
              <w:rPr>
                <w:sz w:val="22"/>
                <w:szCs w:val="22"/>
              </w:rPr>
              <w:t>ADC</w:t>
            </w:r>
            <w:r w:rsidRPr="005A248A">
              <w:rPr>
                <w:rFonts w:hint="eastAsia"/>
                <w:sz w:val="22"/>
                <w:szCs w:val="22"/>
              </w:rPr>
              <w:t>，其中</w:t>
            </w:r>
            <w:r w:rsidRPr="005A248A">
              <w:rPr>
                <w:sz w:val="22"/>
                <w:szCs w:val="22"/>
              </w:rPr>
              <w:t>RAS</w:t>
            </w:r>
            <w:r w:rsidRPr="005A248A">
              <w:rPr>
                <w:rFonts w:hint="eastAsia"/>
                <w:sz w:val="22"/>
                <w:szCs w:val="22"/>
              </w:rPr>
              <w:t>（</w:t>
            </w:r>
            <w:r w:rsidRPr="005A248A">
              <w:rPr>
                <w:sz w:val="22"/>
                <w:szCs w:val="22"/>
              </w:rPr>
              <w:t>ON</w:t>
            </w:r>
            <w:r w:rsidRPr="005A248A">
              <w:rPr>
                <w:rFonts w:hint="eastAsia"/>
                <w:sz w:val="22"/>
                <w:szCs w:val="22"/>
              </w:rPr>
              <w:t>）抑制剂将是该分子的有效载荷。</w:t>
            </w:r>
          </w:p>
          <w:p w14:paraId="189F82C0"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Q</w:t>
            </w:r>
            <w:r w:rsidRPr="00F10AB4">
              <w:rPr>
                <w:rFonts w:hint="eastAsia"/>
                <w:sz w:val="22"/>
                <w:szCs w:val="22"/>
                <w14:ligatures w14:val="standardContextual"/>
              </w:rPr>
              <w:t>：公司</w:t>
            </w:r>
            <w:r w:rsidRPr="00F10AB4">
              <w:rPr>
                <w:sz w:val="22"/>
                <w:szCs w:val="22"/>
                <w14:ligatures w14:val="standardContextual"/>
              </w:rPr>
              <w:t>如何</w:t>
            </w:r>
            <w:r w:rsidRPr="00F10AB4">
              <w:rPr>
                <w:rFonts w:hint="eastAsia"/>
                <w:sz w:val="22"/>
                <w:szCs w:val="22"/>
                <w14:ligatures w14:val="standardContextual"/>
              </w:rPr>
              <w:t>展望安进公司授权许可产品</w:t>
            </w:r>
            <w:r w:rsidRPr="00F10AB4">
              <w:rPr>
                <w:sz w:val="22"/>
                <w:szCs w:val="22"/>
                <w14:ligatures w14:val="standardContextual"/>
              </w:rPr>
              <w:t>组合的增长前景？</w:t>
            </w:r>
          </w:p>
          <w:p w14:paraId="3A67AC7C" w14:textId="77777777" w:rsidR="009A3FF6" w:rsidRPr="00F10AB4" w:rsidRDefault="009A3FF6" w:rsidP="008429E6">
            <w:pPr>
              <w:overflowPunct w:val="0"/>
              <w:autoSpaceDE w:val="0"/>
              <w:autoSpaceDN w:val="0"/>
              <w:spacing w:line="360" w:lineRule="auto"/>
              <w:ind w:firstLineChars="200" w:firstLine="440"/>
              <w:rPr>
                <w:sz w:val="22"/>
                <w:szCs w:val="22"/>
                <w14:ligatures w14:val="standardContextual"/>
              </w:rPr>
            </w:pPr>
            <w:r w:rsidRPr="00F10AB4">
              <w:rPr>
                <w:rFonts w:hint="eastAsia"/>
                <w:sz w:val="22"/>
                <w:szCs w:val="22"/>
                <w14:ligatures w14:val="standardContextual"/>
              </w:rPr>
              <w:t>A</w:t>
            </w:r>
            <w:r w:rsidRPr="00F10AB4">
              <w:rPr>
                <w:rFonts w:hint="eastAsia"/>
                <w:sz w:val="22"/>
                <w:szCs w:val="22"/>
                <w14:ligatures w14:val="standardContextual"/>
              </w:rPr>
              <w:t>：</w:t>
            </w:r>
            <w:r w:rsidRPr="00F10AB4">
              <w:rPr>
                <w:sz w:val="22"/>
                <w:szCs w:val="22"/>
                <w14:ligatures w14:val="standardContextual"/>
              </w:rPr>
              <w:t>我们对今年安进产品组合的表现感到非常满意，</w:t>
            </w:r>
            <w:r w:rsidRPr="00F10AB4">
              <w:rPr>
                <w:rFonts w:hint="eastAsia"/>
                <w:sz w:val="22"/>
                <w:szCs w:val="22"/>
                <w14:ligatures w14:val="standardContextual"/>
              </w:rPr>
              <w:t>实际上从这项重要合作启动以来就一直如此。</w:t>
            </w:r>
            <w:r w:rsidRPr="00F10AB4">
              <w:rPr>
                <w:rFonts w:hint="eastAsia"/>
                <w:sz w:val="22"/>
                <w:szCs w:val="22"/>
                <w14:ligatures w14:val="standardContextual"/>
              </w:rPr>
              <w:t xml:space="preserve"> </w:t>
            </w:r>
            <w:r w:rsidRPr="00F10AB4">
              <w:rPr>
                <w:rFonts w:hint="eastAsia"/>
                <w:sz w:val="22"/>
                <w:szCs w:val="22"/>
                <w14:ligatures w14:val="standardContextual"/>
              </w:rPr>
              <w:t>这是一个拥有多</w:t>
            </w:r>
            <w:r>
              <w:rPr>
                <w:rFonts w:hint="eastAsia"/>
                <w:sz w:val="22"/>
                <w:szCs w:val="22"/>
                <w14:ligatures w14:val="standardContextual"/>
              </w:rPr>
              <w:t>款优质</w:t>
            </w:r>
            <w:r w:rsidRPr="00F10AB4">
              <w:rPr>
                <w:rFonts w:hint="eastAsia"/>
                <w:sz w:val="22"/>
                <w:szCs w:val="22"/>
                <w14:ligatures w14:val="standardContextual"/>
              </w:rPr>
              <w:t>资产的产品组合，我们即将</w:t>
            </w:r>
            <w:r>
              <w:rPr>
                <w:rFonts w:hint="eastAsia"/>
                <w:sz w:val="22"/>
                <w:szCs w:val="22"/>
                <w14:ligatures w14:val="standardContextual"/>
              </w:rPr>
              <w:t>商业化上市</w:t>
            </w:r>
            <w:r w:rsidRPr="00F10AB4">
              <w:rPr>
                <w:rFonts w:hint="eastAsia"/>
                <w:sz w:val="22"/>
                <w:szCs w:val="22"/>
                <w14:ligatures w14:val="standardContextual"/>
              </w:rPr>
              <w:t>安泰适</w:t>
            </w:r>
            <w:r w:rsidRPr="00F10AB4">
              <w:rPr>
                <w:sz w:val="22"/>
                <w:szCs w:val="22"/>
                <w:vertAlign w:val="superscript"/>
                <w14:ligatures w14:val="standardContextual"/>
              </w:rPr>
              <w:t>®</w:t>
            </w:r>
            <w:r w:rsidRPr="00F10AB4">
              <w:rPr>
                <w:rFonts w:hint="eastAsia"/>
                <w:sz w:val="22"/>
                <w:szCs w:val="22"/>
                <w14:ligatures w14:val="standardContextual"/>
              </w:rPr>
              <w:t>。</w:t>
            </w:r>
            <w:r w:rsidRPr="00F10AB4">
              <w:rPr>
                <w:sz w:val="22"/>
                <w:szCs w:val="22"/>
                <w14:ligatures w14:val="standardContextual"/>
              </w:rPr>
              <w:t>在上个季度，我确实谈到了安加维</w:t>
            </w:r>
            <w:r w:rsidRPr="00F10AB4">
              <w:rPr>
                <w:sz w:val="22"/>
                <w:szCs w:val="22"/>
                <w:vertAlign w:val="superscript"/>
                <w14:ligatures w14:val="standardContextual"/>
              </w:rPr>
              <w:t>®</w:t>
            </w:r>
            <w:r w:rsidRPr="00F10AB4">
              <w:rPr>
                <w:sz w:val="22"/>
                <w:szCs w:val="22"/>
                <w14:ligatures w14:val="standardContextual"/>
              </w:rPr>
              <w:t>生物类似药的竞争。后续我们会根据形势进一步了解，再和大家同步进展。短期内还看不到影响，但到明年，确实可能会对</w:t>
            </w:r>
            <w:r w:rsidRPr="00F10AB4">
              <w:rPr>
                <w:rFonts w:hint="eastAsia"/>
                <w:sz w:val="22"/>
                <w:szCs w:val="22"/>
                <w14:ligatures w14:val="standardContextual"/>
              </w:rPr>
              <w:t>该产品组合</w:t>
            </w:r>
            <w:r w:rsidRPr="00F10AB4">
              <w:rPr>
                <w:sz w:val="22"/>
                <w:szCs w:val="22"/>
                <w14:ligatures w14:val="standardContextual"/>
              </w:rPr>
              <w:t>产生一定影响。等我们掌握更多信息后，再详细跟大家说明。</w:t>
            </w:r>
          </w:p>
          <w:p w14:paraId="3650D562" w14:textId="77777777" w:rsidR="009A3FF6" w:rsidRPr="00470B74" w:rsidRDefault="009A3FF6" w:rsidP="008429E6">
            <w:pPr>
              <w:overflowPunct w:val="0"/>
              <w:autoSpaceDE w:val="0"/>
              <w:autoSpaceDN w:val="0"/>
              <w:spacing w:line="360" w:lineRule="auto"/>
              <w:ind w:firstLineChars="200" w:firstLine="440"/>
              <w:rPr>
                <w:sz w:val="22"/>
                <w:szCs w:val="22"/>
                <w14:ligatures w14:val="standardContextual"/>
              </w:rPr>
            </w:pPr>
          </w:p>
        </w:tc>
      </w:tr>
      <w:tr w:rsidR="009A3FF6" w:rsidRPr="007324F3" w14:paraId="2E73F41F" w14:textId="77777777" w:rsidTr="008429E6">
        <w:trPr>
          <w:jc w:val="center"/>
        </w:trPr>
        <w:tc>
          <w:tcPr>
            <w:tcW w:w="1526" w:type="dxa"/>
          </w:tcPr>
          <w:p w14:paraId="4632D97C" w14:textId="77777777" w:rsidR="009A3FF6" w:rsidRPr="007324F3" w:rsidRDefault="009A3FF6" w:rsidP="008429E6">
            <w:pPr>
              <w:adjustRightInd w:val="0"/>
              <w:spacing w:line="276" w:lineRule="auto"/>
              <w:contextualSpacing/>
              <w:rPr>
                <w:sz w:val="24"/>
              </w:rPr>
            </w:pPr>
            <w:r w:rsidRPr="007324F3">
              <w:rPr>
                <w:sz w:val="24"/>
              </w:rPr>
              <w:lastRenderedPageBreak/>
              <w:t>附件清单（如有）</w:t>
            </w:r>
          </w:p>
        </w:tc>
        <w:tc>
          <w:tcPr>
            <w:tcW w:w="7238" w:type="dxa"/>
          </w:tcPr>
          <w:p w14:paraId="27CE3FD7" w14:textId="77777777" w:rsidR="009A3FF6" w:rsidRPr="007324F3" w:rsidRDefault="009A3FF6" w:rsidP="008429E6">
            <w:pPr>
              <w:adjustRightInd w:val="0"/>
              <w:spacing w:line="360" w:lineRule="auto"/>
              <w:contextualSpacing/>
              <w:rPr>
                <w:sz w:val="24"/>
              </w:rPr>
            </w:pPr>
            <w:r w:rsidRPr="007324F3">
              <w:rPr>
                <w:sz w:val="24"/>
              </w:rPr>
              <w:t>无</w:t>
            </w:r>
          </w:p>
        </w:tc>
      </w:tr>
      <w:tr w:rsidR="009A3FF6" w:rsidRPr="007324F3" w14:paraId="6CFCA218" w14:textId="77777777" w:rsidTr="008429E6">
        <w:trPr>
          <w:jc w:val="center"/>
        </w:trPr>
        <w:tc>
          <w:tcPr>
            <w:tcW w:w="1526" w:type="dxa"/>
          </w:tcPr>
          <w:p w14:paraId="31691B02" w14:textId="77777777" w:rsidR="009A3FF6" w:rsidRPr="007324F3" w:rsidRDefault="009A3FF6" w:rsidP="008429E6">
            <w:pPr>
              <w:adjustRightInd w:val="0"/>
              <w:spacing w:line="360" w:lineRule="auto"/>
              <w:contextualSpacing/>
              <w:rPr>
                <w:sz w:val="24"/>
              </w:rPr>
            </w:pPr>
            <w:r w:rsidRPr="007324F3">
              <w:rPr>
                <w:sz w:val="24"/>
              </w:rPr>
              <w:t>日期</w:t>
            </w:r>
          </w:p>
        </w:tc>
        <w:tc>
          <w:tcPr>
            <w:tcW w:w="7238" w:type="dxa"/>
          </w:tcPr>
          <w:p w14:paraId="283DFC16" w14:textId="77777777" w:rsidR="009A3FF6" w:rsidRPr="007324F3" w:rsidRDefault="009A3FF6" w:rsidP="008429E6">
            <w:pPr>
              <w:adjustRightInd w:val="0"/>
              <w:spacing w:line="360" w:lineRule="auto"/>
              <w:contextualSpacing/>
              <w:rPr>
                <w:sz w:val="24"/>
              </w:rPr>
            </w:pPr>
            <w:r w:rsidRPr="007324F3">
              <w:rPr>
                <w:sz w:val="24"/>
              </w:rPr>
              <w:t>202</w:t>
            </w:r>
            <w:r>
              <w:rPr>
                <w:rFonts w:hint="eastAsia"/>
                <w:sz w:val="24"/>
              </w:rPr>
              <w:t>6</w:t>
            </w:r>
            <w:r w:rsidRPr="007324F3">
              <w:rPr>
                <w:sz w:val="24"/>
              </w:rPr>
              <w:t>年</w:t>
            </w:r>
            <w:r>
              <w:rPr>
                <w:rFonts w:hint="eastAsia"/>
                <w:sz w:val="24"/>
              </w:rPr>
              <w:t>8</w:t>
            </w:r>
            <w:r w:rsidRPr="007324F3">
              <w:rPr>
                <w:sz w:val="24"/>
              </w:rPr>
              <w:t>月</w:t>
            </w:r>
            <w:r>
              <w:rPr>
                <w:rFonts w:hint="eastAsia"/>
                <w:sz w:val="24"/>
              </w:rPr>
              <w:t>5</w:t>
            </w:r>
            <w:r w:rsidRPr="007324F3">
              <w:rPr>
                <w:sz w:val="24"/>
              </w:rPr>
              <w:t>日</w:t>
            </w:r>
          </w:p>
        </w:tc>
      </w:tr>
    </w:tbl>
    <w:p w14:paraId="4678A458" w14:textId="77777777" w:rsidR="00B619C1" w:rsidRPr="007324F3" w:rsidRDefault="00B619C1" w:rsidP="009A5D01">
      <w:pPr>
        <w:adjustRightInd w:val="0"/>
        <w:spacing w:line="360" w:lineRule="auto"/>
        <w:contextualSpacing/>
        <w:jc w:val="left"/>
        <w:rPr>
          <w:sz w:val="24"/>
        </w:rPr>
      </w:pPr>
    </w:p>
    <w:sectPr w:rsidR="00B619C1" w:rsidRPr="007324F3" w:rsidSect="00455CE4">
      <w:footerReference w:type="default" r:id="rId7"/>
      <w:pgSz w:w="11906" w:h="16838"/>
      <w:pgMar w:top="1440" w:right="1558"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975B4" w14:textId="77777777" w:rsidR="00FE7A46" w:rsidRDefault="00FE7A46" w:rsidP="00E75E92">
      <w:r>
        <w:separator/>
      </w:r>
    </w:p>
  </w:endnote>
  <w:endnote w:type="continuationSeparator" w:id="0">
    <w:p w14:paraId="15318844" w14:textId="77777777" w:rsidR="00FE7A46" w:rsidRDefault="00FE7A46" w:rsidP="00E75E92">
      <w:r>
        <w:continuationSeparator/>
      </w:r>
    </w:p>
  </w:endnote>
  <w:endnote w:type="continuationNotice" w:id="1">
    <w:p w14:paraId="08AD2E2D" w14:textId="77777777" w:rsidR="00FE7A46" w:rsidRDefault="00FE7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5D5BD" w14:textId="77777777" w:rsidR="00F26CA2" w:rsidRPr="006F616C" w:rsidRDefault="00F26CA2" w:rsidP="00E75E92">
    <w:pPr>
      <w:jc w:val="center"/>
      <w:rPr>
        <w:szCs w:val="21"/>
      </w:rPr>
    </w:pPr>
    <w:r w:rsidRPr="006F616C">
      <w:rPr>
        <w:szCs w:val="21"/>
      </w:rPr>
      <w:fldChar w:fldCharType="begin"/>
    </w:r>
    <w:r w:rsidRPr="006F616C">
      <w:rPr>
        <w:szCs w:val="21"/>
      </w:rPr>
      <w:instrText xml:space="preserve"> PAGE   \* MERGEFORMAT </w:instrText>
    </w:r>
    <w:r w:rsidRPr="006F616C">
      <w:rPr>
        <w:szCs w:val="21"/>
      </w:rPr>
      <w:fldChar w:fldCharType="separate"/>
    </w:r>
    <w:r w:rsidRPr="009456E9">
      <w:rPr>
        <w:noProof/>
        <w:szCs w:val="21"/>
        <w:lang w:val="zh-CN"/>
      </w:rPr>
      <w:t>6</w:t>
    </w:r>
    <w:r w:rsidRPr="006F616C">
      <w:rPr>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1B7B0" w14:textId="77777777" w:rsidR="00FE7A46" w:rsidRDefault="00FE7A46" w:rsidP="00E75E92">
      <w:r>
        <w:separator/>
      </w:r>
    </w:p>
  </w:footnote>
  <w:footnote w:type="continuationSeparator" w:id="0">
    <w:p w14:paraId="235A1EBA" w14:textId="77777777" w:rsidR="00FE7A46" w:rsidRDefault="00FE7A46" w:rsidP="00E75E92">
      <w:r>
        <w:continuationSeparator/>
      </w:r>
    </w:p>
  </w:footnote>
  <w:footnote w:type="continuationNotice" w:id="1">
    <w:p w14:paraId="2FAA17CD" w14:textId="77777777" w:rsidR="00FE7A46" w:rsidRDefault="00FE7A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133E0"/>
    <w:multiLevelType w:val="hybridMultilevel"/>
    <w:tmpl w:val="00F2B97C"/>
    <w:lvl w:ilvl="0" w:tplc="04090001">
      <w:start w:val="1"/>
      <w:numFmt w:val="bullet"/>
      <w:lvlText w:val=""/>
      <w:lvlJc w:val="left"/>
      <w:pPr>
        <w:ind w:left="780" w:hanging="420"/>
      </w:pPr>
      <w:rPr>
        <w:rFonts w:ascii="Wingdings" w:hAnsi="Wingdings" w:hint="default"/>
      </w:rPr>
    </w:lvl>
    <w:lvl w:ilvl="1" w:tplc="0409000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17D4460B"/>
    <w:multiLevelType w:val="hybridMultilevel"/>
    <w:tmpl w:val="AC62CF62"/>
    <w:lvl w:ilvl="0" w:tplc="0409000B">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2" w15:restartNumberingAfterBreak="0">
    <w:nsid w:val="2B150E2B"/>
    <w:multiLevelType w:val="hybridMultilevel"/>
    <w:tmpl w:val="5C50BDE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31DD35B9"/>
    <w:multiLevelType w:val="hybridMultilevel"/>
    <w:tmpl w:val="5B60CB9C"/>
    <w:lvl w:ilvl="0" w:tplc="0409000B">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4" w15:restartNumberingAfterBreak="0">
    <w:nsid w:val="32605794"/>
    <w:multiLevelType w:val="hybridMultilevel"/>
    <w:tmpl w:val="000416B8"/>
    <w:lvl w:ilvl="0" w:tplc="04090001">
      <w:start w:val="1"/>
      <w:numFmt w:val="bullet"/>
      <w:lvlText w:val=""/>
      <w:lvlJc w:val="left"/>
      <w:pPr>
        <w:ind w:left="113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15:restartNumberingAfterBreak="0">
    <w:nsid w:val="32912CC1"/>
    <w:multiLevelType w:val="hybridMultilevel"/>
    <w:tmpl w:val="1A0E1338"/>
    <w:lvl w:ilvl="0" w:tplc="E07CA7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3426C3B"/>
    <w:multiLevelType w:val="hybridMultilevel"/>
    <w:tmpl w:val="B7FCC79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74CA3624"/>
    <w:multiLevelType w:val="hybridMultilevel"/>
    <w:tmpl w:val="8BE4124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16cid:durableId="1675648775">
    <w:abstractNumId w:val="4"/>
  </w:num>
  <w:num w:numId="2" w16cid:durableId="1851942821">
    <w:abstractNumId w:val="7"/>
  </w:num>
  <w:num w:numId="3" w16cid:durableId="1945116627">
    <w:abstractNumId w:val="2"/>
  </w:num>
  <w:num w:numId="4" w16cid:durableId="1977562915">
    <w:abstractNumId w:val="0"/>
  </w:num>
  <w:num w:numId="5" w16cid:durableId="1982686482">
    <w:abstractNumId w:val="6"/>
  </w:num>
  <w:num w:numId="6" w16cid:durableId="303311816">
    <w:abstractNumId w:val="5"/>
  </w:num>
  <w:num w:numId="7" w16cid:durableId="462500226">
    <w:abstractNumId w:val="1"/>
  </w:num>
  <w:num w:numId="8" w16cid:durableId="58577473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E75E92"/>
    <w:rsid w:val="00000387"/>
    <w:rsid w:val="000013CD"/>
    <w:rsid w:val="00001539"/>
    <w:rsid w:val="0000157B"/>
    <w:rsid w:val="00001768"/>
    <w:rsid w:val="00001AC9"/>
    <w:rsid w:val="00002026"/>
    <w:rsid w:val="00002422"/>
    <w:rsid w:val="0000265C"/>
    <w:rsid w:val="0000287A"/>
    <w:rsid w:val="00002D39"/>
    <w:rsid w:val="00002DE0"/>
    <w:rsid w:val="00002E52"/>
    <w:rsid w:val="00003530"/>
    <w:rsid w:val="00003A91"/>
    <w:rsid w:val="00003ACD"/>
    <w:rsid w:val="00003B00"/>
    <w:rsid w:val="00003DAE"/>
    <w:rsid w:val="00003DFD"/>
    <w:rsid w:val="000043A1"/>
    <w:rsid w:val="00004535"/>
    <w:rsid w:val="000050ED"/>
    <w:rsid w:val="0000542E"/>
    <w:rsid w:val="0000550E"/>
    <w:rsid w:val="00005723"/>
    <w:rsid w:val="00005890"/>
    <w:rsid w:val="000058B5"/>
    <w:rsid w:val="00005985"/>
    <w:rsid w:val="00006668"/>
    <w:rsid w:val="00006BBE"/>
    <w:rsid w:val="00006BEC"/>
    <w:rsid w:val="00006DEB"/>
    <w:rsid w:val="000076FE"/>
    <w:rsid w:val="0000773A"/>
    <w:rsid w:val="000077C9"/>
    <w:rsid w:val="00007881"/>
    <w:rsid w:val="00007992"/>
    <w:rsid w:val="000109A8"/>
    <w:rsid w:val="000109B3"/>
    <w:rsid w:val="00011D2B"/>
    <w:rsid w:val="00012188"/>
    <w:rsid w:val="000122CE"/>
    <w:rsid w:val="0001235C"/>
    <w:rsid w:val="0001279C"/>
    <w:rsid w:val="00012D6C"/>
    <w:rsid w:val="00013611"/>
    <w:rsid w:val="00013803"/>
    <w:rsid w:val="00013DA9"/>
    <w:rsid w:val="00013F96"/>
    <w:rsid w:val="000140E9"/>
    <w:rsid w:val="000143A0"/>
    <w:rsid w:val="000146A2"/>
    <w:rsid w:val="00014864"/>
    <w:rsid w:val="00015022"/>
    <w:rsid w:val="00015360"/>
    <w:rsid w:val="00015883"/>
    <w:rsid w:val="000158E3"/>
    <w:rsid w:val="000159D3"/>
    <w:rsid w:val="00015A8F"/>
    <w:rsid w:val="000164FC"/>
    <w:rsid w:val="00016EAC"/>
    <w:rsid w:val="000171B0"/>
    <w:rsid w:val="000178C8"/>
    <w:rsid w:val="00017B5F"/>
    <w:rsid w:val="00020224"/>
    <w:rsid w:val="00020A7E"/>
    <w:rsid w:val="00020C5E"/>
    <w:rsid w:val="00021484"/>
    <w:rsid w:val="000217CB"/>
    <w:rsid w:val="00021873"/>
    <w:rsid w:val="00022C75"/>
    <w:rsid w:val="00022DD0"/>
    <w:rsid w:val="00022F57"/>
    <w:rsid w:val="000230C1"/>
    <w:rsid w:val="000234FB"/>
    <w:rsid w:val="00023C78"/>
    <w:rsid w:val="000242F5"/>
    <w:rsid w:val="000244DA"/>
    <w:rsid w:val="00024D1D"/>
    <w:rsid w:val="000256CB"/>
    <w:rsid w:val="00025810"/>
    <w:rsid w:val="00026331"/>
    <w:rsid w:val="0002639C"/>
    <w:rsid w:val="00026877"/>
    <w:rsid w:val="00026A37"/>
    <w:rsid w:val="00026F1F"/>
    <w:rsid w:val="00026F29"/>
    <w:rsid w:val="000276A8"/>
    <w:rsid w:val="00027C30"/>
    <w:rsid w:val="00027CC4"/>
    <w:rsid w:val="00030524"/>
    <w:rsid w:val="00030660"/>
    <w:rsid w:val="000306BF"/>
    <w:rsid w:val="00030D69"/>
    <w:rsid w:val="00031001"/>
    <w:rsid w:val="00031024"/>
    <w:rsid w:val="0003129F"/>
    <w:rsid w:val="00031671"/>
    <w:rsid w:val="00031748"/>
    <w:rsid w:val="00031802"/>
    <w:rsid w:val="00031BD0"/>
    <w:rsid w:val="00031DEA"/>
    <w:rsid w:val="00031F20"/>
    <w:rsid w:val="0003330E"/>
    <w:rsid w:val="00033392"/>
    <w:rsid w:val="00033539"/>
    <w:rsid w:val="00033831"/>
    <w:rsid w:val="000338B4"/>
    <w:rsid w:val="00033AD2"/>
    <w:rsid w:val="00034158"/>
    <w:rsid w:val="0003486C"/>
    <w:rsid w:val="00034A85"/>
    <w:rsid w:val="00035207"/>
    <w:rsid w:val="0003543B"/>
    <w:rsid w:val="0003557E"/>
    <w:rsid w:val="000355A3"/>
    <w:rsid w:val="00035604"/>
    <w:rsid w:val="00035614"/>
    <w:rsid w:val="0003565A"/>
    <w:rsid w:val="00035D95"/>
    <w:rsid w:val="00035E26"/>
    <w:rsid w:val="000362A4"/>
    <w:rsid w:val="00036665"/>
    <w:rsid w:val="000366B2"/>
    <w:rsid w:val="00036772"/>
    <w:rsid w:val="00036B5F"/>
    <w:rsid w:val="00036D37"/>
    <w:rsid w:val="00036E8B"/>
    <w:rsid w:val="00037059"/>
    <w:rsid w:val="000370B3"/>
    <w:rsid w:val="000372DF"/>
    <w:rsid w:val="000374A0"/>
    <w:rsid w:val="00037722"/>
    <w:rsid w:val="00037B2E"/>
    <w:rsid w:val="00037B9F"/>
    <w:rsid w:val="00037F32"/>
    <w:rsid w:val="000407D6"/>
    <w:rsid w:val="00040892"/>
    <w:rsid w:val="00040A83"/>
    <w:rsid w:val="00041286"/>
    <w:rsid w:val="0004147B"/>
    <w:rsid w:val="000418CC"/>
    <w:rsid w:val="00041BF3"/>
    <w:rsid w:val="00041C0D"/>
    <w:rsid w:val="00041E7F"/>
    <w:rsid w:val="00041FC8"/>
    <w:rsid w:val="00042FB8"/>
    <w:rsid w:val="00042FEF"/>
    <w:rsid w:val="000434BA"/>
    <w:rsid w:val="00043983"/>
    <w:rsid w:val="000441C1"/>
    <w:rsid w:val="00044236"/>
    <w:rsid w:val="00044385"/>
    <w:rsid w:val="000445B6"/>
    <w:rsid w:val="00044AA6"/>
    <w:rsid w:val="00044C1E"/>
    <w:rsid w:val="00044DA5"/>
    <w:rsid w:val="00044ED6"/>
    <w:rsid w:val="0004527F"/>
    <w:rsid w:val="0004532C"/>
    <w:rsid w:val="00045916"/>
    <w:rsid w:val="00045930"/>
    <w:rsid w:val="00045B5D"/>
    <w:rsid w:val="00045DBB"/>
    <w:rsid w:val="00045DC4"/>
    <w:rsid w:val="00045DFE"/>
    <w:rsid w:val="00046264"/>
    <w:rsid w:val="00046265"/>
    <w:rsid w:val="0004627A"/>
    <w:rsid w:val="00046523"/>
    <w:rsid w:val="00046958"/>
    <w:rsid w:val="00046C01"/>
    <w:rsid w:val="00047119"/>
    <w:rsid w:val="000471E0"/>
    <w:rsid w:val="0004727B"/>
    <w:rsid w:val="00047AB2"/>
    <w:rsid w:val="0005027E"/>
    <w:rsid w:val="000508F8"/>
    <w:rsid w:val="00050C04"/>
    <w:rsid w:val="00051456"/>
    <w:rsid w:val="00052000"/>
    <w:rsid w:val="00052116"/>
    <w:rsid w:val="00052240"/>
    <w:rsid w:val="0005234F"/>
    <w:rsid w:val="00052397"/>
    <w:rsid w:val="0005260C"/>
    <w:rsid w:val="00053A2C"/>
    <w:rsid w:val="000544EC"/>
    <w:rsid w:val="00055018"/>
    <w:rsid w:val="00055282"/>
    <w:rsid w:val="00056492"/>
    <w:rsid w:val="000565C3"/>
    <w:rsid w:val="00057209"/>
    <w:rsid w:val="00057338"/>
    <w:rsid w:val="000573E6"/>
    <w:rsid w:val="00057893"/>
    <w:rsid w:val="00060185"/>
    <w:rsid w:val="0006018F"/>
    <w:rsid w:val="00060CDA"/>
    <w:rsid w:val="0006103B"/>
    <w:rsid w:val="000610BB"/>
    <w:rsid w:val="000610DD"/>
    <w:rsid w:val="0006120A"/>
    <w:rsid w:val="0006124B"/>
    <w:rsid w:val="000612FA"/>
    <w:rsid w:val="0006130C"/>
    <w:rsid w:val="00061366"/>
    <w:rsid w:val="00061392"/>
    <w:rsid w:val="00061882"/>
    <w:rsid w:val="00061896"/>
    <w:rsid w:val="000618C0"/>
    <w:rsid w:val="000618D0"/>
    <w:rsid w:val="00061A34"/>
    <w:rsid w:val="00061B05"/>
    <w:rsid w:val="00062093"/>
    <w:rsid w:val="000620F5"/>
    <w:rsid w:val="00062706"/>
    <w:rsid w:val="000627D7"/>
    <w:rsid w:val="00062897"/>
    <w:rsid w:val="00062AC1"/>
    <w:rsid w:val="000635D1"/>
    <w:rsid w:val="0006401F"/>
    <w:rsid w:val="0006439A"/>
    <w:rsid w:val="00064653"/>
    <w:rsid w:val="00064D46"/>
    <w:rsid w:val="00064F93"/>
    <w:rsid w:val="00065297"/>
    <w:rsid w:val="0006562B"/>
    <w:rsid w:val="00065997"/>
    <w:rsid w:val="00065C2F"/>
    <w:rsid w:val="00065D96"/>
    <w:rsid w:val="000663E8"/>
    <w:rsid w:val="0006675A"/>
    <w:rsid w:val="00066848"/>
    <w:rsid w:val="00066D77"/>
    <w:rsid w:val="00066ED2"/>
    <w:rsid w:val="0006767C"/>
    <w:rsid w:val="000678B4"/>
    <w:rsid w:val="00067A57"/>
    <w:rsid w:val="00067E20"/>
    <w:rsid w:val="00067FD7"/>
    <w:rsid w:val="00070491"/>
    <w:rsid w:val="0007084E"/>
    <w:rsid w:val="000711BC"/>
    <w:rsid w:val="00071229"/>
    <w:rsid w:val="000714A5"/>
    <w:rsid w:val="00071AFC"/>
    <w:rsid w:val="00071D5B"/>
    <w:rsid w:val="000721A0"/>
    <w:rsid w:val="000721BC"/>
    <w:rsid w:val="00072A49"/>
    <w:rsid w:val="00072FE4"/>
    <w:rsid w:val="00073232"/>
    <w:rsid w:val="000737D7"/>
    <w:rsid w:val="00073935"/>
    <w:rsid w:val="00073A5A"/>
    <w:rsid w:val="00073D5D"/>
    <w:rsid w:val="00073E4A"/>
    <w:rsid w:val="00073FE3"/>
    <w:rsid w:val="00073FEC"/>
    <w:rsid w:val="0007424F"/>
    <w:rsid w:val="00075CC2"/>
    <w:rsid w:val="00075D7F"/>
    <w:rsid w:val="00075E23"/>
    <w:rsid w:val="00075F6C"/>
    <w:rsid w:val="00076929"/>
    <w:rsid w:val="000774FF"/>
    <w:rsid w:val="0007756D"/>
    <w:rsid w:val="00077BAA"/>
    <w:rsid w:val="00080DCC"/>
    <w:rsid w:val="000811B8"/>
    <w:rsid w:val="000811B9"/>
    <w:rsid w:val="00081779"/>
    <w:rsid w:val="00081869"/>
    <w:rsid w:val="00081B06"/>
    <w:rsid w:val="00081F73"/>
    <w:rsid w:val="00082341"/>
    <w:rsid w:val="00082517"/>
    <w:rsid w:val="0008265E"/>
    <w:rsid w:val="00082701"/>
    <w:rsid w:val="000829E2"/>
    <w:rsid w:val="00082AE7"/>
    <w:rsid w:val="00082F1E"/>
    <w:rsid w:val="00082F50"/>
    <w:rsid w:val="00083240"/>
    <w:rsid w:val="000835A8"/>
    <w:rsid w:val="00083633"/>
    <w:rsid w:val="00083F9F"/>
    <w:rsid w:val="00084008"/>
    <w:rsid w:val="000846E1"/>
    <w:rsid w:val="0008470C"/>
    <w:rsid w:val="000848D7"/>
    <w:rsid w:val="000858B6"/>
    <w:rsid w:val="000859CC"/>
    <w:rsid w:val="00085B26"/>
    <w:rsid w:val="00085B51"/>
    <w:rsid w:val="00085DFA"/>
    <w:rsid w:val="00085F84"/>
    <w:rsid w:val="00086144"/>
    <w:rsid w:val="000867F7"/>
    <w:rsid w:val="00086E76"/>
    <w:rsid w:val="000871FA"/>
    <w:rsid w:val="000874A0"/>
    <w:rsid w:val="000875C3"/>
    <w:rsid w:val="00087691"/>
    <w:rsid w:val="0008771C"/>
    <w:rsid w:val="00087920"/>
    <w:rsid w:val="0008796A"/>
    <w:rsid w:val="00087DCE"/>
    <w:rsid w:val="000904C7"/>
    <w:rsid w:val="00090784"/>
    <w:rsid w:val="00090E6A"/>
    <w:rsid w:val="00090EC9"/>
    <w:rsid w:val="00091090"/>
    <w:rsid w:val="0009154C"/>
    <w:rsid w:val="00091A99"/>
    <w:rsid w:val="00091D8E"/>
    <w:rsid w:val="00091E5A"/>
    <w:rsid w:val="000921EC"/>
    <w:rsid w:val="00092276"/>
    <w:rsid w:val="000924E1"/>
    <w:rsid w:val="00092841"/>
    <w:rsid w:val="00092A3B"/>
    <w:rsid w:val="00092AF8"/>
    <w:rsid w:val="00092DA9"/>
    <w:rsid w:val="00092F3C"/>
    <w:rsid w:val="00092FBB"/>
    <w:rsid w:val="00093686"/>
    <w:rsid w:val="00093B2B"/>
    <w:rsid w:val="00093C10"/>
    <w:rsid w:val="00093D42"/>
    <w:rsid w:val="000944C8"/>
    <w:rsid w:val="00094722"/>
    <w:rsid w:val="00095040"/>
    <w:rsid w:val="000956A1"/>
    <w:rsid w:val="0009573E"/>
    <w:rsid w:val="00095B08"/>
    <w:rsid w:val="00095BC8"/>
    <w:rsid w:val="00095C61"/>
    <w:rsid w:val="00095D9C"/>
    <w:rsid w:val="00095F01"/>
    <w:rsid w:val="00095F04"/>
    <w:rsid w:val="000960BB"/>
    <w:rsid w:val="000969F0"/>
    <w:rsid w:val="00096DAC"/>
    <w:rsid w:val="00096DB6"/>
    <w:rsid w:val="00097134"/>
    <w:rsid w:val="00097B56"/>
    <w:rsid w:val="00097C1C"/>
    <w:rsid w:val="00097EDE"/>
    <w:rsid w:val="000A010B"/>
    <w:rsid w:val="000A04B8"/>
    <w:rsid w:val="000A0599"/>
    <w:rsid w:val="000A0628"/>
    <w:rsid w:val="000A092F"/>
    <w:rsid w:val="000A0E13"/>
    <w:rsid w:val="000A147F"/>
    <w:rsid w:val="000A1486"/>
    <w:rsid w:val="000A1493"/>
    <w:rsid w:val="000A193D"/>
    <w:rsid w:val="000A195B"/>
    <w:rsid w:val="000A2187"/>
    <w:rsid w:val="000A23FF"/>
    <w:rsid w:val="000A25A2"/>
    <w:rsid w:val="000A25A4"/>
    <w:rsid w:val="000A2776"/>
    <w:rsid w:val="000A2A9D"/>
    <w:rsid w:val="000A2E48"/>
    <w:rsid w:val="000A3499"/>
    <w:rsid w:val="000A3B50"/>
    <w:rsid w:val="000A3B83"/>
    <w:rsid w:val="000A45C3"/>
    <w:rsid w:val="000A48AE"/>
    <w:rsid w:val="000A4937"/>
    <w:rsid w:val="000A49C5"/>
    <w:rsid w:val="000A4BF8"/>
    <w:rsid w:val="000A4E9A"/>
    <w:rsid w:val="000A4F13"/>
    <w:rsid w:val="000A53C4"/>
    <w:rsid w:val="000A57FB"/>
    <w:rsid w:val="000A59B8"/>
    <w:rsid w:val="000A7084"/>
    <w:rsid w:val="000A719D"/>
    <w:rsid w:val="000A7685"/>
    <w:rsid w:val="000A7FFC"/>
    <w:rsid w:val="000B01FE"/>
    <w:rsid w:val="000B0234"/>
    <w:rsid w:val="000B047A"/>
    <w:rsid w:val="000B07E9"/>
    <w:rsid w:val="000B0E02"/>
    <w:rsid w:val="000B0EE6"/>
    <w:rsid w:val="000B114D"/>
    <w:rsid w:val="000B13B6"/>
    <w:rsid w:val="000B150C"/>
    <w:rsid w:val="000B18E8"/>
    <w:rsid w:val="000B1C79"/>
    <w:rsid w:val="000B1F91"/>
    <w:rsid w:val="000B1FB0"/>
    <w:rsid w:val="000B2045"/>
    <w:rsid w:val="000B231F"/>
    <w:rsid w:val="000B2380"/>
    <w:rsid w:val="000B27D3"/>
    <w:rsid w:val="000B31C7"/>
    <w:rsid w:val="000B3C70"/>
    <w:rsid w:val="000B3F7C"/>
    <w:rsid w:val="000B4569"/>
    <w:rsid w:val="000B4878"/>
    <w:rsid w:val="000B4970"/>
    <w:rsid w:val="000B4BB7"/>
    <w:rsid w:val="000B4E7C"/>
    <w:rsid w:val="000B5521"/>
    <w:rsid w:val="000B55DB"/>
    <w:rsid w:val="000B5F6C"/>
    <w:rsid w:val="000B5FA3"/>
    <w:rsid w:val="000B5FCA"/>
    <w:rsid w:val="000B69C8"/>
    <w:rsid w:val="000B6A73"/>
    <w:rsid w:val="000B711A"/>
    <w:rsid w:val="000B7303"/>
    <w:rsid w:val="000B7B41"/>
    <w:rsid w:val="000B7DB5"/>
    <w:rsid w:val="000C03FA"/>
    <w:rsid w:val="000C0529"/>
    <w:rsid w:val="000C0BCF"/>
    <w:rsid w:val="000C0C4A"/>
    <w:rsid w:val="000C0FCB"/>
    <w:rsid w:val="000C1497"/>
    <w:rsid w:val="000C1B1A"/>
    <w:rsid w:val="000C1E10"/>
    <w:rsid w:val="000C24E5"/>
    <w:rsid w:val="000C2A9E"/>
    <w:rsid w:val="000C2AB3"/>
    <w:rsid w:val="000C2FC4"/>
    <w:rsid w:val="000C32F9"/>
    <w:rsid w:val="000C333A"/>
    <w:rsid w:val="000C3F99"/>
    <w:rsid w:val="000C3FB3"/>
    <w:rsid w:val="000C4701"/>
    <w:rsid w:val="000C479C"/>
    <w:rsid w:val="000C4D0D"/>
    <w:rsid w:val="000C5391"/>
    <w:rsid w:val="000C5700"/>
    <w:rsid w:val="000C5C89"/>
    <w:rsid w:val="000C5E3B"/>
    <w:rsid w:val="000C644F"/>
    <w:rsid w:val="000C6A0C"/>
    <w:rsid w:val="000C6BAC"/>
    <w:rsid w:val="000C6D8A"/>
    <w:rsid w:val="000C7059"/>
    <w:rsid w:val="000C73FD"/>
    <w:rsid w:val="000C77C8"/>
    <w:rsid w:val="000C78B1"/>
    <w:rsid w:val="000C7DFD"/>
    <w:rsid w:val="000D03C8"/>
    <w:rsid w:val="000D05AF"/>
    <w:rsid w:val="000D0609"/>
    <w:rsid w:val="000D127F"/>
    <w:rsid w:val="000D1363"/>
    <w:rsid w:val="000D1DF3"/>
    <w:rsid w:val="000D21D0"/>
    <w:rsid w:val="000D2233"/>
    <w:rsid w:val="000D274F"/>
    <w:rsid w:val="000D2860"/>
    <w:rsid w:val="000D29D6"/>
    <w:rsid w:val="000D2C75"/>
    <w:rsid w:val="000D38B9"/>
    <w:rsid w:val="000D3B02"/>
    <w:rsid w:val="000D3B3B"/>
    <w:rsid w:val="000D3E6B"/>
    <w:rsid w:val="000D3F25"/>
    <w:rsid w:val="000D4587"/>
    <w:rsid w:val="000D460F"/>
    <w:rsid w:val="000D489D"/>
    <w:rsid w:val="000D48A1"/>
    <w:rsid w:val="000D5611"/>
    <w:rsid w:val="000D56C8"/>
    <w:rsid w:val="000D56FD"/>
    <w:rsid w:val="000D5BAA"/>
    <w:rsid w:val="000D68FB"/>
    <w:rsid w:val="000D6C90"/>
    <w:rsid w:val="000D6CFD"/>
    <w:rsid w:val="000D705C"/>
    <w:rsid w:val="000D7290"/>
    <w:rsid w:val="000D7774"/>
    <w:rsid w:val="000D7AE9"/>
    <w:rsid w:val="000D7F82"/>
    <w:rsid w:val="000E0020"/>
    <w:rsid w:val="000E064E"/>
    <w:rsid w:val="000E159B"/>
    <w:rsid w:val="000E2001"/>
    <w:rsid w:val="000E21CB"/>
    <w:rsid w:val="000E29A2"/>
    <w:rsid w:val="000E2C9D"/>
    <w:rsid w:val="000E3600"/>
    <w:rsid w:val="000E379A"/>
    <w:rsid w:val="000E3888"/>
    <w:rsid w:val="000E3AA3"/>
    <w:rsid w:val="000E3B2E"/>
    <w:rsid w:val="000E42D3"/>
    <w:rsid w:val="000E451E"/>
    <w:rsid w:val="000E47A9"/>
    <w:rsid w:val="000E4F63"/>
    <w:rsid w:val="000E510A"/>
    <w:rsid w:val="000E5366"/>
    <w:rsid w:val="000E5673"/>
    <w:rsid w:val="000E5766"/>
    <w:rsid w:val="000E5B9D"/>
    <w:rsid w:val="000E5D1A"/>
    <w:rsid w:val="000E6DEC"/>
    <w:rsid w:val="000E7040"/>
    <w:rsid w:val="000E7105"/>
    <w:rsid w:val="000E713D"/>
    <w:rsid w:val="000E74C7"/>
    <w:rsid w:val="000E7B2C"/>
    <w:rsid w:val="000E7DDE"/>
    <w:rsid w:val="000F0050"/>
    <w:rsid w:val="000F021B"/>
    <w:rsid w:val="000F027A"/>
    <w:rsid w:val="000F0586"/>
    <w:rsid w:val="000F0CF8"/>
    <w:rsid w:val="000F1077"/>
    <w:rsid w:val="000F137B"/>
    <w:rsid w:val="000F1523"/>
    <w:rsid w:val="000F1B05"/>
    <w:rsid w:val="000F1E3B"/>
    <w:rsid w:val="000F1E46"/>
    <w:rsid w:val="000F1F8B"/>
    <w:rsid w:val="000F27F8"/>
    <w:rsid w:val="000F283B"/>
    <w:rsid w:val="000F2902"/>
    <w:rsid w:val="000F313A"/>
    <w:rsid w:val="000F33C4"/>
    <w:rsid w:val="000F34CC"/>
    <w:rsid w:val="000F3612"/>
    <w:rsid w:val="000F3865"/>
    <w:rsid w:val="000F3F80"/>
    <w:rsid w:val="000F4148"/>
    <w:rsid w:val="000F456F"/>
    <w:rsid w:val="000F49B9"/>
    <w:rsid w:val="000F4D18"/>
    <w:rsid w:val="000F4E8C"/>
    <w:rsid w:val="000F55BD"/>
    <w:rsid w:val="000F5F47"/>
    <w:rsid w:val="000F69A1"/>
    <w:rsid w:val="000F6B2C"/>
    <w:rsid w:val="000F6D06"/>
    <w:rsid w:val="000F7175"/>
    <w:rsid w:val="000F726E"/>
    <w:rsid w:val="000F72A6"/>
    <w:rsid w:val="000F7873"/>
    <w:rsid w:val="000F7E57"/>
    <w:rsid w:val="001002E6"/>
    <w:rsid w:val="001004D3"/>
    <w:rsid w:val="001007F1"/>
    <w:rsid w:val="001009C1"/>
    <w:rsid w:val="00100AB0"/>
    <w:rsid w:val="00100F63"/>
    <w:rsid w:val="00100F7D"/>
    <w:rsid w:val="00100FEA"/>
    <w:rsid w:val="001011A6"/>
    <w:rsid w:val="0010134E"/>
    <w:rsid w:val="00101674"/>
    <w:rsid w:val="00101C58"/>
    <w:rsid w:val="00101CF0"/>
    <w:rsid w:val="0010250C"/>
    <w:rsid w:val="00102589"/>
    <w:rsid w:val="00102663"/>
    <w:rsid w:val="00102775"/>
    <w:rsid w:val="001027D5"/>
    <w:rsid w:val="00103292"/>
    <w:rsid w:val="00103560"/>
    <w:rsid w:val="00103762"/>
    <w:rsid w:val="00103A23"/>
    <w:rsid w:val="00103EC2"/>
    <w:rsid w:val="0010473B"/>
    <w:rsid w:val="00104832"/>
    <w:rsid w:val="00105971"/>
    <w:rsid w:val="00106307"/>
    <w:rsid w:val="001064E5"/>
    <w:rsid w:val="00106630"/>
    <w:rsid w:val="001066D1"/>
    <w:rsid w:val="0010693D"/>
    <w:rsid w:val="00106A2D"/>
    <w:rsid w:val="001070D6"/>
    <w:rsid w:val="0010745B"/>
    <w:rsid w:val="00107581"/>
    <w:rsid w:val="00107735"/>
    <w:rsid w:val="001079AA"/>
    <w:rsid w:val="00107A18"/>
    <w:rsid w:val="00107F6D"/>
    <w:rsid w:val="001101A3"/>
    <w:rsid w:val="00110573"/>
    <w:rsid w:val="0011086D"/>
    <w:rsid w:val="00110B13"/>
    <w:rsid w:val="00110B19"/>
    <w:rsid w:val="00110F54"/>
    <w:rsid w:val="00111297"/>
    <w:rsid w:val="00112D89"/>
    <w:rsid w:val="00113284"/>
    <w:rsid w:val="001132BC"/>
    <w:rsid w:val="001132EA"/>
    <w:rsid w:val="001136BA"/>
    <w:rsid w:val="00113AF8"/>
    <w:rsid w:val="00113BE1"/>
    <w:rsid w:val="00113D78"/>
    <w:rsid w:val="00114051"/>
    <w:rsid w:val="00114305"/>
    <w:rsid w:val="001143B2"/>
    <w:rsid w:val="00114758"/>
    <w:rsid w:val="00114A0A"/>
    <w:rsid w:val="0011555D"/>
    <w:rsid w:val="001158DD"/>
    <w:rsid w:val="00115A65"/>
    <w:rsid w:val="00115B89"/>
    <w:rsid w:val="00115DFA"/>
    <w:rsid w:val="0011667F"/>
    <w:rsid w:val="00116C88"/>
    <w:rsid w:val="001170DB"/>
    <w:rsid w:val="001172EC"/>
    <w:rsid w:val="0011788A"/>
    <w:rsid w:val="001178E1"/>
    <w:rsid w:val="0011791E"/>
    <w:rsid w:val="00117B0D"/>
    <w:rsid w:val="00117B8C"/>
    <w:rsid w:val="00117C70"/>
    <w:rsid w:val="00117CF1"/>
    <w:rsid w:val="00117D58"/>
    <w:rsid w:val="00117D68"/>
    <w:rsid w:val="0012008C"/>
    <w:rsid w:val="0012016F"/>
    <w:rsid w:val="00120B8B"/>
    <w:rsid w:val="0012157A"/>
    <w:rsid w:val="00121D0E"/>
    <w:rsid w:val="001221F9"/>
    <w:rsid w:val="00122B16"/>
    <w:rsid w:val="00123E7F"/>
    <w:rsid w:val="00123EB5"/>
    <w:rsid w:val="00124005"/>
    <w:rsid w:val="00124379"/>
    <w:rsid w:val="001245CB"/>
    <w:rsid w:val="001249FF"/>
    <w:rsid w:val="00124D84"/>
    <w:rsid w:val="00124FE7"/>
    <w:rsid w:val="001254F1"/>
    <w:rsid w:val="001303FE"/>
    <w:rsid w:val="00130784"/>
    <w:rsid w:val="00130F2B"/>
    <w:rsid w:val="001311D9"/>
    <w:rsid w:val="0013159D"/>
    <w:rsid w:val="001315F3"/>
    <w:rsid w:val="001319DC"/>
    <w:rsid w:val="00131A24"/>
    <w:rsid w:val="00132959"/>
    <w:rsid w:val="001329E7"/>
    <w:rsid w:val="00132A1F"/>
    <w:rsid w:val="00132F75"/>
    <w:rsid w:val="001331AA"/>
    <w:rsid w:val="00133271"/>
    <w:rsid w:val="001333C1"/>
    <w:rsid w:val="00133476"/>
    <w:rsid w:val="001334FD"/>
    <w:rsid w:val="001337A0"/>
    <w:rsid w:val="001340FC"/>
    <w:rsid w:val="0013422F"/>
    <w:rsid w:val="00134B4C"/>
    <w:rsid w:val="00135B03"/>
    <w:rsid w:val="00135B2F"/>
    <w:rsid w:val="00135FCF"/>
    <w:rsid w:val="0013649E"/>
    <w:rsid w:val="00136FD2"/>
    <w:rsid w:val="001373BA"/>
    <w:rsid w:val="001375B0"/>
    <w:rsid w:val="0014003A"/>
    <w:rsid w:val="00140439"/>
    <w:rsid w:val="00140622"/>
    <w:rsid w:val="00140CDA"/>
    <w:rsid w:val="00140EB1"/>
    <w:rsid w:val="00141204"/>
    <w:rsid w:val="001415DF"/>
    <w:rsid w:val="00141711"/>
    <w:rsid w:val="001419AB"/>
    <w:rsid w:val="00142133"/>
    <w:rsid w:val="0014233D"/>
    <w:rsid w:val="00142BE7"/>
    <w:rsid w:val="001432C9"/>
    <w:rsid w:val="00143595"/>
    <w:rsid w:val="001437C2"/>
    <w:rsid w:val="00143841"/>
    <w:rsid w:val="0014386B"/>
    <w:rsid w:val="00143A4E"/>
    <w:rsid w:val="00143A97"/>
    <w:rsid w:val="0014400B"/>
    <w:rsid w:val="001440E3"/>
    <w:rsid w:val="00144227"/>
    <w:rsid w:val="00144277"/>
    <w:rsid w:val="0014447D"/>
    <w:rsid w:val="001444EB"/>
    <w:rsid w:val="001447C1"/>
    <w:rsid w:val="00144825"/>
    <w:rsid w:val="00144AC9"/>
    <w:rsid w:val="00144F2D"/>
    <w:rsid w:val="001451E7"/>
    <w:rsid w:val="001452C4"/>
    <w:rsid w:val="00145317"/>
    <w:rsid w:val="00145458"/>
    <w:rsid w:val="00145AF4"/>
    <w:rsid w:val="00146162"/>
    <w:rsid w:val="00146E6F"/>
    <w:rsid w:val="0014708A"/>
    <w:rsid w:val="001472DF"/>
    <w:rsid w:val="001477A0"/>
    <w:rsid w:val="00147A18"/>
    <w:rsid w:val="00147B18"/>
    <w:rsid w:val="00147DB4"/>
    <w:rsid w:val="00150157"/>
    <w:rsid w:val="001501E3"/>
    <w:rsid w:val="00150369"/>
    <w:rsid w:val="001508BF"/>
    <w:rsid w:val="00150D78"/>
    <w:rsid w:val="00151630"/>
    <w:rsid w:val="00151A82"/>
    <w:rsid w:val="00151EDC"/>
    <w:rsid w:val="0015221C"/>
    <w:rsid w:val="0015276F"/>
    <w:rsid w:val="0015290D"/>
    <w:rsid w:val="00152DA3"/>
    <w:rsid w:val="001534EC"/>
    <w:rsid w:val="00153586"/>
    <w:rsid w:val="0015364C"/>
    <w:rsid w:val="0015424B"/>
    <w:rsid w:val="00154276"/>
    <w:rsid w:val="00154451"/>
    <w:rsid w:val="0015458A"/>
    <w:rsid w:val="00154627"/>
    <w:rsid w:val="001547A3"/>
    <w:rsid w:val="00154AC7"/>
    <w:rsid w:val="00154BD8"/>
    <w:rsid w:val="0015533F"/>
    <w:rsid w:val="001557D2"/>
    <w:rsid w:val="0015581D"/>
    <w:rsid w:val="00155CBB"/>
    <w:rsid w:val="00155FAF"/>
    <w:rsid w:val="001561B9"/>
    <w:rsid w:val="001561F2"/>
    <w:rsid w:val="0015667B"/>
    <w:rsid w:val="00156C87"/>
    <w:rsid w:val="001576A3"/>
    <w:rsid w:val="001577DA"/>
    <w:rsid w:val="00157F0D"/>
    <w:rsid w:val="00160265"/>
    <w:rsid w:val="00160671"/>
    <w:rsid w:val="00160F3D"/>
    <w:rsid w:val="001617EA"/>
    <w:rsid w:val="00161F32"/>
    <w:rsid w:val="0016232F"/>
    <w:rsid w:val="00162C17"/>
    <w:rsid w:val="00162D9D"/>
    <w:rsid w:val="001630AF"/>
    <w:rsid w:val="001631FF"/>
    <w:rsid w:val="001643B4"/>
    <w:rsid w:val="001644C9"/>
    <w:rsid w:val="001644D3"/>
    <w:rsid w:val="001644EE"/>
    <w:rsid w:val="0016461B"/>
    <w:rsid w:val="00164DB7"/>
    <w:rsid w:val="001650EF"/>
    <w:rsid w:val="00165103"/>
    <w:rsid w:val="001655CA"/>
    <w:rsid w:val="001659D2"/>
    <w:rsid w:val="00165A80"/>
    <w:rsid w:val="00165B6F"/>
    <w:rsid w:val="00165C12"/>
    <w:rsid w:val="00165D23"/>
    <w:rsid w:val="0016681B"/>
    <w:rsid w:val="00166C2D"/>
    <w:rsid w:val="00167271"/>
    <w:rsid w:val="00167290"/>
    <w:rsid w:val="001673A5"/>
    <w:rsid w:val="001678EC"/>
    <w:rsid w:val="00167CC2"/>
    <w:rsid w:val="00167E7E"/>
    <w:rsid w:val="00170814"/>
    <w:rsid w:val="00170D25"/>
    <w:rsid w:val="00170EEF"/>
    <w:rsid w:val="001712ED"/>
    <w:rsid w:val="00171537"/>
    <w:rsid w:val="00171778"/>
    <w:rsid w:val="00171D86"/>
    <w:rsid w:val="0017316C"/>
    <w:rsid w:val="0017330C"/>
    <w:rsid w:val="00173C2B"/>
    <w:rsid w:val="00173CD9"/>
    <w:rsid w:val="00174518"/>
    <w:rsid w:val="001746F4"/>
    <w:rsid w:val="00174DD3"/>
    <w:rsid w:val="001754D9"/>
    <w:rsid w:val="0017570F"/>
    <w:rsid w:val="00175A0D"/>
    <w:rsid w:val="0017610A"/>
    <w:rsid w:val="00176C9D"/>
    <w:rsid w:val="00176E78"/>
    <w:rsid w:val="00177566"/>
    <w:rsid w:val="00177BF5"/>
    <w:rsid w:val="0018008F"/>
    <w:rsid w:val="001805C0"/>
    <w:rsid w:val="00180D1A"/>
    <w:rsid w:val="0018111A"/>
    <w:rsid w:val="001816B8"/>
    <w:rsid w:val="00182E53"/>
    <w:rsid w:val="00183147"/>
    <w:rsid w:val="00183402"/>
    <w:rsid w:val="001834CE"/>
    <w:rsid w:val="001835D1"/>
    <w:rsid w:val="00183C25"/>
    <w:rsid w:val="00183D96"/>
    <w:rsid w:val="00183F83"/>
    <w:rsid w:val="00184291"/>
    <w:rsid w:val="001847F2"/>
    <w:rsid w:val="00184948"/>
    <w:rsid w:val="00184ABB"/>
    <w:rsid w:val="00184B52"/>
    <w:rsid w:val="001850AB"/>
    <w:rsid w:val="00185582"/>
    <w:rsid w:val="00185615"/>
    <w:rsid w:val="001857F8"/>
    <w:rsid w:val="00185F04"/>
    <w:rsid w:val="00186378"/>
    <w:rsid w:val="0018689A"/>
    <w:rsid w:val="00186D80"/>
    <w:rsid w:val="0018711D"/>
    <w:rsid w:val="0018728F"/>
    <w:rsid w:val="00187300"/>
    <w:rsid w:val="00187487"/>
    <w:rsid w:val="00187B09"/>
    <w:rsid w:val="00190C78"/>
    <w:rsid w:val="00190F02"/>
    <w:rsid w:val="0019132A"/>
    <w:rsid w:val="001915C3"/>
    <w:rsid w:val="00191964"/>
    <w:rsid w:val="00191F69"/>
    <w:rsid w:val="001920D9"/>
    <w:rsid w:val="001927B9"/>
    <w:rsid w:val="00192847"/>
    <w:rsid w:val="00193381"/>
    <w:rsid w:val="001935EB"/>
    <w:rsid w:val="00193971"/>
    <w:rsid w:val="00193C56"/>
    <w:rsid w:val="00193CD0"/>
    <w:rsid w:val="00193D3F"/>
    <w:rsid w:val="001943EB"/>
    <w:rsid w:val="0019470F"/>
    <w:rsid w:val="0019482C"/>
    <w:rsid w:val="00194DB9"/>
    <w:rsid w:val="00194E3A"/>
    <w:rsid w:val="00195BCB"/>
    <w:rsid w:val="00195BCC"/>
    <w:rsid w:val="001962BE"/>
    <w:rsid w:val="001962E0"/>
    <w:rsid w:val="0019752F"/>
    <w:rsid w:val="0019753F"/>
    <w:rsid w:val="001A059C"/>
    <w:rsid w:val="001A0767"/>
    <w:rsid w:val="001A0A74"/>
    <w:rsid w:val="001A0ADC"/>
    <w:rsid w:val="001A0BA5"/>
    <w:rsid w:val="001A12D5"/>
    <w:rsid w:val="001A12EC"/>
    <w:rsid w:val="001A134C"/>
    <w:rsid w:val="001A16E3"/>
    <w:rsid w:val="001A1CD0"/>
    <w:rsid w:val="001A1EE2"/>
    <w:rsid w:val="001A1FE7"/>
    <w:rsid w:val="001A2298"/>
    <w:rsid w:val="001A2AD5"/>
    <w:rsid w:val="001A413D"/>
    <w:rsid w:val="001A4307"/>
    <w:rsid w:val="001A48F8"/>
    <w:rsid w:val="001A4B12"/>
    <w:rsid w:val="001A4D43"/>
    <w:rsid w:val="001A4E2D"/>
    <w:rsid w:val="001A5001"/>
    <w:rsid w:val="001A514B"/>
    <w:rsid w:val="001A5203"/>
    <w:rsid w:val="001A5291"/>
    <w:rsid w:val="001A551B"/>
    <w:rsid w:val="001A56E3"/>
    <w:rsid w:val="001A5780"/>
    <w:rsid w:val="001A595C"/>
    <w:rsid w:val="001A5A42"/>
    <w:rsid w:val="001A5AE3"/>
    <w:rsid w:val="001A5BD4"/>
    <w:rsid w:val="001A5F22"/>
    <w:rsid w:val="001A5F29"/>
    <w:rsid w:val="001A61DE"/>
    <w:rsid w:val="001A64E2"/>
    <w:rsid w:val="001A65C3"/>
    <w:rsid w:val="001A6647"/>
    <w:rsid w:val="001A68F3"/>
    <w:rsid w:val="001A6CAA"/>
    <w:rsid w:val="001A6D15"/>
    <w:rsid w:val="001A6EA7"/>
    <w:rsid w:val="001A73A8"/>
    <w:rsid w:val="001A74A2"/>
    <w:rsid w:val="001A761A"/>
    <w:rsid w:val="001A791A"/>
    <w:rsid w:val="001A7D00"/>
    <w:rsid w:val="001A7E9D"/>
    <w:rsid w:val="001B0331"/>
    <w:rsid w:val="001B056D"/>
    <w:rsid w:val="001B07BC"/>
    <w:rsid w:val="001B0C38"/>
    <w:rsid w:val="001B0ECC"/>
    <w:rsid w:val="001B0EDA"/>
    <w:rsid w:val="001B0F6E"/>
    <w:rsid w:val="001B123A"/>
    <w:rsid w:val="001B12E5"/>
    <w:rsid w:val="001B17D0"/>
    <w:rsid w:val="001B1C80"/>
    <w:rsid w:val="001B1EC8"/>
    <w:rsid w:val="001B1F6D"/>
    <w:rsid w:val="001B2139"/>
    <w:rsid w:val="001B272F"/>
    <w:rsid w:val="001B27FD"/>
    <w:rsid w:val="001B30EB"/>
    <w:rsid w:val="001B38E0"/>
    <w:rsid w:val="001B3E1F"/>
    <w:rsid w:val="001B3FAB"/>
    <w:rsid w:val="001B4825"/>
    <w:rsid w:val="001B5189"/>
    <w:rsid w:val="001B5C3F"/>
    <w:rsid w:val="001B6211"/>
    <w:rsid w:val="001B6259"/>
    <w:rsid w:val="001B6405"/>
    <w:rsid w:val="001B6632"/>
    <w:rsid w:val="001B6DDC"/>
    <w:rsid w:val="001B6ED3"/>
    <w:rsid w:val="001B7116"/>
    <w:rsid w:val="001B7C63"/>
    <w:rsid w:val="001C00DB"/>
    <w:rsid w:val="001C0FEB"/>
    <w:rsid w:val="001C117E"/>
    <w:rsid w:val="001C1583"/>
    <w:rsid w:val="001C16B6"/>
    <w:rsid w:val="001C1A0B"/>
    <w:rsid w:val="001C1F9B"/>
    <w:rsid w:val="001C209E"/>
    <w:rsid w:val="001C2512"/>
    <w:rsid w:val="001C26FB"/>
    <w:rsid w:val="001C299B"/>
    <w:rsid w:val="001C2C8A"/>
    <w:rsid w:val="001C2FC9"/>
    <w:rsid w:val="001C33F9"/>
    <w:rsid w:val="001C36FB"/>
    <w:rsid w:val="001C39CD"/>
    <w:rsid w:val="001C3B47"/>
    <w:rsid w:val="001C3F86"/>
    <w:rsid w:val="001C411F"/>
    <w:rsid w:val="001C41C0"/>
    <w:rsid w:val="001C463D"/>
    <w:rsid w:val="001C4BD9"/>
    <w:rsid w:val="001C4C43"/>
    <w:rsid w:val="001C4C95"/>
    <w:rsid w:val="001C4DC1"/>
    <w:rsid w:val="001C4F66"/>
    <w:rsid w:val="001C52C4"/>
    <w:rsid w:val="001C5EA4"/>
    <w:rsid w:val="001C6A68"/>
    <w:rsid w:val="001C6D4E"/>
    <w:rsid w:val="001C700B"/>
    <w:rsid w:val="001C7191"/>
    <w:rsid w:val="001C752E"/>
    <w:rsid w:val="001C78D8"/>
    <w:rsid w:val="001C7B67"/>
    <w:rsid w:val="001D0161"/>
    <w:rsid w:val="001D05C7"/>
    <w:rsid w:val="001D0D4F"/>
    <w:rsid w:val="001D0D8E"/>
    <w:rsid w:val="001D0D95"/>
    <w:rsid w:val="001D0DE8"/>
    <w:rsid w:val="001D10E7"/>
    <w:rsid w:val="001D160D"/>
    <w:rsid w:val="001D1EE9"/>
    <w:rsid w:val="001D24F0"/>
    <w:rsid w:val="001D250E"/>
    <w:rsid w:val="001D2D3F"/>
    <w:rsid w:val="001D309B"/>
    <w:rsid w:val="001D32A5"/>
    <w:rsid w:val="001D384C"/>
    <w:rsid w:val="001D3A5D"/>
    <w:rsid w:val="001D4295"/>
    <w:rsid w:val="001D4D39"/>
    <w:rsid w:val="001D5CD3"/>
    <w:rsid w:val="001D5F76"/>
    <w:rsid w:val="001D63B6"/>
    <w:rsid w:val="001D6593"/>
    <w:rsid w:val="001D66FE"/>
    <w:rsid w:val="001D6968"/>
    <w:rsid w:val="001D712A"/>
    <w:rsid w:val="001D765E"/>
    <w:rsid w:val="001D7E08"/>
    <w:rsid w:val="001E008A"/>
    <w:rsid w:val="001E05D6"/>
    <w:rsid w:val="001E06B1"/>
    <w:rsid w:val="001E084E"/>
    <w:rsid w:val="001E08F4"/>
    <w:rsid w:val="001E09EE"/>
    <w:rsid w:val="001E121D"/>
    <w:rsid w:val="001E13F2"/>
    <w:rsid w:val="001E334A"/>
    <w:rsid w:val="001E3456"/>
    <w:rsid w:val="001E34AB"/>
    <w:rsid w:val="001E3998"/>
    <w:rsid w:val="001E4D90"/>
    <w:rsid w:val="001E514E"/>
    <w:rsid w:val="001E51EF"/>
    <w:rsid w:val="001E5209"/>
    <w:rsid w:val="001E54AE"/>
    <w:rsid w:val="001E5AA7"/>
    <w:rsid w:val="001E5BC4"/>
    <w:rsid w:val="001E5E89"/>
    <w:rsid w:val="001E632E"/>
    <w:rsid w:val="001E67AB"/>
    <w:rsid w:val="001E6813"/>
    <w:rsid w:val="001E684F"/>
    <w:rsid w:val="001E6AE3"/>
    <w:rsid w:val="001E6C77"/>
    <w:rsid w:val="001E6FA0"/>
    <w:rsid w:val="001E755E"/>
    <w:rsid w:val="001E7767"/>
    <w:rsid w:val="001E7BD6"/>
    <w:rsid w:val="001E7E06"/>
    <w:rsid w:val="001F0068"/>
    <w:rsid w:val="001F0265"/>
    <w:rsid w:val="001F053B"/>
    <w:rsid w:val="001F09A8"/>
    <w:rsid w:val="001F0B31"/>
    <w:rsid w:val="001F0F38"/>
    <w:rsid w:val="001F0FA1"/>
    <w:rsid w:val="001F100C"/>
    <w:rsid w:val="001F102E"/>
    <w:rsid w:val="001F116F"/>
    <w:rsid w:val="001F15B2"/>
    <w:rsid w:val="001F1986"/>
    <w:rsid w:val="001F1C96"/>
    <w:rsid w:val="001F1E9E"/>
    <w:rsid w:val="001F205C"/>
    <w:rsid w:val="001F22DB"/>
    <w:rsid w:val="001F290C"/>
    <w:rsid w:val="001F2E65"/>
    <w:rsid w:val="001F3A67"/>
    <w:rsid w:val="001F3D65"/>
    <w:rsid w:val="001F3F94"/>
    <w:rsid w:val="001F43B1"/>
    <w:rsid w:val="001F4723"/>
    <w:rsid w:val="001F4ADB"/>
    <w:rsid w:val="001F5184"/>
    <w:rsid w:val="001F5ABD"/>
    <w:rsid w:val="001F5E83"/>
    <w:rsid w:val="001F5EE5"/>
    <w:rsid w:val="001F5F99"/>
    <w:rsid w:val="001F6059"/>
    <w:rsid w:val="001F60A0"/>
    <w:rsid w:val="001F6344"/>
    <w:rsid w:val="001F6565"/>
    <w:rsid w:val="001F65BE"/>
    <w:rsid w:val="001F65C3"/>
    <w:rsid w:val="001F6618"/>
    <w:rsid w:val="001F6993"/>
    <w:rsid w:val="001F72A4"/>
    <w:rsid w:val="001F73AF"/>
    <w:rsid w:val="00200034"/>
    <w:rsid w:val="0020038C"/>
    <w:rsid w:val="00200ADB"/>
    <w:rsid w:val="0020147A"/>
    <w:rsid w:val="0020157B"/>
    <w:rsid w:val="00201AA5"/>
    <w:rsid w:val="00201C90"/>
    <w:rsid w:val="00201FF6"/>
    <w:rsid w:val="002021B6"/>
    <w:rsid w:val="0020259C"/>
    <w:rsid w:val="002025CC"/>
    <w:rsid w:val="002028C9"/>
    <w:rsid w:val="00202D9A"/>
    <w:rsid w:val="00203575"/>
    <w:rsid w:val="0020380F"/>
    <w:rsid w:val="00203BF0"/>
    <w:rsid w:val="00203DFE"/>
    <w:rsid w:val="00204224"/>
    <w:rsid w:val="00204415"/>
    <w:rsid w:val="00204B30"/>
    <w:rsid w:val="00204E0E"/>
    <w:rsid w:val="0020529A"/>
    <w:rsid w:val="00205DA9"/>
    <w:rsid w:val="00206138"/>
    <w:rsid w:val="002062B2"/>
    <w:rsid w:val="0020635A"/>
    <w:rsid w:val="002065D5"/>
    <w:rsid w:val="00206D04"/>
    <w:rsid w:val="00207489"/>
    <w:rsid w:val="0020751B"/>
    <w:rsid w:val="00210097"/>
    <w:rsid w:val="002103DC"/>
    <w:rsid w:val="0021074A"/>
    <w:rsid w:val="00210FE6"/>
    <w:rsid w:val="00211145"/>
    <w:rsid w:val="0021118C"/>
    <w:rsid w:val="0021151C"/>
    <w:rsid w:val="0021154F"/>
    <w:rsid w:val="00211673"/>
    <w:rsid w:val="0021176C"/>
    <w:rsid w:val="00211936"/>
    <w:rsid w:val="00211B98"/>
    <w:rsid w:val="00211D61"/>
    <w:rsid w:val="00212060"/>
    <w:rsid w:val="002122DC"/>
    <w:rsid w:val="00213201"/>
    <w:rsid w:val="00213433"/>
    <w:rsid w:val="002134B3"/>
    <w:rsid w:val="002135BC"/>
    <w:rsid w:val="0021385D"/>
    <w:rsid w:val="00213A5A"/>
    <w:rsid w:val="00213C86"/>
    <w:rsid w:val="00213D01"/>
    <w:rsid w:val="0021412A"/>
    <w:rsid w:val="00214138"/>
    <w:rsid w:val="0021423B"/>
    <w:rsid w:val="002144F3"/>
    <w:rsid w:val="00214C02"/>
    <w:rsid w:val="0021506F"/>
    <w:rsid w:val="002152D8"/>
    <w:rsid w:val="00215550"/>
    <w:rsid w:val="00215C90"/>
    <w:rsid w:val="00215F16"/>
    <w:rsid w:val="00216198"/>
    <w:rsid w:val="002175CE"/>
    <w:rsid w:val="00217778"/>
    <w:rsid w:val="00217B74"/>
    <w:rsid w:val="00217BCA"/>
    <w:rsid w:val="00220168"/>
    <w:rsid w:val="00220A74"/>
    <w:rsid w:val="00220D9D"/>
    <w:rsid w:val="00220FAB"/>
    <w:rsid w:val="002211E5"/>
    <w:rsid w:val="00221272"/>
    <w:rsid w:val="0022159F"/>
    <w:rsid w:val="00221B3C"/>
    <w:rsid w:val="002222D0"/>
    <w:rsid w:val="0022371A"/>
    <w:rsid w:val="002239C0"/>
    <w:rsid w:val="00223BBD"/>
    <w:rsid w:val="00223D14"/>
    <w:rsid w:val="002248B6"/>
    <w:rsid w:val="002248D5"/>
    <w:rsid w:val="00224C2B"/>
    <w:rsid w:val="00224DBD"/>
    <w:rsid w:val="002253D7"/>
    <w:rsid w:val="0022595A"/>
    <w:rsid w:val="00225B36"/>
    <w:rsid w:val="002265B3"/>
    <w:rsid w:val="00226BF8"/>
    <w:rsid w:val="00226ECD"/>
    <w:rsid w:val="0022763B"/>
    <w:rsid w:val="00227810"/>
    <w:rsid w:val="0022787B"/>
    <w:rsid w:val="002279C2"/>
    <w:rsid w:val="0023003F"/>
    <w:rsid w:val="002304A4"/>
    <w:rsid w:val="002306B1"/>
    <w:rsid w:val="0023074F"/>
    <w:rsid w:val="00230755"/>
    <w:rsid w:val="002308C1"/>
    <w:rsid w:val="00230BA1"/>
    <w:rsid w:val="00230F57"/>
    <w:rsid w:val="00230FD4"/>
    <w:rsid w:val="00231745"/>
    <w:rsid w:val="00231BF2"/>
    <w:rsid w:val="00231CF3"/>
    <w:rsid w:val="00231E7A"/>
    <w:rsid w:val="00231FA8"/>
    <w:rsid w:val="0023272E"/>
    <w:rsid w:val="0023311D"/>
    <w:rsid w:val="002331B0"/>
    <w:rsid w:val="002336C4"/>
    <w:rsid w:val="00233730"/>
    <w:rsid w:val="00233892"/>
    <w:rsid w:val="00234291"/>
    <w:rsid w:val="00235E1F"/>
    <w:rsid w:val="00236456"/>
    <w:rsid w:val="00236925"/>
    <w:rsid w:val="00236A2B"/>
    <w:rsid w:val="00236C50"/>
    <w:rsid w:val="002370E9"/>
    <w:rsid w:val="002372BC"/>
    <w:rsid w:val="00237471"/>
    <w:rsid w:val="00237AC9"/>
    <w:rsid w:val="00237F66"/>
    <w:rsid w:val="00240511"/>
    <w:rsid w:val="002408D2"/>
    <w:rsid w:val="0024105E"/>
    <w:rsid w:val="00241A3A"/>
    <w:rsid w:val="00241A96"/>
    <w:rsid w:val="00241F3C"/>
    <w:rsid w:val="0024233B"/>
    <w:rsid w:val="002427E9"/>
    <w:rsid w:val="002430CC"/>
    <w:rsid w:val="00243962"/>
    <w:rsid w:val="002439E2"/>
    <w:rsid w:val="00243BAC"/>
    <w:rsid w:val="002442B7"/>
    <w:rsid w:val="00244CD9"/>
    <w:rsid w:val="0024529D"/>
    <w:rsid w:val="002458B2"/>
    <w:rsid w:val="0024609C"/>
    <w:rsid w:val="00246290"/>
    <w:rsid w:val="00246606"/>
    <w:rsid w:val="002466AF"/>
    <w:rsid w:val="00246817"/>
    <w:rsid w:val="00246953"/>
    <w:rsid w:val="00246A78"/>
    <w:rsid w:val="00246CCE"/>
    <w:rsid w:val="00247587"/>
    <w:rsid w:val="00247765"/>
    <w:rsid w:val="00247A49"/>
    <w:rsid w:val="0025009B"/>
    <w:rsid w:val="0025027F"/>
    <w:rsid w:val="00250995"/>
    <w:rsid w:val="00250BCB"/>
    <w:rsid w:val="002512FC"/>
    <w:rsid w:val="00251F78"/>
    <w:rsid w:val="00252715"/>
    <w:rsid w:val="002527A5"/>
    <w:rsid w:val="00252BDC"/>
    <w:rsid w:val="002532E0"/>
    <w:rsid w:val="002533A8"/>
    <w:rsid w:val="00253E29"/>
    <w:rsid w:val="00253F14"/>
    <w:rsid w:val="00254270"/>
    <w:rsid w:val="002543AD"/>
    <w:rsid w:val="00254491"/>
    <w:rsid w:val="00254504"/>
    <w:rsid w:val="00254541"/>
    <w:rsid w:val="002545EA"/>
    <w:rsid w:val="002551A2"/>
    <w:rsid w:val="002551ED"/>
    <w:rsid w:val="002553E6"/>
    <w:rsid w:val="0025578F"/>
    <w:rsid w:val="00256041"/>
    <w:rsid w:val="00256937"/>
    <w:rsid w:val="0025701D"/>
    <w:rsid w:val="00257143"/>
    <w:rsid w:val="0025725A"/>
    <w:rsid w:val="002574A0"/>
    <w:rsid w:val="00257C65"/>
    <w:rsid w:val="00257D48"/>
    <w:rsid w:val="00257D5A"/>
    <w:rsid w:val="00257DA4"/>
    <w:rsid w:val="002601FD"/>
    <w:rsid w:val="0026034F"/>
    <w:rsid w:val="00260596"/>
    <w:rsid w:val="0026087A"/>
    <w:rsid w:val="002611F5"/>
    <w:rsid w:val="0026139D"/>
    <w:rsid w:val="002615E0"/>
    <w:rsid w:val="002617C3"/>
    <w:rsid w:val="002617D2"/>
    <w:rsid w:val="0026218F"/>
    <w:rsid w:val="00262197"/>
    <w:rsid w:val="00263880"/>
    <w:rsid w:val="0026415C"/>
    <w:rsid w:val="002641DC"/>
    <w:rsid w:val="0026455E"/>
    <w:rsid w:val="00264B62"/>
    <w:rsid w:val="00264C64"/>
    <w:rsid w:val="002651DA"/>
    <w:rsid w:val="002654C7"/>
    <w:rsid w:val="002656ED"/>
    <w:rsid w:val="0026673B"/>
    <w:rsid w:val="00266CC9"/>
    <w:rsid w:val="00266CEC"/>
    <w:rsid w:val="00266D1D"/>
    <w:rsid w:val="00266EB7"/>
    <w:rsid w:val="00267C3F"/>
    <w:rsid w:val="00267D75"/>
    <w:rsid w:val="002702FE"/>
    <w:rsid w:val="00270465"/>
    <w:rsid w:val="00270677"/>
    <w:rsid w:val="00270F13"/>
    <w:rsid w:val="00271078"/>
    <w:rsid w:val="00271276"/>
    <w:rsid w:val="00271295"/>
    <w:rsid w:val="0027183A"/>
    <w:rsid w:val="002719EC"/>
    <w:rsid w:val="00271FBF"/>
    <w:rsid w:val="00272175"/>
    <w:rsid w:val="0027236A"/>
    <w:rsid w:val="00272993"/>
    <w:rsid w:val="00272E0B"/>
    <w:rsid w:val="002730D7"/>
    <w:rsid w:val="0027321F"/>
    <w:rsid w:val="002734C4"/>
    <w:rsid w:val="00273B72"/>
    <w:rsid w:val="00273D14"/>
    <w:rsid w:val="00273F3C"/>
    <w:rsid w:val="0027431F"/>
    <w:rsid w:val="0027459F"/>
    <w:rsid w:val="002746B7"/>
    <w:rsid w:val="00274790"/>
    <w:rsid w:val="002747DA"/>
    <w:rsid w:val="00274CD3"/>
    <w:rsid w:val="00274D13"/>
    <w:rsid w:val="002755E4"/>
    <w:rsid w:val="002756FD"/>
    <w:rsid w:val="00275A7A"/>
    <w:rsid w:val="00275B36"/>
    <w:rsid w:val="00275FD3"/>
    <w:rsid w:val="00276017"/>
    <w:rsid w:val="00276B2C"/>
    <w:rsid w:val="00276F4F"/>
    <w:rsid w:val="0027704F"/>
    <w:rsid w:val="00277420"/>
    <w:rsid w:val="002774FE"/>
    <w:rsid w:val="002777D7"/>
    <w:rsid w:val="002803F3"/>
    <w:rsid w:val="002807BA"/>
    <w:rsid w:val="00281157"/>
    <w:rsid w:val="00281498"/>
    <w:rsid w:val="00281610"/>
    <w:rsid w:val="002816EA"/>
    <w:rsid w:val="0028183E"/>
    <w:rsid w:val="0028199A"/>
    <w:rsid w:val="002819FC"/>
    <w:rsid w:val="002822D6"/>
    <w:rsid w:val="002822DB"/>
    <w:rsid w:val="002822FC"/>
    <w:rsid w:val="002824FD"/>
    <w:rsid w:val="002829BF"/>
    <w:rsid w:val="00282C10"/>
    <w:rsid w:val="00282F59"/>
    <w:rsid w:val="00283206"/>
    <w:rsid w:val="002838F3"/>
    <w:rsid w:val="00283AA4"/>
    <w:rsid w:val="00284127"/>
    <w:rsid w:val="002845CA"/>
    <w:rsid w:val="00284F98"/>
    <w:rsid w:val="0028598F"/>
    <w:rsid w:val="002866B0"/>
    <w:rsid w:val="00286F04"/>
    <w:rsid w:val="00290089"/>
    <w:rsid w:val="00290442"/>
    <w:rsid w:val="00290756"/>
    <w:rsid w:val="0029076F"/>
    <w:rsid w:val="00290DB8"/>
    <w:rsid w:val="00291F91"/>
    <w:rsid w:val="002923AE"/>
    <w:rsid w:val="002924C1"/>
    <w:rsid w:val="002924E7"/>
    <w:rsid w:val="00292A8F"/>
    <w:rsid w:val="00292F5D"/>
    <w:rsid w:val="002930F7"/>
    <w:rsid w:val="0029310E"/>
    <w:rsid w:val="002936E2"/>
    <w:rsid w:val="002937FF"/>
    <w:rsid w:val="00293983"/>
    <w:rsid w:val="00293D5D"/>
    <w:rsid w:val="00294387"/>
    <w:rsid w:val="0029446D"/>
    <w:rsid w:val="0029453A"/>
    <w:rsid w:val="00294E04"/>
    <w:rsid w:val="002950E6"/>
    <w:rsid w:val="00295967"/>
    <w:rsid w:val="0029603F"/>
    <w:rsid w:val="00296058"/>
    <w:rsid w:val="002966DA"/>
    <w:rsid w:val="002977E2"/>
    <w:rsid w:val="002A0DDA"/>
    <w:rsid w:val="002A0F12"/>
    <w:rsid w:val="002A14EC"/>
    <w:rsid w:val="002A1894"/>
    <w:rsid w:val="002A1E7E"/>
    <w:rsid w:val="002A1E86"/>
    <w:rsid w:val="002A208D"/>
    <w:rsid w:val="002A21DF"/>
    <w:rsid w:val="002A2328"/>
    <w:rsid w:val="002A2371"/>
    <w:rsid w:val="002A2C45"/>
    <w:rsid w:val="002A2D0F"/>
    <w:rsid w:val="002A2DF8"/>
    <w:rsid w:val="002A340C"/>
    <w:rsid w:val="002A347A"/>
    <w:rsid w:val="002A34A4"/>
    <w:rsid w:val="002A3CE8"/>
    <w:rsid w:val="002A3E02"/>
    <w:rsid w:val="002A403B"/>
    <w:rsid w:val="002A42DF"/>
    <w:rsid w:val="002A44D2"/>
    <w:rsid w:val="002A4649"/>
    <w:rsid w:val="002A4AAA"/>
    <w:rsid w:val="002A4C59"/>
    <w:rsid w:val="002A52A9"/>
    <w:rsid w:val="002A5408"/>
    <w:rsid w:val="002A5521"/>
    <w:rsid w:val="002A56BE"/>
    <w:rsid w:val="002A6078"/>
    <w:rsid w:val="002A6618"/>
    <w:rsid w:val="002A6893"/>
    <w:rsid w:val="002A6D9E"/>
    <w:rsid w:val="002A75E9"/>
    <w:rsid w:val="002A7868"/>
    <w:rsid w:val="002A7AF3"/>
    <w:rsid w:val="002A7F07"/>
    <w:rsid w:val="002B02A7"/>
    <w:rsid w:val="002B0843"/>
    <w:rsid w:val="002B11AE"/>
    <w:rsid w:val="002B143C"/>
    <w:rsid w:val="002B1643"/>
    <w:rsid w:val="002B18E6"/>
    <w:rsid w:val="002B203F"/>
    <w:rsid w:val="002B2118"/>
    <w:rsid w:val="002B236A"/>
    <w:rsid w:val="002B2A0F"/>
    <w:rsid w:val="002B327D"/>
    <w:rsid w:val="002B394C"/>
    <w:rsid w:val="002B3953"/>
    <w:rsid w:val="002B3F76"/>
    <w:rsid w:val="002B4196"/>
    <w:rsid w:val="002B42FD"/>
    <w:rsid w:val="002B433C"/>
    <w:rsid w:val="002B43BC"/>
    <w:rsid w:val="002B4E8B"/>
    <w:rsid w:val="002B4FDE"/>
    <w:rsid w:val="002B560D"/>
    <w:rsid w:val="002B5C09"/>
    <w:rsid w:val="002B5D04"/>
    <w:rsid w:val="002B5E3B"/>
    <w:rsid w:val="002B6654"/>
    <w:rsid w:val="002B6892"/>
    <w:rsid w:val="002B7385"/>
    <w:rsid w:val="002C014B"/>
    <w:rsid w:val="002C0628"/>
    <w:rsid w:val="002C09F6"/>
    <w:rsid w:val="002C0EAD"/>
    <w:rsid w:val="002C179D"/>
    <w:rsid w:val="002C1CB5"/>
    <w:rsid w:val="002C1F48"/>
    <w:rsid w:val="002C21AC"/>
    <w:rsid w:val="002C2617"/>
    <w:rsid w:val="002C27BC"/>
    <w:rsid w:val="002C2980"/>
    <w:rsid w:val="002C299E"/>
    <w:rsid w:val="002C302A"/>
    <w:rsid w:val="002C39E4"/>
    <w:rsid w:val="002C3B4F"/>
    <w:rsid w:val="002C3FD2"/>
    <w:rsid w:val="002C412F"/>
    <w:rsid w:val="002C49AA"/>
    <w:rsid w:val="002C4A11"/>
    <w:rsid w:val="002C4B9C"/>
    <w:rsid w:val="002C50BF"/>
    <w:rsid w:val="002C5427"/>
    <w:rsid w:val="002C57B2"/>
    <w:rsid w:val="002C5852"/>
    <w:rsid w:val="002C5A4D"/>
    <w:rsid w:val="002C6621"/>
    <w:rsid w:val="002C6693"/>
    <w:rsid w:val="002C69EC"/>
    <w:rsid w:val="002C7672"/>
    <w:rsid w:val="002C7BAF"/>
    <w:rsid w:val="002C7F9E"/>
    <w:rsid w:val="002D029A"/>
    <w:rsid w:val="002D0667"/>
    <w:rsid w:val="002D08DE"/>
    <w:rsid w:val="002D0C05"/>
    <w:rsid w:val="002D14F5"/>
    <w:rsid w:val="002D1710"/>
    <w:rsid w:val="002D1A93"/>
    <w:rsid w:val="002D1D70"/>
    <w:rsid w:val="002D290F"/>
    <w:rsid w:val="002D2D42"/>
    <w:rsid w:val="002D38FC"/>
    <w:rsid w:val="002D3B22"/>
    <w:rsid w:val="002D3EE0"/>
    <w:rsid w:val="002D3FFD"/>
    <w:rsid w:val="002D40ED"/>
    <w:rsid w:val="002D4365"/>
    <w:rsid w:val="002D4670"/>
    <w:rsid w:val="002D4706"/>
    <w:rsid w:val="002D4CDF"/>
    <w:rsid w:val="002D4D8B"/>
    <w:rsid w:val="002D4F04"/>
    <w:rsid w:val="002D5373"/>
    <w:rsid w:val="002D548A"/>
    <w:rsid w:val="002D552A"/>
    <w:rsid w:val="002D55D2"/>
    <w:rsid w:val="002D5680"/>
    <w:rsid w:val="002D5738"/>
    <w:rsid w:val="002D5A7E"/>
    <w:rsid w:val="002D5C96"/>
    <w:rsid w:val="002D65D5"/>
    <w:rsid w:val="002D66CF"/>
    <w:rsid w:val="002D689E"/>
    <w:rsid w:val="002D6C40"/>
    <w:rsid w:val="002D6E2D"/>
    <w:rsid w:val="002D71D3"/>
    <w:rsid w:val="002D7561"/>
    <w:rsid w:val="002D7D80"/>
    <w:rsid w:val="002D7DCC"/>
    <w:rsid w:val="002E0510"/>
    <w:rsid w:val="002E067E"/>
    <w:rsid w:val="002E0A30"/>
    <w:rsid w:val="002E0B81"/>
    <w:rsid w:val="002E0B9D"/>
    <w:rsid w:val="002E0E9E"/>
    <w:rsid w:val="002E1635"/>
    <w:rsid w:val="002E16E7"/>
    <w:rsid w:val="002E17E3"/>
    <w:rsid w:val="002E2009"/>
    <w:rsid w:val="002E20A8"/>
    <w:rsid w:val="002E2526"/>
    <w:rsid w:val="002E2B71"/>
    <w:rsid w:val="002E2FF9"/>
    <w:rsid w:val="002E3102"/>
    <w:rsid w:val="002E349A"/>
    <w:rsid w:val="002E34EF"/>
    <w:rsid w:val="002E3715"/>
    <w:rsid w:val="002E4259"/>
    <w:rsid w:val="002E45E2"/>
    <w:rsid w:val="002E480C"/>
    <w:rsid w:val="002E4D6D"/>
    <w:rsid w:val="002E5A52"/>
    <w:rsid w:val="002E5C57"/>
    <w:rsid w:val="002E5F1E"/>
    <w:rsid w:val="002E60AC"/>
    <w:rsid w:val="002E6557"/>
    <w:rsid w:val="002E6863"/>
    <w:rsid w:val="002E6F90"/>
    <w:rsid w:val="002E7771"/>
    <w:rsid w:val="002E7AD2"/>
    <w:rsid w:val="002F0573"/>
    <w:rsid w:val="002F062B"/>
    <w:rsid w:val="002F08B2"/>
    <w:rsid w:val="002F08DA"/>
    <w:rsid w:val="002F0A63"/>
    <w:rsid w:val="002F0EE7"/>
    <w:rsid w:val="002F0FE1"/>
    <w:rsid w:val="002F1A1D"/>
    <w:rsid w:val="002F1D63"/>
    <w:rsid w:val="002F1FE9"/>
    <w:rsid w:val="002F20DB"/>
    <w:rsid w:val="002F25A4"/>
    <w:rsid w:val="002F2CD7"/>
    <w:rsid w:val="002F2F79"/>
    <w:rsid w:val="002F346F"/>
    <w:rsid w:val="002F37A4"/>
    <w:rsid w:val="002F3975"/>
    <w:rsid w:val="002F3B0A"/>
    <w:rsid w:val="002F3BB0"/>
    <w:rsid w:val="002F42AC"/>
    <w:rsid w:val="002F4523"/>
    <w:rsid w:val="002F47D1"/>
    <w:rsid w:val="002F4877"/>
    <w:rsid w:val="002F489C"/>
    <w:rsid w:val="002F4C1E"/>
    <w:rsid w:val="002F4DA2"/>
    <w:rsid w:val="002F5017"/>
    <w:rsid w:val="002F5233"/>
    <w:rsid w:val="002F57E8"/>
    <w:rsid w:val="002F5B5D"/>
    <w:rsid w:val="002F5D13"/>
    <w:rsid w:val="002F687B"/>
    <w:rsid w:val="002F6E95"/>
    <w:rsid w:val="002F7D1D"/>
    <w:rsid w:val="003015EB"/>
    <w:rsid w:val="00301AB4"/>
    <w:rsid w:val="00301DF0"/>
    <w:rsid w:val="00301FF0"/>
    <w:rsid w:val="0030227C"/>
    <w:rsid w:val="003022EC"/>
    <w:rsid w:val="00302B2C"/>
    <w:rsid w:val="00302E56"/>
    <w:rsid w:val="0030395F"/>
    <w:rsid w:val="003039A4"/>
    <w:rsid w:val="00303A4B"/>
    <w:rsid w:val="00303A9C"/>
    <w:rsid w:val="00303AA8"/>
    <w:rsid w:val="00303C8C"/>
    <w:rsid w:val="00304017"/>
    <w:rsid w:val="0030424F"/>
    <w:rsid w:val="00304269"/>
    <w:rsid w:val="003042ED"/>
    <w:rsid w:val="00304407"/>
    <w:rsid w:val="003044C1"/>
    <w:rsid w:val="00304576"/>
    <w:rsid w:val="00304FA0"/>
    <w:rsid w:val="00305177"/>
    <w:rsid w:val="00305455"/>
    <w:rsid w:val="0030579B"/>
    <w:rsid w:val="00305E51"/>
    <w:rsid w:val="00305EC1"/>
    <w:rsid w:val="00306008"/>
    <w:rsid w:val="0030603A"/>
    <w:rsid w:val="0030614B"/>
    <w:rsid w:val="0030622B"/>
    <w:rsid w:val="0030634F"/>
    <w:rsid w:val="00306380"/>
    <w:rsid w:val="00306501"/>
    <w:rsid w:val="0030665D"/>
    <w:rsid w:val="00306C21"/>
    <w:rsid w:val="00306C64"/>
    <w:rsid w:val="00306D38"/>
    <w:rsid w:val="00306EAF"/>
    <w:rsid w:val="0030732E"/>
    <w:rsid w:val="00307782"/>
    <w:rsid w:val="00307910"/>
    <w:rsid w:val="00310276"/>
    <w:rsid w:val="00310627"/>
    <w:rsid w:val="00310A99"/>
    <w:rsid w:val="003115DF"/>
    <w:rsid w:val="003116E9"/>
    <w:rsid w:val="00311744"/>
    <w:rsid w:val="00312330"/>
    <w:rsid w:val="00312393"/>
    <w:rsid w:val="00312784"/>
    <w:rsid w:val="00312BC5"/>
    <w:rsid w:val="00312D09"/>
    <w:rsid w:val="00312F2D"/>
    <w:rsid w:val="00313011"/>
    <w:rsid w:val="00313090"/>
    <w:rsid w:val="003130B1"/>
    <w:rsid w:val="003137D3"/>
    <w:rsid w:val="00313A0B"/>
    <w:rsid w:val="00313AFC"/>
    <w:rsid w:val="003145F7"/>
    <w:rsid w:val="00314A0A"/>
    <w:rsid w:val="00314CDD"/>
    <w:rsid w:val="00314E55"/>
    <w:rsid w:val="0031559E"/>
    <w:rsid w:val="00315DD7"/>
    <w:rsid w:val="003165DF"/>
    <w:rsid w:val="00316778"/>
    <w:rsid w:val="003167D8"/>
    <w:rsid w:val="00317591"/>
    <w:rsid w:val="00317741"/>
    <w:rsid w:val="003205EE"/>
    <w:rsid w:val="00320CA0"/>
    <w:rsid w:val="00320CA3"/>
    <w:rsid w:val="00320D29"/>
    <w:rsid w:val="00320F3A"/>
    <w:rsid w:val="003212FD"/>
    <w:rsid w:val="00321516"/>
    <w:rsid w:val="00321AD8"/>
    <w:rsid w:val="00321E12"/>
    <w:rsid w:val="0032215A"/>
    <w:rsid w:val="00322199"/>
    <w:rsid w:val="0032257D"/>
    <w:rsid w:val="003226B7"/>
    <w:rsid w:val="003228FB"/>
    <w:rsid w:val="00322CDA"/>
    <w:rsid w:val="0032338E"/>
    <w:rsid w:val="00324119"/>
    <w:rsid w:val="00324BC9"/>
    <w:rsid w:val="00325542"/>
    <w:rsid w:val="00325950"/>
    <w:rsid w:val="00326152"/>
    <w:rsid w:val="0032687E"/>
    <w:rsid w:val="00327041"/>
    <w:rsid w:val="00327056"/>
    <w:rsid w:val="003271FA"/>
    <w:rsid w:val="003274F4"/>
    <w:rsid w:val="0032763A"/>
    <w:rsid w:val="0032782E"/>
    <w:rsid w:val="00327E99"/>
    <w:rsid w:val="00330518"/>
    <w:rsid w:val="00330661"/>
    <w:rsid w:val="00330C1B"/>
    <w:rsid w:val="003310F7"/>
    <w:rsid w:val="003311EE"/>
    <w:rsid w:val="003312E5"/>
    <w:rsid w:val="0033195E"/>
    <w:rsid w:val="003319AE"/>
    <w:rsid w:val="00331D2E"/>
    <w:rsid w:val="00331DCF"/>
    <w:rsid w:val="0033211C"/>
    <w:rsid w:val="00332336"/>
    <w:rsid w:val="00332525"/>
    <w:rsid w:val="003325B4"/>
    <w:rsid w:val="00332B5E"/>
    <w:rsid w:val="00332C93"/>
    <w:rsid w:val="00333083"/>
    <w:rsid w:val="00333817"/>
    <w:rsid w:val="003339CA"/>
    <w:rsid w:val="00333DEC"/>
    <w:rsid w:val="00334467"/>
    <w:rsid w:val="00334510"/>
    <w:rsid w:val="00334A1F"/>
    <w:rsid w:val="0033503F"/>
    <w:rsid w:val="003351C1"/>
    <w:rsid w:val="00335391"/>
    <w:rsid w:val="003355CC"/>
    <w:rsid w:val="003356D1"/>
    <w:rsid w:val="00335762"/>
    <w:rsid w:val="00335B2B"/>
    <w:rsid w:val="00335BF8"/>
    <w:rsid w:val="00335D3C"/>
    <w:rsid w:val="00336002"/>
    <w:rsid w:val="003362E0"/>
    <w:rsid w:val="003365F4"/>
    <w:rsid w:val="003369BB"/>
    <w:rsid w:val="00336BAB"/>
    <w:rsid w:val="00336BF7"/>
    <w:rsid w:val="003372BE"/>
    <w:rsid w:val="0033739A"/>
    <w:rsid w:val="00337862"/>
    <w:rsid w:val="00337863"/>
    <w:rsid w:val="00337901"/>
    <w:rsid w:val="00337BDD"/>
    <w:rsid w:val="00337F5D"/>
    <w:rsid w:val="0034027C"/>
    <w:rsid w:val="00340C08"/>
    <w:rsid w:val="00341031"/>
    <w:rsid w:val="0034177A"/>
    <w:rsid w:val="00341A27"/>
    <w:rsid w:val="00341D7B"/>
    <w:rsid w:val="00341DBA"/>
    <w:rsid w:val="00342AB5"/>
    <w:rsid w:val="00344577"/>
    <w:rsid w:val="00344638"/>
    <w:rsid w:val="0034466D"/>
    <w:rsid w:val="00344AE4"/>
    <w:rsid w:val="00344EA0"/>
    <w:rsid w:val="003451AB"/>
    <w:rsid w:val="003452CB"/>
    <w:rsid w:val="003457DB"/>
    <w:rsid w:val="003459F3"/>
    <w:rsid w:val="003469D5"/>
    <w:rsid w:val="00346F1E"/>
    <w:rsid w:val="0034752D"/>
    <w:rsid w:val="003475D4"/>
    <w:rsid w:val="00347728"/>
    <w:rsid w:val="00347A70"/>
    <w:rsid w:val="00347B9A"/>
    <w:rsid w:val="00347EE0"/>
    <w:rsid w:val="00347EF5"/>
    <w:rsid w:val="00347FEF"/>
    <w:rsid w:val="00347FF3"/>
    <w:rsid w:val="00350121"/>
    <w:rsid w:val="003502D4"/>
    <w:rsid w:val="0035030B"/>
    <w:rsid w:val="00350BA0"/>
    <w:rsid w:val="003512E5"/>
    <w:rsid w:val="00351551"/>
    <w:rsid w:val="003516C3"/>
    <w:rsid w:val="00351A54"/>
    <w:rsid w:val="0035264C"/>
    <w:rsid w:val="00352B6A"/>
    <w:rsid w:val="00352BBA"/>
    <w:rsid w:val="00352D70"/>
    <w:rsid w:val="003536E2"/>
    <w:rsid w:val="00353E57"/>
    <w:rsid w:val="00354172"/>
    <w:rsid w:val="00354230"/>
    <w:rsid w:val="00354A9F"/>
    <w:rsid w:val="00355679"/>
    <w:rsid w:val="00355E96"/>
    <w:rsid w:val="00355F2A"/>
    <w:rsid w:val="00355FF1"/>
    <w:rsid w:val="00356D04"/>
    <w:rsid w:val="003576FC"/>
    <w:rsid w:val="00357ACF"/>
    <w:rsid w:val="00357C2E"/>
    <w:rsid w:val="0036053A"/>
    <w:rsid w:val="0036056E"/>
    <w:rsid w:val="0036067C"/>
    <w:rsid w:val="00360A1C"/>
    <w:rsid w:val="00360C06"/>
    <w:rsid w:val="00360EA1"/>
    <w:rsid w:val="0036125A"/>
    <w:rsid w:val="003612DA"/>
    <w:rsid w:val="003618B3"/>
    <w:rsid w:val="0036259F"/>
    <w:rsid w:val="003626C0"/>
    <w:rsid w:val="003627F0"/>
    <w:rsid w:val="00362FAF"/>
    <w:rsid w:val="003641EE"/>
    <w:rsid w:val="00364B39"/>
    <w:rsid w:val="00365310"/>
    <w:rsid w:val="00365339"/>
    <w:rsid w:val="003654AC"/>
    <w:rsid w:val="003659F1"/>
    <w:rsid w:val="00365DCD"/>
    <w:rsid w:val="00366325"/>
    <w:rsid w:val="00366E43"/>
    <w:rsid w:val="00366EDC"/>
    <w:rsid w:val="00367B5E"/>
    <w:rsid w:val="00370102"/>
    <w:rsid w:val="00370BEF"/>
    <w:rsid w:val="00370C94"/>
    <w:rsid w:val="00370DB6"/>
    <w:rsid w:val="00371B7E"/>
    <w:rsid w:val="00371D61"/>
    <w:rsid w:val="00371DF3"/>
    <w:rsid w:val="00371E5F"/>
    <w:rsid w:val="00372133"/>
    <w:rsid w:val="0037214D"/>
    <w:rsid w:val="00372162"/>
    <w:rsid w:val="0037232F"/>
    <w:rsid w:val="003724D4"/>
    <w:rsid w:val="00373017"/>
    <w:rsid w:val="003730F6"/>
    <w:rsid w:val="0037339D"/>
    <w:rsid w:val="003736B0"/>
    <w:rsid w:val="003738D4"/>
    <w:rsid w:val="0037443C"/>
    <w:rsid w:val="003748AE"/>
    <w:rsid w:val="00374D1A"/>
    <w:rsid w:val="00374DF9"/>
    <w:rsid w:val="003750A3"/>
    <w:rsid w:val="0037536A"/>
    <w:rsid w:val="003754E6"/>
    <w:rsid w:val="0037554D"/>
    <w:rsid w:val="003755A3"/>
    <w:rsid w:val="00375A27"/>
    <w:rsid w:val="0037648E"/>
    <w:rsid w:val="00376800"/>
    <w:rsid w:val="00376DD6"/>
    <w:rsid w:val="00377308"/>
    <w:rsid w:val="003774C8"/>
    <w:rsid w:val="00377568"/>
    <w:rsid w:val="0037779A"/>
    <w:rsid w:val="003777DB"/>
    <w:rsid w:val="00377E4E"/>
    <w:rsid w:val="00377EF0"/>
    <w:rsid w:val="00377FE4"/>
    <w:rsid w:val="00380164"/>
    <w:rsid w:val="0038028B"/>
    <w:rsid w:val="003808A3"/>
    <w:rsid w:val="00380ACE"/>
    <w:rsid w:val="00381149"/>
    <w:rsid w:val="00381381"/>
    <w:rsid w:val="003813E0"/>
    <w:rsid w:val="00381639"/>
    <w:rsid w:val="0038173B"/>
    <w:rsid w:val="00381B05"/>
    <w:rsid w:val="00381FD3"/>
    <w:rsid w:val="00383402"/>
    <w:rsid w:val="00383CDE"/>
    <w:rsid w:val="00383DF1"/>
    <w:rsid w:val="00384424"/>
    <w:rsid w:val="0038483F"/>
    <w:rsid w:val="00384F23"/>
    <w:rsid w:val="00385547"/>
    <w:rsid w:val="003855F9"/>
    <w:rsid w:val="00385646"/>
    <w:rsid w:val="00385E63"/>
    <w:rsid w:val="0038674F"/>
    <w:rsid w:val="003868DD"/>
    <w:rsid w:val="0038691F"/>
    <w:rsid w:val="00386F2B"/>
    <w:rsid w:val="003872D7"/>
    <w:rsid w:val="003874EA"/>
    <w:rsid w:val="00387D19"/>
    <w:rsid w:val="0039024F"/>
    <w:rsid w:val="003903F4"/>
    <w:rsid w:val="00390E53"/>
    <w:rsid w:val="00390E57"/>
    <w:rsid w:val="00390F41"/>
    <w:rsid w:val="003925F2"/>
    <w:rsid w:val="00392793"/>
    <w:rsid w:val="00392E3C"/>
    <w:rsid w:val="00392ED7"/>
    <w:rsid w:val="003936AE"/>
    <w:rsid w:val="00393C41"/>
    <w:rsid w:val="00393CCB"/>
    <w:rsid w:val="00393E2B"/>
    <w:rsid w:val="00394277"/>
    <w:rsid w:val="003942C5"/>
    <w:rsid w:val="0039479A"/>
    <w:rsid w:val="0039574D"/>
    <w:rsid w:val="00395B82"/>
    <w:rsid w:val="00395E00"/>
    <w:rsid w:val="00396030"/>
    <w:rsid w:val="00396551"/>
    <w:rsid w:val="003967FE"/>
    <w:rsid w:val="00396897"/>
    <w:rsid w:val="00397BEF"/>
    <w:rsid w:val="003A01D9"/>
    <w:rsid w:val="003A07E8"/>
    <w:rsid w:val="003A0A3C"/>
    <w:rsid w:val="003A0F4F"/>
    <w:rsid w:val="003A1AC7"/>
    <w:rsid w:val="003A20D8"/>
    <w:rsid w:val="003A2577"/>
    <w:rsid w:val="003A2675"/>
    <w:rsid w:val="003A2A44"/>
    <w:rsid w:val="003A3B85"/>
    <w:rsid w:val="003A4044"/>
    <w:rsid w:val="003A4267"/>
    <w:rsid w:val="003A47B3"/>
    <w:rsid w:val="003A4955"/>
    <w:rsid w:val="003A4CF0"/>
    <w:rsid w:val="003A5335"/>
    <w:rsid w:val="003A5A17"/>
    <w:rsid w:val="003A5A41"/>
    <w:rsid w:val="003A5D18"/>
    <w:rsid w:val="003A6314"/>
    <w:rsid w:val="003A64BF"/>
    <w:rsid w:val="003A670C"/>
    <w:rsid w:val="003A697A"/>
    <w:rsid w:val="003A6A21"/>
    <w:rsid w:val="003A6A9A"/>
    <w:rsid w:val="003A70F4"/>
    <w:rsid w:val="003A7A96"/>
    <w:rsid w:val="003B0A2A"/>
    <w:rsid w:val="003B18EC"/>
    <w:rsid w:val="003B1C82"/>
    <w:rsid w:val="003B1ED6"/>
    <w:rsid w:val="003B22D0"/>
    <w:rsid w:val="003B2319"/>
    <w:rsid w:val="003B2326"/>
    <w:rsid w:val="003B26E8"/>
    <w:rsid w:val="003B27BA"/>
    <w:rsid w:val="003B2FB0"/>
    <w:rsid w:val="003B302A"/>
    <w:rsid w:val="003B35AB"/>
    <w:rsid w:val="003B35FB"/>
    <w:rsid w:val="003B4A46"/>
    <w:rsid w:val="003B4ACF"/>
    <w:rsid w:val="003B4EFE"/>
    <w:rsid w:val="003B5368"/>
    <w:rsid w:val="003B5918"/>
    <w:rsid w:val="003B5B48"/>
    <w:rsid w:val="003B60A0"/>
    <w:rsid w:val="003B6722"/>
    <w:rsid w:val="003B68D2"/>
    <w:rsid w:val="003B6B9D"/>
    <w:rsid w:val="003B7809"/>
    <w:rsid w:val="003B7D80"/>
    <w:rsid w:val="003C0698"/>
    <w:rsid w:val="003C0BD7"/>
    <w:rsid w:val="003C0FB0"/>
    <w:rsid w:val="003C11B1"/>
    <w:rsid w:val="003C146F"/>
    <w:rsid w:val="003C1824"/>
    <w:rsid w:val="003C18BB"/>
    <w:rsid w:val="003C1B47"/>
    <w:rsid w:val="003C1F7F"/>
    <w:rsid w:val="003C20F3"/>
    <w:rsid w:val="003C25F4"/>
    <w:rsid w:val="003C29F6"/>
    <w:rsid w:val="003C2F94"/>
    <w:rsid w:val="003C3204"/>
    <w:rsid w:val="003C38CE"/>
    <w:rsid w:val="003C39B8"/>
    <w:rsid w:val="003C3D45"/>
    <w:rsid w:val="003C40E1"/>
    <w:rsid w:val="003C4302"/>
    <w:rsid w:val="003C525E"/>
    <w:rsid w:val="003C5263"/>
    <w:rsid w:val="003C5358"/>
    <w:rsid w:val="003C57C4"/>
    <w:rsid w:val="003C5CCC"/>
    <w:rsid w:val="003C6347"/>
    <w:rsid w:val="003C6464"/>
    <w:rsid w:val="003C663C"/>
    <w:rsid w:val="003C6F29"/>
    <w:rsid w:val="003C6FE8"/>
    <w:rsid w:val="003C70D3"/>
    <w:rsid w:val="003C7A42"/>
    <w:rsid w:val="003C7AA6"/>
    <w:rsid w:val="003D0D50"/>
    <w:rsid w:val="003D11CD"/>
    <w:rsid w:val="003D1444"/>
    <w:rsid w:val="003D16CC"/>
    <w:rsid w:val="003D1826"/>
    <w:rsid w:val="003D19B1"/>
    <w:rsid w:val="003D1AB1"/>
    <w:rsid w:val="003D1EC1"/>
    <w:rsid w:val="003D214D"/>
    <w:rsid w:val="003D244D"/>
    <w:rsid w:val="003D263A"/>
    <w:rsid w:val="003D2870"/>
    <w:rsid w:val="003D2BF7"/>
    <w:rsid w:val="003D3898"/>
    <w:rsid w:val="003D4E5C"/>
    <w:rsid w:val="003D5801"/>
    <w:rsid w:val="003D61FF"/>
    <w:rsid w:val="003D64A4"/>
    <w:rsid w:val="003D7384"/>
    <w:rsid w:val="003D7945"/>
    <w:rsid w:val="003D79BF"/>
    <w:rsid w:val="003E0273"/>
    <w:rsid w:val="003E03AD"/>
    <w:rsid w:val="003E09F2"/>
    <w:rsid w:val="003E0D16"/>
    <w:rsid w:val="003E0D37"/>
    <w:rsid w:val="003E1D76"/>
    <w:rsid w:val="003E1F42"/>
    <w:rsid w:val="003E239C"/>
    <w:rsid w:val="003E24AF"/>
    <w:rsid w:val="003E24F1"/>
    <w:rsid w:val="003E269D"/>
    <w:rsid w:val="003E30EB"/>
    <w:rsid w:val="003E3163"/>
    <w:rsid w:val="003E32A9"/>
    <w:rsid w:val="003E33C1"/>
    <w:rsid w:val="003E36B4"/>
    <w:rsid w:val="003E3950"/>
    <w:rsid w:val="003E39A8"/>
    <w:rsid w:val="003E3CBF"/>
    <w:rsid w:val="003E3EBD"/>
    <w:rsid w:val="003E415E"/>
    <w:rsid w:val="003E437C"/>
    <w:rsid w:val="003E43C2"/>
    <w:rsid w:val="003E45C9"/>
    <w:rsid w:val="003E4AFB"/>
    <w:rsid w:val="003E4B7F"/>
    <w:rsid w:val="003E4E31"/>
    <w:rsid w:val="003E500A"/>
    <w:rsid w:val="003E5535"/>
    <w:rsid w:val="003E5912"/>
    <w:rsid w:val="003E59C1"/>
    <w:rsid w:val="003E5BAD"/>
    <w:rsid w:val="003E5C40"/>
    <w:rsid w:val="003E60D1"/>
    <w:rsid w:val="003E6CC2"/>
    <w:rsid w:val="003E6E9A"/>
    <w:rsid w:val="003E74E7"/>
    <w:rsid w:val="003E77D2"/>
    <w:rsid w:val="003E77F2"/>
    <w:rsid w:val="003E78CD"/>
    <w:rsid w:val="003E7B0E"/>
    <w:rsid w:val="003E7B65"/>
    <w:rsid w:val="003E7CBC"/>
    <w:rsid w:val="003E7DB1"/>
    <w:rsid w:val="003E7E6F"/>
    <w:rsid w:val="003F066C"/>
    <w:rsid w:val="003F09B4"/>
    <w:rsid w:val="003F0D8C"/>
    <w:rsid w:val="003F0DA7"/>
    <w:rsid w:val="003F0E29"/>
    <w:rsid w:val="003F0EDF"/>
    <w:rsid w:val="003F1311"/>
    <w:rsid w:val="003F173C"/>
    <w:rsid w:val="003F18B9"/>
    <w:rsid w:val="003F1E3B"/>
    <w:rsid w:val="003F2107"/>
    <w:rsid w:val="003F217A"/>
    <w:rsid w:val="003F256B"/>
    <w:rsid w:val="003F2651"/>
    <w:rsid w:val="003F2730"/>
    <w:rsid w:val="003F27C0"/>
    <w:rsid w:val="003F2B3A"/>
    <w:rsid w:val="003F365A"/>
    <w:rsid w:val="003F42FB"/>
    <w:rsid w:val="003F478E"/>
    <w:rsid w:val="003F4D8E"/>
    <w:rsid w:val="003F54ED"/>
    <w:rsid w:val="003F5885"/>
    <w:rsid w:val="003F6107"/>
    <w:rsid w:val="003F6371"/>
    <w:rsid w:val="003F6ADA"/>
    <w:rsid w:val="003F7012"/>
    <w:rsid w:val="003F70FC"/>
    <w:rsid w:val="003F7311"/>
    <w:rsid w:val="003F7723"/>
    <w:rsid w:val="003F7BCB"/>
    <w:rsid w:val="003F7BCE"/>
    <w:rsid w:val="003F7C82"/>
    <w:rsid w:val="004004BB"/>
    <w:rsid w:val="00400F02"/>
    <w:rsid w:val="00401542"/>
    <w:rsid w:val="0040188B"/>
    <w:rsid w:val="00401C66"/>
    <w:rsid w:val="00401D06"/>
    <w:rsid w:val="004020AA"/>
    <w:rsid w:val="004021B8"/>
    <w:rsid w:val="004026E4"/>
    <w:rsid w:val="004027A0"/>
    <w:rsid w:val="004027D4"/>
    <w:rsid w:val="0040356B"/>
    <w:rsid w:val="004037C0"/>
    <w:rsid w:val="0040381F"/>
    <w:rsid w:val="00403B70"/>
    <w:rsid w:val="00403B90"/>
    <w:rsid w:val="004047E5"/>
    <w:rsid w:val="00404FC1"/>
    <w:rsid w:val="00405762"/>
    <w:rsid w:val="00407820"/>
    <w:rsid w:val="00407B8E"/>
    <w:rsid w:val="00407EC8"/>
    <w:rsid w:val="0041003F"/>
    <w:rsid w:val="00410904"/>
    <w:rsid w:val="00410DB1"/>
    <w:rsid w:val="00410EFF"/>
    <w:rsid w:val="004111C9"/>
    <w:rsid w:val="00411339"/>
    <w:rsid w:val="00411E93"/>
    <w:rsid w:val="00412205"/>
    <w:rsid w:val="004123F3"/>
    <w:rsid w:val="004126EF"/>
    <w:rsid w:val="00412F6B"/>
    <w:rsid w:val="00412F90"/>
    <w:rsid w:val="00413029"/>
    <w:rsid w:val="0041321B"/>
    <w:rsid w:val="00413225"/>
    <w:rsid w:val="004135C3"/>
    <w:rsid w:val="004137F0"/>
    <w:rsid w:val="004137FB"/>
    <w:rsid w:val="00413B5D"/>
    <w:rsid w:val="0041409A"/>
    <w:rsid w:val="0041415D"/>
    <w:rsid w:val="00414A65"/>
    <w:rsid w:val="00414B9A"/>
    <w:rsid w:val="00414F28"/>
    <w:rsid w:val="00414F5D"/>
    <w:rsid w:val="00415022"/>
    <w:rsid w:val="004152F6"/>
    <w:rsid w:val="00415777"/>
    <w:rsid w:val="00415F21"/>
    <w:rsid w:val="004164F0"/>
    <w:rsid w:val="00416984"/>
    <w:rsid w:val="00416A81"/>
    <w:rsid w:val="00416ABF"/>
    <w:rsid w:val="00416E16"/>
    <w:rsid w:val="00417576"/>
    <w:rsid w:val="004175AE"/>
    <w:rsid w:val="00417A83"/>
    <w:rsid w:val="00417BC8"/>
    <w:rsid w:val="00420787"/>
    <w:rsid w:val="004207B8"/>
    <w:rsid w:val="004212CE"/>
    <w:rsid w:val="004213C0"/>
    <w:rsid w:val="0042158A"/>
    <w:rsid w:val="00421837"/>
    <w:rsid w:val="0042190D"/>
    <w:rsid w:val="004219DC"/>
    <w:rsid w:val="00421D3A"/>
    <w:rsid w:val="004221B1"/>
    <w:rsid w:val="00422825"/>
    <w:rsid w:val="00423258"/>
    <w:rsid w:val="00423306"/>
    <w:rsid w:val="00423399"/>
    <w:rsid w:val="004233BA"/>
    <w:rsid w:val="004234CB"/>
    <w:rsid w:val="00423838"/>
    <w:rsid w:val="00423C0D"/>
    <w:rsid w:val="0042488C"/>
    <w:rsid w:val="004248B7"/>
    <w:rsid w:val="00424A54"/>
    <w:rsid w:val="004257C7"/>
    <w:rsid w:val="00425F2F"/>
    <w:rsid w:val="00425F7C"/>
    <w:rsid w:val="00425FFC"/>
    <w:rsid w:val="004260B0"/>
    <w:rsid w:val="004261AC"/>
    <w:rsid w:val="0042667B"/>
    <w:rsid w:val="004267A2"/>
    <w:rsid w:val="0042709F"/>
    <w:rsid w:val="0042755A"/>
    <w:rsid w:val="004276FC"/>
    <w:rsid w:val="0042793D"/>
    <w:rsid w:val="00427B82"/>
    <w:rsid w:val="00427D11"/>
    <w:rsid w:val="00430762"/>
    <w:rsid w:val="004308A8"/>
    <w:rsid w:val="00430DCA"/>
    <w:rsid w:val="0043118B"/>
    <w:rsid w:val="004311D8"/>
    <w:rsid w:val="00431705"/>
    <w:rsid w:val="00431B03"/>
    <w:rsid w:val="00431CA9"/>
    <w:rsid w:val="0043260F"/>
    <w:rsid w:val="00432CD0"/>
    <w:rsid w:val="00432EDE"/>
    <w:rsid w:val="004338C2"/>
    <w:rsid w:val="00433C2A"/>
    <w:rsid w:val="004345ED"/>
    <w:rsid w:val="00434727"/>
    <w:rsid w:val="00435031"/>
    <w:rsid w:val="004354AE"/>
    <w:rsid w:val="00435512"/>
    <w:rsid w:val="00436085"/>
    <w:rsid w:val="00436B86"/>
    <w:rsid w:val="004374F1"/>
    <w:rsid w:val="00437839"/>
    <w:rsid w:val="00440186"/>
    <w:rsid w:val="0044018C"/>
    <w:rsid w:val="00440A6C"/>
    <w:rsid w:val="00440AEB"/>
    <w:rsid w:val="00440D40"/>
    <w:rsid w:val="00440D48"/>
    <w:rsid w:val="00440EB5"/>
    <w:rsid w:val="00440FB7"/>
    <w:rsid w:val="004412DA"/>
    <w:rsid w:val="00441664"/>
    <w:rsid w:val="00441698"/>
    <w:rsid w:val="00441DF2"/>
    <w:rsid w:val="00442319"/>
    <w:rsid w:val="00442644"/>
    <w:rsid w:val="00442EB2"/>
    <w:rsid w:val="00443A25"/>
    <w:rsid w:val="004441BB"/>
    <w:rsid w:val="00444834"/>
    <w:rsid w:val="00444982"/>
    <w:rsid w:val="00445168"/>
    <w:rsid w:val="0044551B"/>
    <w:rsid w:val="00445784"/>
    <w:rsid w:val="00445ABD"/>
    <w:rsid w:val="00445BAC"/>
    <w:rsid w:val="004461FC"/>
    <w:rsid w:val="00446547"/>
    <w:rsid w:val="00446A0A"/>
    <w:rsid w:val="004474B3"/>
    <w:rsid w:val="00447ACE"/>
    <w:rsid w:val="00447B81"/>
    <w:rsid w:val="004501C2"/>
    <w:rsid w:val="0045027E"/>
    <w:rsid w:val="00450345"/>
    <w:rsid w:val="00450662"/>
    <w:rsid w:val="004507E6"/>
    <w:rsid w:val="00450C77"/>
    <w:rsid w:val="004511D6"/>
    <w:rsid w:val="004512EF"/>
    <w:rsid w:val="00451990"/>
    <w:rsid w:val="00451DD2"/>
    <w:rsid w:val="00451E47"/>
    <w:rsid w:val="00451FAC"/>
    <w:rsid w:val="0045245A"/>
    <w:rsid w:val="004525E3"/>
    <w:rsid w:val="004526A5"/>
    <w:rsid w:val="00452F3D"/>
    <w:rsid w:val="00452F6D"/>
    <w:rsid w:val="00452FAC"/>
    <w:rsid w:val="00452FE0"/>
    <w:rsid w:val="00453251"/>
    <w:rsid w:val="00453D0F"/>
    <w:rsid w:val="00453F6D"/>
    <w:rsid w:val="00454769"/>
    <w:rsid w:val="0045492F"/>
    <w:rsid w:val="00454B4E"/>
    <w:rsid w:val="00454F7D"/>
    <w:rsid w:val="00455505"/>
    <w:rsid w:val="004556F2"/>
    <w:rsid w:val="004558C7"/>
    <w:rsid w:val="00455AD3"/>
    <w:rsid w:val="00455BA5"/>
    <w:rsid w:val="00455CE4"/>
    <w:rsid w:val="00455DAE"/>
    <w:rsid w:val="00455FB7"/>
    <w:rsid w:val="00456A12"/>
    <w:rsid w:val="00456A18"/>
    <w:rsid w:val="00457481"/>
    <w:rsid w:val="00457543"/>
    <w:rsid w:val="0045758D"/>
    <w:rsid w:val="0045766C"/>
    <w:rsid w:val="00457674"/>
    <w:rsid w:val="00457859"/>
    <w:rsid w:val="004579BD"/>
    <w:rsid w:val="00457A58"/>
    <w:rsid w:val="00457C59"/>
    <w:rsid w:val="004601BB"/>
    <w:rsid w:val="004605A2"/>
    <w:rsid w:val="00460FD5"/>
    <w:rsid w:val="00461907"/>
    <w:rsid w:val="00461917"/>
    <w:rsid w:val="00461A37"/>
    <w:rsid w:val="00461D61"/>
    <w:rsid w:val="00462168"/>
    <w:rsid w:val="004638F1"/>
    <w:rsid w:val="004639AC"/>
    <w:rsid w:val="00463AB2"/>
    <w:rsid w:val="00464406"/>
    <w:rsid w:val="004645A4"/>
    <w:rsid w:val="00464690"/>
    <w:rsid w:val="00464B81"/>
    <w:rsid w:val="00464DEB"/>
    <w:rsid w:val="00464F32"/>
    <w:rsid w:val="00464F9E"/>
    <w:rsid w:val="004650A2"/>
    <w:rsid w:val="00465643"/>
    <w:rsid w:val="004656E1"/>
    <w:rsid w:val="004658C3"/>
    <w:rsid w:val="00465DA9"/>
    <w:rsid w:val="004669AE"/>
    <w:rsid w:val="004669B8"/>
    <w:rsid w:val="004674EE"/>
    <w:rsid w:val="00467F7B"/>
    <w:rsid w:val="00470A23"/>
    <w:rsid w:val="00470B4B"/>
    <w:rsid w:val="00470B74"/>
    <w:rsid w:val="00470C43"/>
    <w:rsid w:val="0047115E"/>
    <w:rsid w:val="004711F1"/>
    <w:rsid w:val="004712C9"/>
    <w:rsid w:val="0047174E"/>
    <w:rsid w:val="00471AF2"/>
    <w:rsid w:val="004721AF"/>
    <w:rsid w:val="0047222C"/>
    <w:rsid w:val="004722DF"/>
    <w:rsid w:val="00472702"/>
    <w:rsid w:val="004733F2"/>
    <w:rsid w:val="004737D4"/>
    <w:rsid w:val="004739DF"/>
    <w:rsid w:val="004739EE"/>
    <w:rsid w:val="00473C50"/>
    <w:rsid w:val="00474066"/>
    <w:rsid w:val="00474788"/>
    <w:rsid w:val="00474A5A"/>
    <w:rsid w:val="00474BED"/>
    <w:rsid w:val="004753B1"/>
    <w:rsid w:val="00475E2C"/>
    <w:rsid w:val="004760B6"/>
    <w:rsid w:val="00476A24"/>
    <w:rsid w:val="00477DBF"/>
    <w:rsid w:val="00477F7A"/>
    <w:rsid w:val="00480034"/>
    <w:rsid w:val="004801BB"/>
    <w:rsid w:val="0048036A"/>
    <w:rsid w:val="00480A51"/>
    <w:rsid w:val="00480B70"/>
    <w:rsid w:val="00480C7B"/>
    <w:rsid w:val="00480D26"/>
    <w:rsid w:val="00480EBD"/>
    <w:rsid w:val="0048122D"/>
    <w:rsid w:val="00481445"/>
    <w:rsid w:val="004823D1"/>
    <w:rsid w:val="0048286F"/>
    <w:rsid w:val="00482BA0"/>
    <w:rsid w:val="004834C1"/>
    <w:rsid w:val="0048354A"/>
    <w:rsid w:val="00483A3D"/>
    <w:rsid w:val="00483FE6"/>
    <w:rsid w:val="00484051"/>
    <w:rsid w:val="00484312"/>
    <w:rsid w:val="0048438F"/>
    <w:rsid w:val="00484437"/>
    <w:rsid w:val="00484C2E"/>
    <w:rsid w:val="00484D2B"/>
    <w:rsid w:val="00485306"/>
    <w:rsid w:val="004857E0"/>
    <w:rsid w:val="004858E8"/>
    <w:rsid w:val="00485ACF"/>
    <w:rsid w:val="004863A0"/>
    <w:rsid w:val="004863D2"/>
    <w:rsid w:val="0048655F"/>
    <w:rsid w:val="004865D4"/>
    <w:rsid w:val="00486601"/>
    <w:rsid w:val="0048661B"/>
    <w:rsid w:val="00486649"/>
    <w:rsid w:val="0048665C"/>
    <w:rsid w:val="004876DD"/>
    <w:rsid w:val="00490413"/>
    <w:rsid w:val="00490670"/>
    <w:rsid w:val="004907A5"/>
    <w:rsid w:val="00490C03"/>
    <w:rsid w:val="00490EBF"/>
    <w:rsid w:val="00490F8C"/>
    <w:rsid w:val="00491B15"/>
    <w:rsid w:val="0049202A"/>
    <w:rsid w:val="00492375"/>
    <w:rsid w:val="004928A9"/>
    <w:rsid w:val="00492909"/>
    <w:rsid w:val="00492962"/>
    <w:rsid w:val="00492B8B"/>
    <w:rsid w:val="00492E94"/>
    <w:rsid w:val="00492FA9"/>
    <w:rsid w:val="00493083"/>
    <w:rsid w:val="004938AF"/>
    <w:rsid w:val="004938E7"/>
    <w:rsid w:val="00493D45"/>
    <w:rsid w:val="00493F10"/>
    <w:rsid w:val="00494B2D"/>
    <w:rsid w:val="00494C95"/>
    <w:rsid w:val="00494CB6"/>
    <w:rsid w:val="00494D37"/>
    <w:rsid w:val="00494E8C"/>
    <w:rsid w:val="00495356"/>
    <w:rsid w:val="00495526"/>
    <w:rsid w:val="004955F6"/>
    <w:rsid w:val="004956E0"/>
    <w:rsid w:val="00495E54"/>
    <w:rsid w:val="00495E5F"/>
    <w:rsid w:val="00496DF5"/>
    <w:rsid w:val="004971DD"/>
    <w:rsid w:val="004971F5"/>
    <w:rsid w:val="00497877"/>
    <w:rsid w:val="004A01BD"/>
    <w:rsid w:val="004A0BB3"/>
    <w:rsid w:val="004A0C92"/>
    <w:rsid w:val="004A11B2"/>
    <w:rsid w:val="004A1346"/>
    <w:rsid w:val="004A1469"/>
    <w:rsid w:val="004A156B"/>
    <w:rsid w:val="004A1589"/>
    <w:rsid w:val="004A183B"/>
    <w:rsid w:val="004A189B"/>
    <w:rsid w:val="004A1EE2"/>
    <w:rsid w:val="004A2CFC"/>
    <w:rsid w:val="004A2D25"/>
    <w:rsid w:val="004A2E95"/>
    <w:rsid w:val="004A33FA"/>
    <w:rsid w:val="004A3CDD"/>
    <w:rsid w:val="004A3EEC"/>
    <w:rsid w:val="004A4D92"/>
    <w:rsid w:val="004A5325"/>
    <w:rsid w:val="004A55E2"/>
    <w:rsid w:val="004A5CB7"/>
    <w:rsid w:val="004A62D3"/>
    <w:rsid w:val="004A64EB"/>
    <w:rsid w:val="004A654F"/>
    <w:rsid w:val="004A750F"/>
    <w:rsid w:val="004A7B74"/>
    <w:rsid w:val="004A7D25"/>
    <w:rsid w:val="004B0B62"/>
    <w:rsid w:val="004B1635"/>
    <w:rsid w:val="004B1A97"/>
    <w:rsid w:val="004B1EEE"/>
    <w:rsid w:val="004B2135"/>
    <w:rsid w:val="004B26F7"/>
    <w:rsid w:val="004B298E"/>
    <w:rsid w:val="004B2ABE"/>
    <w:rsid w:val="004B4005"/>
    <w:rsid w:val="004B429C"/>
    <w:rsid w:val="004B4BA3"/>
    <w:rsid w:val="004B5054"/>
    <w:rsid w:val="004B50C7"/>
    <w:rsid w:val="004B51E3"/>
    <w:rsid w:val="004B546B"/>
    <w:rsid w:val="004B54D9"/>
    <w:rsid w:val="004B5855"/>
    <w:rsid w:val="004B5DAE"/>
    <w:rsid w:val="004B5E3A"/>
    <w:rsid w:val="004B606A"/>
    <w:rsid w:val="004B6329"/>
    <w:rsid w:val="004B687E"/>
    <w:rsid w:val="004B6ECD"/>
    <w:rsid w:val="004B74A6"/>
    <w:rsid w:val="004C03B6"/>
    <w:rsid w:val="004C0456"/>
    <w:rsid w:val="004C0602"/>
    <w:rsid w:val="004C0B05"/>
    <w:rsid w:val="004C13EF"/>
    <w:rsid w:val="004C182C"/>
    <w:rsid w:val="004C1B09"/>
    <w:rsid w:val="004C1F3D"/>
    <w:rsid w:val="004C2CD2"/>
    <w:rsid w:val="004C2FBA"/>
    <w:rsid w:val="004C3411"/>
    <w:rsid w:val="004C41AD"/>
    <w:rsid w:val="004C454B"/>
    <w:rsid w:val="004C48F7"/>
    <w:rsid w:val="004C49DA"/>
    <w:rsid w:val="004C4C23"/>
    <w:rsid w:val="004C5600"/>
    <w:rsid w:val="004C5800"/>
    <w:rsid w:val="004C626E"/>
    <w:rsid w:val="004C7205"/>
    <w:rsid w:val="004C72F6"/>
    <w:rsid w:val="004C75DE"/>
    <w:rsid w:val="004D02C0"/>
    <w:rsid w:val="004D10ED"/>
    <w:rsid w:val="004D13F1"/>
    <w:rsid w:val="004D15E0"/>
    <w:rsid w:val="004D1CDC"/>
    <w:rsid w:val="004D2093"/>
    <w:rsid w:val="004D2292"/>
    <w:rsid w:val="004D25A5"/>
    <w:rsid w:val="004D2E21"/>
    <w:rsid w:val="004D31D6"/>
    <w:rsid w:val="004D3433"/>
    <w:rsid w:val="004D3C46"/>
    <w:rsid w:val="004D3C56"/>
    <w:rsid w:val="004D4227"/>
    <w:rsid w:val="004D4460"/>
    <w:rsid w:val="004D4592"/>
    <w:rsid w:val="004D56E1"/>
    <w:rsid w:val="004D584D"/>
    <w:rsid w:val="004D5D12"/>
    <w:rsid w:val="004D63DE"/>
    <w:rsid w:val="004D6573"/>
    <w:rsid w:val="004D6BC6"/>
    <w:rsid w:val="004E0976"/>
    <w:rsid w:val="004E0A92"/>
    <w:rsid w:val="004E0BAF"/>
    <w:rsid w:val="004E0FDD"/>
    <w:rsid w:val="004E12B5"/>
    <w:rsid w:val="004E1367"/>
    <w:rsid w:val="004E18A6"/>
    <w:rsid w:val="004E1A84"/>
    <w:rsid w:val="004E22E0"/>
    <w:rsid w:val="004E237B"/>
    <w:rsid w:val="004E2632"/>
    <w:rsid w:val="004E293D"/>
    <w:rsid w:val="004E2DDA"/>
    <w:rsid w:val="004E31A8"/>
    <w:rsid w:val="004E32F5"/>
    <w:rsid w:val="004E3301"/>
    <w:rsid w:val="004E34B8"/>
    <w:rsid w:val="004E418E"/>
    <w:rsid w:val="004E41E8"/>
    <w:rsid w:val="004E494B"/>
    <w:rsid w:val="004E4B03"/>
    <w:rsid w:val="004E4FF7"/>
    <w:rsid w:val="004E5AE9"/>
    <w:rsid w:val="004E6060"/>
    <w:rsid w:val="004E6C4D"/>
    <w:rsid w:val="004E6FA2"/>
    <w:rsid w:val="004E718F"/>
    <w:rsid w:val="004E77EC"/>
    <w:rsid w:val="004F0378"/>
    <w:rsid w:val="004F06C5"/>
    <w:rsid w:val="004F0A58"/>
    <w:rsid w:val="004F0B5B"/>
    <w:rsid w:val="004F0E48"/>
    <w:rsid w:val="004F146B"/>
    <w:rsid w:val="004F162B"/>
    <w:rsid w:val="004F199A"/>
    <w:rsid w:val="004F1F2E"/>
    <w:rsid w:val="004F2458"/>
    <w:rsid w:val="004F2907"/>
    <w:rsid w:val="004F31AC"/>
    <w:rsid w:val="004F3266"/>
    <w:rsid w:val="004F3737"/>
    <w:rsid w:val="004F3B40"/>
    <w:rsid w:val="004F3E9D"/>
    <w:rsid w:val="004F45B2"/>
    <w:rsid w:val="004F466A"/>
    <w:rsid w:val="004F493A"/>
    <w:rsid w:val="004F534C"/>
    <w:rsid w:val="004F59A1"/>
    <w:rsid w:val="004F59D7"/>
    <w:rsid w:val="004F5B8D"/>
    <w:rsid w:val="004F5FC5"/>
    <w:rsid w:val="004F6722"/>
    <w:rsid w:val="004F7709"/>
    <w:rsid w:val="004F7E3A"/>
    <w:rsid w:val="00500A3C"/>
    <w:rsid w:val="0050134C"/>
    <w:rsid w:val="00501418"/>
    <w:rsid w:val="00501628"/>
    <w:rsid w:val="00501CC5"/>
    <w:rsid w:val="0050225E"/>
    <w:rsid w:val="0050256A"/>
    <w:rsid w:val="00502775"/>
    <w:rsid w:val="00502AA9"/>
    <w:rsid w:val="005031F5"/>
    <w:rsid w:val="005033D1"/>
    <w:rsid w:val="00503A84"/>
    <w:rsid w:val="00505B68"/>
    <w:rsid w:val="00505C1A"/>
    <w:rsid w:val="00505C21"/>
    <w:rsid w:val="00505F76"/>
    <w:rsid w:val="005060E9"/>
    <w:rsid w:val="00506427"/>
    <w:rsid w:val="00506697"/>
    <w:rsid w:val="005067FB"/>
    <w:rsid w:val="00506857"/>
    <w:rsid w:val="0050692B"/>
    <w:rsid w:val="00506D6A"/>
    <w:rsid w:val="00507036"/>
    <w:rsid w:val="00507B58"/>
    <w:rsid w:val="00507CA3"/>
    <w:rsid w:val="00507E4F"/>
    <w:rsid w:val="00510099"/>
    <w:rsid w:val="00510637"/>
    <w:rsid w:val="005108CF"/>
    <w:rsid w:val="00510A18"/>
    <w:rsid w:val="005119A8"/>
    <w:rsid w:val="00511D64"/>
    <w:rsid w:val="0051225F"/>
    <w:rsid w:val="0051265D"/>
    <w:rsid w:val="0051289C"/>
    <w:rsid w:val="00512981"/>
    <w:rsid w:val="005129A8"/>
    <w:rsid w:val="00513075"/>
    <w:rsid w:val="0051351F"/>
    <w:rsid w:val="005138B7"/>
    <w:rsid w:val="00513D63"/>
    <w:rsid w:val="00513E6E"/>
    <w:rsid w:val="00514468"/>
    <w:rsid w:val="00514A5A"/>
    <w:rsid w:val="0051565E"/>
    <w:rsid w:val="005156B1"/>
    <w:rsid w:val="00515935"/>
    <w:rsid w:val="00516087"/>
    <w:rsid w:val="005161A0"/>
    <w:rsid w:val="005162A8"/>
    <w:rsid w:val="00516C05"/>
    <w:rsid w:val="005171C9"/>
    <w:rsid w:val="00517223"/>
    <w:rsid w:val="00517526"/>
    <w:rsid w:val="0051764F"/>
    <w:rsid w:val="00517E56"/>
    <w:rsid w:val="005204B5"/>
    <w:rsid w:val="00520660"/>
    <w:rsid w:val="00520E11"/>
    <w:rsid w:val="0052165E"/>
    <w:rsid w:val="0052199D"/>
    <w:rsid w:val="00521E33"/>
    <w:rsid w:val="00521E70"/>
    <w:rsid w:val="0052229E"/>
    <w:rsid w:val="00522490"/>
    <w:rsid w:val="005229BE"/>
    <w:rsid w:val="005230FF"/>
    <w:rsid w:val="00523124"/>
    <w:rsid w:val="005234F1"/>
    <w:rsid w:val="0052354F"/>
    <w:rsid w:val="005236F3"/>
    <w:rsid w:val="00523806"/>
    <w:rsid w:val="00523A04"/>
    <w:rsid w:val="00524097"/>
    <w:rsid w:val="005241C1"/>
    <w:rsid w:val="005245A3"/>
    <w:rsid w:val="005246F9"/>
    <w:rsid w:val="00524F21"/>
    <w:rsid w:val="00525EEC"/>
    <w:rsid w:val="0052636B"/>
    <w:rsid w:val="005269E5"/>
    <w:rsid w:val="00527154"/>
    <w:rsid w:val="0052716B"/>
    <w:rsid w:val="00527729"/>
    <w:rsid w:val="00527B98"/>
    <w:rsid w:val="00527D2A"/>
    <w:rsid w:val="00527DA7"/>
    <w:rsid w:val="00527FE9"/>
    <w:rsid w:val="005301A1"/>
    <w:rsid w:val="005307D3"/>
    <w:rsid w:val="00531487"/>
    <w:rsid w:val="00531740"/>
    <w:rsid w:val="00531958"/>
    <w:rsid w:val="00531F93"/>
    <w:rsid w:val="00532368"/>
    <w:rsid w:val="0053294C"/>
    <w:rsid w:val="005329A2"/>
    <w:rsid w:val="00532E6B"/>
    <w:rsid w:val="0053327B"/>
    <w:rsid w:val="005334A1"/>
    <w:rsid w:val="0053359C"/>
    <w:rsid w:val="0053406C"/>
    <w:rsid w:val="00535104"/>
    <w:rsid w:val="0053515B"/>
    <w:rsid w:val="0053643C"/>
    <w:rsid w:val="00536708"/>
    <w:rsid w:val="0053672A"/>
    <w:rsid w:val="005367EE"/>
    <w:rsid w:val="00536A41"/>
    <w:rsid w:val="00536B86"/>
    <w:rsid w:val="00536BF0"/>
    <w:rsid w:val="00536C4C"/>
    <w:rsid w:val="00536FEB"/>
    <w:rsid w:val="005374E4"/>
    <w:rsid w:val="005377C3"/>
    <w:rsid w:val="00537A5C"/>
    <w:rsid w:val="00540309"/>
    <w:rsid w:val="00540470"/>
    <w:rsid w:val="005405C3"/>
    <w:rsid w:val="005407FE"/>
    <w:rsid w:val="005409F9"/>
    <w:rsid w:val="00540EB4"/>
    <w:rsid w:val="00540F2F"/>
    <w:rsid w:val="005410AF"/>
    <w:rsid w:val="00541711"/>
    <w:rsid w:val="00541B87"/>
    <w:rsid w:val="00542097"/>
    <w:rsid w:val="005426E1"/>
    <w:rsid w:val="00542D72"/>
    <w:rsid w:val="0054342B"/>
    <w:rsid w:val="00543664"/>
    <w:rsid w:val="00543A5F"/>
    <w:rsid w:val="00543A7E"/>
    <w:rsid w:val="00543CDA"/>
    <w:rsid w:val="00543E17"/>
    <w:rsid w:val="005440DE"/>
    <w:rsid w:val="005444DC"/>
    <w:rsid w:val="0054462D"/>
    <w:rsid w:val="00544690"/>
    <w:rsid w:val="00544D58"/>
    <w:rsid w:val="00544DA7"/>
    <w:rsid w:val="005450E1"/>
    <w:rsid w:val="00545487"/>
    <w:rsid w:val="005462DE"/>
    <w:rsid w:val="0054634E"/>
    <w:rsid w:val="0054680E"/>
    <w:rsid w:val="0054685A"/>
    <w:rsid w:val="005469E4"/>
    <w:rsid w:val="00546B07"/>
    <w:rsid w:val="00546DB1"/>
    <w:rsid w:val="00546FB8"/>
    <w:rsid w:val="005474A8"/>
    <w:rsid w:val="00547506"/>
    <w:rsid w:val="00547749"/>
    <w:rsid w:val="00547755"/>
    <w:rsid w:val="00547954"/>
    <w:rsid w:val="0054795A"/>
    <w:rsid w:val="00547DF1"/>
    <w:rsid w:val="00547E8A"/>
    <w:rsid w:val="00550619"/>
    <w:rsid w:val="00551199"/>
    <w:rsid w:val="00551343"/>
    <w:rsid w:val="00551444"/>
    <w:rsid w:val="00551678"/>
    <w:rsid w:val="00551785"/>
    <w:rsid w:val="00551EC7"/>
    <w:rsid w:val="0055256B"/>
    <w:rsid w:val="00552B31"/>
    <w:rsid w:val="00552C6A"/>
    <w:rsid w:val="005537A2"/>
    <w:rsid w:val="00553841"/>
    <w:rsid w:val="00553F7B"/>
    <w:rsid w:val="005545E7"/>
    <w:rsid w:val="0055481C"/>
    <w:rsid w:val="00554C1C"/>
    <w:rsid w:val="00555930"/>
    <w:rsid w:val="00555948"/>
    <w:rsid w:val="00555B2C"/>
    <w:rsid w:val="00555E5E"/>
    <w:rsid w:val="00555FB1"/>
    <w:rsid w:val="00556482"/>
    <w:rsid w:val="00556923"/>
    <w:rsid w:val="00556A20"/>
    <w:rsid w:val="00556AF9"/>
    <w:rsid w:val="00556DD1"/>
    <w:rsid w:val="00556DF2"/>
    <w:rsid w:val="005573AA"/>
    <w:rsid w:val="005573EB"/>
    <w:rsid w:val="005574B7"/>
    <w:rsid w:val="005574F2"/>
    <w:rsid w:val="0055790D"/>
    <w:rsid w:val="005601EB"/>
    <w:rsid w:val="00560A7C"/>
    <w:rsid w:val="0056108E"/>
    <w:rsid w:val="00561206"/>
    <w:rsid w:val="0056193D"/>
    <w:rsid w:val="00561D1F"/>
    <w:rsid w:val="00561F44"/>
    <w:rsid w:val="00562004"/>
    <w:rsid w:val="005625B3"/>
    <w:rsid w:val="00562E42"/>
    <w:rsid w:val="00562F8A"/>
    <w:rsid w:val="00563313"/>
    <w:rsid w:val="00563762"/>
    <w:rsid w:val="00563913"/>
    <w:rsid w:val="00563A67"/>
    <w:rsid w:val="00563AA9"/>
    <w:rsid w:val="00563D53"/>
    <w:rsid w:val="00563D82"/>
    <w:rsid w:val="00564BA7"/>
    <w:rsid w:val="00564BF9"/>
    <w:rsid w:val="00564D92"/>
    <w:rsid w:val="00565D4F"/>
    <w:rsid w:val="00566AC5"/>
    <w:rsid w:val="00566DBD"/>
    <w:rsid w:val="00567505"/>
    <w:rsid w:val="00567577"/>
    <w:rsid w:val="00567945"/>
    <w:rsid w:val="00567BF9"/>
    <w:rsid w:val="00567D53"/>
    <w:rsid w:val="00567DE8"/>
    <w:rsid w:val="00570664"/>
    <w:rsid w:val="00570670"/>
    <w:rsid w:val="00570981"/>
    <w:rsid w:val="00570DE0"/>
    <w:rsid w:val="00571848"/>
    <w:rsid w:val="0057193E"/>
    <w:rsid w:val="005720A2"/>
    <w:rsid w:val="005720BA"/>
    <w:rsid w:val="00572535"/>
    <w:rsid w:val="005729B6"/>
    <w:rsid w:val="00572A67"/>
    <w:rsid w:val="005730C1"/>
    <w:rsid w:val="00573168"/>
    <w:rsid w:val="0057329D"/>
    <w:rsid w:val="0057338E"/>
    <w:rsid w:val="00574C38"/>
    <w:rsid w:val="0057543A"/>
    <w:rsid w:val="00575A5A"/>
    <w:rsid w:val="00575B35"/>
    <w:rsid w:val="00576402"/>
    <w:rsid w:val="00576CCF"/>
    <w:rsid w:val="005771D6"/>
    <w:rsid w:val="0057777E"/>
    <w:rsid w:val="00577795"/>
    <w:rsid w:val="0057779E"/>
    <w:rsid w:val="005777CB"/>
    <w:rsid w:val="0057799A"/>
    <w:rsid w:val="0058049E"/>
    <w:rsid w:val="0058058B"/>
    <w:rsid w:val="00580616"/>
    <w:rsid w:val="00580B99"/>
    <w:rsid w:val="00580DE7"/>
    <w:rsid w:val="005810CE"/>
    <w:rsid w:val="00581115"/>
    <w:rsid w:val="00581F00"/>
    <w:rsid w:val="005820EF"/>
    <w:rsid w:val="00582ACD"/>
    <w:rsid w:val="00582D54"/>
    <w:rsid w:val="00582E76"/>
    <w:rsid w:val="00583421"/>
    <w:rsid w:val="005837EB"/>
    <w:rsid w:val="0058383A"/>
    <w:rsid w:val="005839E8"/>
    <w:rsid w:val="00583E3A"/>
    <w:rsid w:val="00583F51"/>
    <w:rsid w:val="00584439"/>
    <w:rsid w:val="005856A4"/>
    <w:rsid w:val="005859A7"/>
    <w:rsid w:val="005863BE"/>
    <w:rsid w:val="00586627"/>
    <w:rsid w:val="00586637"/>
    <w:rsid w:val="00586DAF"/>
    <w:rsid w:val="00587243"/>
    <w:rsid w:val="0058763C"/>
    <w:rsid w:val="0058789B"/>
    <w:rsid w:val="00590119"/>
    <w:rsid w:val="00590192"/>
    <w:rsid w:val="00590217"/>
    <w:rsid w:val="00590220"/>
    <w:rsid w:val="005907F0"/>
    <w:rsid w:val="005909BF"/>
    <w:rsid w:val="005919CF"/>
    <w:rsid w:val="005928AD"/>
    <w:rsid w:val="00592FDC"/>
    <w:rsid w:val="005931EC"/>
    <w:rsid w:val="0059321B"/>
    <w:rsid w:val="0059351A"/>
    <w:rsid w:val="00593534"/>
    <w:rsid w:val="00593810"/>
    <w:rsid w:val="0059389B"/>
    <w:rsid w:val="00593F8F"/>
    <w:rsid w:val="00594227"/>
    <w:rsid w:val="00594271"/>
    <w:rsid w:val="005942F5"/>
    <w:rsid w:val="005946A9"/>
    <w:rsid w:val="005946EA"/>
    <w:rsid w:val="00594879"/>
    <w:rsid w:val="00594C3B"/>
    <w:rsid w:val="00594D29"/>
    <w:rsid w:val="00594DCB"/>
    <w:rsid w:val="00595665"/>
    <w:rsid w:val="005956CC"/>
    <w:rsid w:val="00595D43"/>
    <w:rsid w:val="00596A6F"/>
    <w:rsid w:val="00596F66"/>
    <w:rsid w:val="0059732F"/>
    <w:rsid w:val="00597428"/>
    <w:rsid w:val="005979A1"/>
    <w:rsid w:val="00597A57"/>
    <w:rsid w:val="00597AEA"/>
    <w:rsid w:val="005A08EA"/>
    <w:rsid w:val="005A0F3A"/>
    <w:rsid w:val="005A1107"/>
    <w:rsid w:val="005A182E"/>
    <w:rsid w:val="005A1918"/>
    <w:rsid w:val="005A223A"/>
    <w:rsid w:val="005A29DE"/>
    <w:rsid w:val="005A350F"/>
    <w:rsid w:val="005A3758"/>
    <w:rsid w:val="005A3FD5"/>
    <w:rsid w:val="005A3FE7"/>
    <w:rsid w:val="005A4C95"/>
    <w:rsid w:val="005A514D"/>
    <w:rsid w:val="005A51AC"/>
    <w:rsid w:val="005A5400"/>
    <w:rsid w:val="005A58BA"/>
    <w:rsid w:val="005A59C0"/>
    <w:rsid w:val="005A5D2A"/>
    <w:rsid w:val="005A62E9"/>
    <w:rsid w:val="005A63B6"/>
    <w:rsid w:val="005A66BB"/>
    <w:rsid w:val="005A677E"/>
    <w:rsid w:val="005A6BB2"/>
    <w:rsid w:val="005A76CE"/>
    <w:rsid w:val="005A7FCE"/>
    <w:rsid w:val="005B0716"/>
    <w:rsid w:val="005B09BA"/>
    <w:rsid w:val="005B0A88"/>
    <w:rsid w:val="005B0C54"/>
    <w:rsid w:val="005B1403"/>
    <w:rsid w:val="005B17F5"/>
    <w:rsid w:val="005B2101"/>
    <w:rsid w:val="005B214A"/>
    <w:rsid w:val="005B26FE"/>
    <w:rsid w:val="005B2751"/>
    <w:rsid w:val="005B2E71"/>
    <w:rsid w:val="005B32C2"/>
    <w:rsid w:val="005B36B1"/>
    <w:rsid w:val="005B3F4E"/>
    <w:rsid w:val="005B3F6D"/>
    <w:rsid w:val="005B4136"/>
    <w:rsid w:val="005B458F"/>
    <w:rsid w:val="005B574B"/>
    <w:rsid w:val="005B5C19"/>
    <w:rsid w:val="005B5E92"/>
    <w:rsid w:val="005B62C9"/>
    <w:rsid w:val="005B6DD2"/>
    <w:rsid w:val="005B6F20"/>
    <w:rsid w:val="005B76DD"/>
    <w:rsid w:val="005B7D80"/>
    <w:rsid w:val="005C02B0"/>
    <w:rsid w:val="005C0AA3"/>
    <w:rsid w:val="005C0ED7"/>
    <w:rsid w:val="005C16D2"/>
    <w:rsid w:val="005C19FF"/>
    <w:rsid w:val="005C1AC6"/>
    <w:rsid w:val="005C2320"/>
    <w:rsid w:val="005C292C"/>
    <w:rsid w:val="005C2C15"/>
    <w:rsid w:val="005C2D13"/>
    <w:rsid w:val="005C335A"/>
    <w:rsid w:val="005C3704"/>
    <w:rsid w:val="005C3AD0"/>
    <w:rsid w:val="005C3E7C"/>
    <w:rsid w:val="005C4034"/>
    <w:rsid w:val="005C4615"/>
    <w:rsid w:val="005C4AF6"/>
    <w:rsid w:val="005C4B9F"/>
    <w:rsid w:val="005C4BFA"/>
    <w:rsid w:val="005C4EF4"/>
    <w:rsid w:val="005C4EFF"/>
    <w:rsid w:val="005C5036"/>
    <w:rsid w:val="005C51FE"/>
    <w:rsid w:val="005C5E20"/>
    <w:rsid w:val="005C62B1"/>
    <w:rsid w:val="005C645F"/>
    <w:rsid w:val="005C6600"/>
    <w:rsid w:val="005C68E7"/>
    <w:rsid w:val="005C6C1C"/>
    <w:rsid w:val="005C7570"/>
    <w:rsid w:val="005C7829"/>
    <w:rsid w:val="005C79CC"/>
    <w:rsid w:val="005D0055"/>
    <w:rsid w:val="005D038D"/>
    <w:rsid w:val="005D07DE"/>
    <w:rsid w:val="005D0BD6"/>
    <w:rsid w:val="005D0BEB"/>
    <w:rsid w:val="005D10A4"/>
    <w:rsid w:val="005D1361"/>
    <w:rsid w:val="005D16B1"/>
    <w:rsid w:val="005D1B77"/>
    <w:rsid w:val="005D211E"/>
    <w:rsid w:val="005D278A"/>
    <w:rsid w:val="005D38F7"/>
    <w:rsid w:val="005D3E0E"/>
    <w:rsid w:val="005D4B7A"/>
    <w:rsid w:val="005D4C8A"/>
    <w:rsid w:val="005D4CD2"/>
    <w:rsid w:val="005D4D58"/>
    <w:rsid w:val="005D4F11"/>
    <w:rsid w:val="005D4F72"/>
    <w:rsid w:val="005D53A5"/>
    <w:rsid w:val="005D582C"/>
    <w:rsid w:val="005D5AEE"/>
    <w:rsid w:val="005D5B23"/>
    <w:rsid w:val="005D61A1"/>
    <w:rsid w:val="005D6367"/>
    <w:rsid w:val="005D6AFA"/>
    <w:rsid w:val="005D6F6A"/>
    <w:rsid w:val="005D73DB"/>
    <w:rsid w:val="005D7736"/>
    <w:rsid w:val="005D7984"/>
    <w:rsid w:val="005D7D90"/>
    <w:rsid w:val="005E06B0"/>
    <w:rsid w:val="005E0814"/>
    <w:rsid w:val="005E081C"/>
    <w:rsid w:val="005E0CAC"/>
    <w:rsid w:val="005E0D5D"/>
    <w:rsid w:val="005E1276"/>
    <w:rsid w:val="005E13A2"/>
    <w:rsid w:val="005E1514"/>
    <w:rsid w:val="005E15CB"/>
    <w:rsid w:val="005E1EF1"/>
    <w:rsid w:val="005E207C"/>
    <w:rsid w:val="005E2649"/>
    <w:rsid w:val="005E2961"/>
    <w:rsid w:val="005E2F19"/>
    <w:rsid w:val="005E2F3D"/>
    <w:rsid w:val="005E3178"/>
    <w:rsid w:val="005E3770"/>
    <w:rsid w:val="005E4206"/>
    <w:rsid w:val="005E42B1"/>
    <w:rsid w:val="005E4923"/>
    <w:rsid w:val="005E4B23"/>
    <w:rsid w:val="005E5128"/>
    <w:rsid w:val="005E568D"/>
    <w:rsid w:val="005E6323"/>
    <w:rsid w:val="005E6589"/>
    <w:rsid w:val="005E6795"/>
    <w:rsid w:val="005E6C70"/>
    <w:rsid w:val="005E7331"/>
    <w:rsid w:val="005E73AA"/>
    <w:rsid w:val="005E7854"/>
    <w:rsid w:val="005E7F71"/>
    <w:rsid w:val="005F0021"/>
    <w:rsid w:val="005F0188"/>
    <w:rsid w:val="005F064F"/>
    <w:rsid w:val="005F09C1"/>
    <w:rsid w:val="005F0D54"/>
    <w:rsid w:val="005F0DE0"/>
    <w:rsid w:val="005F0E44"/>
    <w:rsid w:val="005F224E"/>
    <w:rsid w:val="005F24CD"/>
    <w:rsid w:val="005F2681"/>
    <w:rsid w:val="005F287C"/>
    <w:rsid w:val="005F2C93"/>
    <w:rsid w:val="005F2C9E"/>
    <w:rsid w:val="005F30FF"/>
    <w:rsid w:val="005F31F2"/>
    <w:rsid w:val="005F32AC"/>
    <w:rsid w:val="005F3799"/>
    <w:rsid w:val="005F3AD5"/>
    <w:rsid w:val="005F40EC"/>
    <w:rsid w:val="005F4279"/>
    <w:rsid w:val="005F436D"/>
    <w:rsid w:val="005F44DF"/>
    <w:rsid w:val="005F4523"/>
    <w:rsid w:val="005F481E"/>
    <w:rsid w:val="005F51B6"/>
    <w:rsid w:val="005F521E"/>
    <w:rsid w:val="005F54FA"/>
    <w:rsid w:val="005F56F6"/>
    <w:rsid w:val="005F58DB"/>
    <w:rsid w:val="005F6CAF"/>
    <w:rsid w:val="005F6D0B"/>
    <w:rsid w:val="005F6F06"/>
    <w:rsid w:val="005F6F61"/>
    <w:rsid w:val="005F7370"/>
    <w:rsid w:val="005F78DA"/>
    <w:rsid w:val="005F79E6"/>
    <w:rsid w:val="005F7AAF"/>
    <w:rsid w:val="005F7B30"/>
    <w:rsid w:val="00600BE6"/>
    <w:rsid w:val="00600E31"/>
    <w:rsid w:val="00601759"/>
    <w:rsid w:val="00601C1F"/>
    <w:rsid w:val="0060214E"/>
    <w:rsid w:val="0060215E"/>
    <w:rsid w:val="006022A8"/>
    <w:rsid w:val="006026E7"/>
    <w:rsid w:val="00602BF9"/>
    <w:rsid w:val="00602DEB"/>
    <w:rsid w:val="00602F10"/>
    <w:rsid w:val="006038C0"/>
    <w:rsid w:val="006038DC"/>
    <w:rsid w:val="00603FC2"/>
    <w:rsid w:val="00604227"/>
    <w:rsid w:val="00604242"/>
    <w:rsid w:val="00604441"/>
    <w:rsid w:val="00604C33"/>
    <w:rsid w:val="00604DD2"/>
    <w:rsid w:val="006050B0"/>
    <w:rsid w:val="006058F2"/>
    <w:rsid w:val="0060593D"/>
    <w:rsid w:val="00605BAD"/>
    <w:rsid w:val="00605DE3"/>
    <w:rsid w:val="00606386"/>
    <w:rsid w:val="006070D1"/>
    <w:rsid w:val="00607C1B"/>
    <w:rsid w:val="00610665"/>
    <w:rsid w:val="0061123A"/>
    <w:rsid w:val="00611675"/>
    <w:rsid w:val="00611760"/>
    <w:rsid w:val="00611A64"/>
    <w:rsid w:val="00611B74"/>
    <w:rsid w:val="00611FAF"/>
    <w:rsid w:val="006123C0"/>
    <w:rsid w:val="00612723"/>
    <w:rsid w:val="006128D2"/>
    <w:rsid w:val="00612945"/>
    <w:rsid w:val="00612D5E"/>
    <w:rsid w:val="00613596"/>
    <w:rsid w:val="006135E1"/>
    <w:rsid w:val="0061367F"/>
    <w:rsid w:val="00613DCC"/>
    <w:rsid w:val="006142E0"/>
    <w:rsid w:val="0061434C"/>
    <w:rsid w:val="00614756"/>
    <w:rsid w:val="006147C6"/>
    <w:rsid w:val="00614880"/>
    <w:rsid w:val="00614FDE"/>
    <w:rsid w:val="006150F7"/>
    <w:rsid w:val="00615300"/>
    <w:rsid w:val="00615A64"/>
    <w:rsid w:val="00615E0D"/>
    <w:rsid w:val="006163C9"/>
    <w:rsid w:val="0061687B"/>
    <w:rsid w:val="006172F2"/>
    <w:rsid w:val="00617973"/>
    <w:rsid w:val="0061798E"/>
    <w:rsid w:val="00617997"/>
    <w:rsid w:val="00617B73"/>
    <w:rsid w:val="00620007"/>
    <w:rsid w:val="0062012B"/>
    <w:rsid w:val="006207F6"/>
    <w:rsid w:val="00620904"/>
    <w:rsid w:val="00620E72"/>
    <w:rsid w:val="00620F13"/>
    <w:rsid w:val="00621280"/>
    <w:rsid w:val="006214E2"/>
    <w:rsid w:val="00621F8A"/>
    <w:rsid w:val="00622370"/>
    <w:rsid w:val="00622BB7"/>
    <w:rsid w:val="00622F30"/>
    <w:rsid w:val="006231C4"/>
    <w:rsid w:val="00623821"/>
    <w:rsid w:val="006239E0"/>
    <w:rsid w:val="006240CC"/>
    <w:rsid w:val="00624589"/>
    <w:rsid w:val="006247CA"/>
    <w:rsid w:val="00624932"/>
    <w:rsid w:val="00624E06"/>
    <w:rsid w:val="0062554F"/>
    <w:rsid w:val="00625767"/>
    <w:rsid w:val="00626108"/>
    <w:rsid w:val="00626260"/>
    <w:rsid w:val="006265E6"/>
    <w:rsid w:val="00626687"/>
    <w:rsid w:val="006269AB"/>
    <w:rsid w:val="00626C03"/>
    <w:rsid w:val="006272E0"/>
    <w:rsid w:val="00630028"/>
    <w:rsid w:val="00630296"/>
    <w:rsid w:val="006309F4"/>
    <w:rsid w:val="00630CDB"/>
    <w:rsid w:val="00630E81"/>
    <w:rsid w:val="00631397"/>
    <w:rsid w:val="006314E4"/>
    <w:rsid w:val="00631F8D"/>
    <w:rsid w:val="006321ED"/>
    <w:rsid w:val="0063228E"/>
    <w:rsid w:val="006322B3"/>
    <w:rsid w:val="0063299B"/>
    <w:rsid w:val="00633189"/>
    <w:rsid w:val="0063347C"/>
    <w:rsid w:val="00634062"/>
    <w:rsid w:val="00634F18"/>
    <w:rsid w:val="0063564F"/>
    <w:rsid w:val="00635C9F"/>
    <w:rsid w:val="00635E0D"/>
    <w:rsid w:val="00635EE0"/>
    <w:rsid w:val="0063605A"/>
    <w:rsid w:val="006360AA"/>
    <w:rsid w:val="006362CB"/>
    <w:rsid w:val="00636309"/>
    <w:rsid w:val="00636548"/>
    <w:rsid w:val="006367E3"/>
    <w:rsid w:val="00637005"/>
    <w:rsid w:val="00637417"/>
    <w:rsid w:val="00637436"/>
    <w:rsid w:val="00637566"/>
    <w:rsid w:val="0063786F"/>
    <w:rsid w:val="0063793B"/>
    <w:rsid w:val="00640396"/>
    <w:rsid w:val="00640450"/>
    <w:rsid w:val="00640597"/>
    <w:rsid w:val="00640935"/>
    <w:rsid w:val="00640BA6"/>
    <w:rsid w:val="00640D97"/>
    <w:rsid w:val="0064134E"/>
    <w:rsid w:val="00641600"/>
    <w:rsid w:val="00641620"/>
    <w:rsid w:val="0064208A"/>
    <w:rsid w:val="006420CE"/>
    <w:rsid w:val="00642230"/>
    <w:rsid w:val="006428AB"/>
    <w:rsid w:val="00642FFE"/>
    <w:rsid w:val="00643029"/>
    <w:rsid w:val="00643C07"/>
    <w:rsid w:val="00644523"/>
    <w:rsid w:val="00644590"/>
    <w:rsid w:val="006449C6"/>
    <w:rsid w:val="00644ACD"/>
    <w:rsid w:val="006451E6"/>
    <w:rsid w:val="006458A6"/>
    <w:rsid w:val="00645A0A"/>
    <w:rsid w:val="00645EF4"/>
    <w:rsid w:val="00646194"/>
    <w:rsid w:val="006464FE"/>
    <w:rsid w:val="00646A1B"/>
    <w:rsid w:val="00647122"/>
    <w:rsid w:val="00647640"/>
    <w:rsid w:val="0064782A"/>
    <w:rsid w:val="00647886"/>
    <w:rsid w:val="006479FE"/>
    <w:rsid w:val="00647A67"/>
    <w:rsid w:val="00647F44"/>
    <w:rsid w:val="006500F2"/>
    <w:rsid w:val="00650294"/>
    <w:rsid w:val="006504FC"/>
    <w:rsid w:val="00650556"/>
    <w:rsid w:val="00650A6D"/>
    <w:rsid w:val="00650E62"/>
    <w:rsid w:val="00650EBB"/>
    <w:rsid w:val="00651228"/>
    <w:rsid w:val="00651496"/>
    <w:rsid w:val="00651B14"/>
    <w:rsid w:val="006527DF"/>
    <w:rsid w:val="0065345F"/>
    <w:rsid w:val="00653C94"/>
    <w:rsid w:val="00654530"/>
    <w:rsid w:val="006547E7"/>
    <w:rsid w:val="00654CCB"/>
    <w:rsid w:val="00654FA2"/>
    <w:rsid w:val="006557B1"/>
    <w:rsid w:val="00655880"/>
    <w:rsid w:val="00655BF8"/>
    <w:rsid w:val="00655EB2"/>
    <w:rsid w:val="00656055"/>
    <w:rsid w:val="00656871"/>
    <w:rsid w:val="0065713C"/>
    <w:rsid w:val="006571FE"/>
    <w:rsid w:val="0065722C"/>
    <w:rsid w:val="006572B1"/>
    <w:rsid w:val="00657583"/>
    <w:rsid w:val="0065764D"/>
    <w:rsid w:val="00657D5C"/>
    <w:rsid w:val="006600BA"/>
    <w:rsid w:val="00660136"/>
    <w:rsid w:val="0066014D"/>
    <w:rsid w:val="00660265"/>
    <w:rsid w:val="0066054C"/>
    <w:rsid w:val="00660697"/>
    <w:rsid w:val="006615DA"/>
    <w:rsid w:val="00661856"/>
    <w:rsid w:val="00661B46"/>
    <w:rsid w:val="006621BE"/>
    <w:rsid w:val="0066239F"/>
    <w:rsid w:val="00662555"/>
    <w:rsid w:val="006625A9"/>
    <w:rsid w:val="00662775"/>
    <w:rsid w:val="00662E68"/>
    <w:rsid w:val="0066315E"/>
    <w:rsid w:val="00663185"/>
    <w:rsid w:val="00663331"/>
    <w:rsid w:val="00664353"/>
    <w:rsid w:val="00664908"/>
    <w:rsid w:val="00665276"/>
    <w:rsid w:val="00665618"/>
    <w:rsid w:val="0066564E"/>
    <w:rsid w:val="00665A77"/>
    <w:rsid w:val="00665CA7"/>
    <w:rsid w:val="00665CDF"/>
    <w:rsid w:val="00665D7A"/>
    <w:rsid w:val="00665F05"/>
    <w:rsid w:val="00665F2B"/>
    <w:rsid w:val="00665FDF"/>
    <w:rsid w:val="00666274"/>
    <w:rsid w:val="00666C3C"/>
    <w:rsid w:val="00666E75"/>
    <w:rsid w:val="00666F2A"/>
    <w:rsid w:val="006671F3"/>
    <w:rsid w:val="00667369"/>
    <w:rsid w:val="0066787E"/>
    <w:rsid w:val="00667990"/>
    <w:rsid w:val="00667D9C"/>
    <w:rsid w:val="00667DAA"/>
    <w:rsid w:val="00667F8C"/>
    <w:rsid w:val="00670475"/>
    <w:rsid w:val="00670D5F"/>
    <w:rsid w:val="006713CC"/>
    <w:rsid w:val="0067152B"/>
    <w:rsid w:val="0067195A"/>
    <w:rsid w:val="00671E03"/>
    <w:rsid w:val="00671F82"/>
    <w:rsid w:val="00672445"/>
    <w:rsid w:val="006725B5"/>
    <w:rsid w:val="00672A52"/>
    <w:rsid w:val="00672C68"/>
    <w:rsid w:val="006732E0"/>
    <w:rsid w:val="0067393D"/>
    <w:rsid w:val="00674025"/>
    <w:rsid w:val="006740D7"/>
    <w:rsid w:val="00674505"/>
    <w:rsid w:val="0067478C"/>
    <w:rsid w:val="006748AD"/>
    <w:rsid w:val="00674A12"/>
    <w:rsid w:val="00674D8A"/>
    <w:rsid w:val="00674E87"/>
    <w:rsid w:val="00675331"/>
    <w:rsid w:val="006754C3"/>
    <w:rsid w:val="00675936"/>
    <w:rsid w:val="00675C36"/>
    <w:rsid w:val="00676857"/>
    <w:rsid w:val="00676A8B"/>
    <w:rsid w:val="00676C89"/>
    <w:rsid w:val="00676E4E"/>
    <w:rsid w:val="006777C5"/>
    <w:rsid w:val="0067787B"/>
    <w:rsid w:val="00677FE3"/>
    <w:rsid w:val="00680504"/>
    <w:rsid w:val="006806F1"/>
    <w:rsid w:val="006807E3"/>
    <w:rsid w:val="00680E2E"/>
    <w:rsid w:val="006810D0"/>
    <w:rsid w:val="006812F0"/>
    <w:rsid w:val="00681535"/>
    <w:rsid w:val="00681A2B"/>
    <w:rsid w:val="00681B36"/>
    <w:rsid w:val="00681BF0"/>
    <w:rsid w:val="00682AA8"/>
    <w:rsid w:val="006831A5"/>
    <w:rsid w:val="006835D6"/>
    <w:rsid w:val="00683821"/>
    <w:rsid w:val="006839ED"/>
    <w:rsid w:val="00683C72"/>
    <w:rsid w:val="00684265"/>
    <w:rsid w:val="006843E3"/>
    <w:rsid w:val="00684802"/>
    <w:rsid w:val="006849DA"/>
    <w:rsid w:val="00685896"/>
    <w:rsid w:val="006861CC"/>
    <w:rsid w:val="00686215"/>
    <w:rsid w:val="00686A0A"/>
    <w:rsid w:val="00686E8A"/>
    <w:rsid w:val="00687487"/>
    <w:rsid w:val="00690985"/>
    <w:rsid w:val="00690EB6"/>
    <w:rsid w:val="0069117C"/>
    <w:rsid w:val="006912EA"/>
    <w:rsid w:val="006918B2"/>
    <w:rsid w:val="00691FB6"/>
    <w:rsid w:val="00692996"/>
    <w:rsid w:val="00692ADE"/>
    <w:rsid w:val="00692E0D"/>
    <w:rsid w:val="006931D1"/>
    <w:rsid w:val="006931F4"/>
    <w:rsid w:val="0069340F"/>
    <w:rsid w:val="00693541"/>
    <w:rsid w:val="00693D98"/>
    <w:rsid w:val="00693DE0"/>
    <w:rsid w:val="00694731"/>
    <w:rsid w:val="006947DE"/>
    <w:rsid w:val="00694F72"/>
    <w:rsid w:val="0069512B"/>
    <w:rsid w:val="0069523F"/>
    <w:rsid w:val="00695618"/>
    <w:rsid w:val="00695B95"/>
    <w:rsid w:val="00696510"/>
    <w:rsid w:val="006971DF"/>
    <w:rsid w:val="0069724A"/>
    <w:rsid w:val="006975B3"/>
    <w:rsid w:val="00697D68"/>
    <w:rsid w:val="00697E45"/>
    <w:rsid w:val="00697EE9"/>
    <w:rsid w:val="006A020D"/>
    <w:rsid w:val="006A0539"/>
    <w:rsid w:val="006A058B"/>
    <w:rsid w:val="006A0A61"/>
    <w:rsid w:val="006A0C42"/>
    <w:rsid w:val="006A14D9"/>
    <w:rsid w:val="006A1885"/>
    <w:rsid w:val="006A1C7C"/>
    <w:rsid w:val="006A1D4C"/>
    <w:rsid w:val="006A1EF5"/>
    <w:rsid w:val="006A24CE"/>
    <w:rsid w:val="006A2B81"/>
    <w:rsid w:val="006A307D"/>
    <w:rsid w:val="006A3087"/>
    <w:rsid w:val="006A3248"/>
    <w:rsid w:val="006A32E5"/>
    <w:rsid w:val="006A3876"/>
    <w:rsid w:val="006A40CB"/>
    <w:rsid w:val="006A4187"/>
    <w:rsid w:val="006A41A9"/>
    <w:rsid w:val="006A4643"/>
    <w:rsid w:val="006A4AC3"/>
    <w:rsid w:val="006A4B93"/>
    <w:rsid w:val="006A4FAE"/>
    <w:rsid w:val="006A4FB9"/>
    <w:rsid w:val="006A548D"/>
    <w:rsid w:val="006A5A4A"/>
    <w:rsid w:val="006A5E0D"/>
    <w:rsid w:val="006A61EC"/>
    <w:rsid w:val="006A6279"/>
    <w:rsid w:val="006A655F"/>
    <w:rsid w:val="006A6673"/>
    <w:rsid w:val="006A6793"/>
    <w:rsid w:val="006A71E7"/>
    <w:rsid w:val="006A74E8"/>
    <w:rsid w:val="006A7ACF"/>
    <w:rsid w:val="006B00CB"/>
    <w:rsid w:val="006B09A9"/>
    <w:rsid w:val="006B0ADA"/>
    <w:rsid w:val="006B0D35"/>
    <w:rsid w:val="006B1168"/>
    <w:rsid w:val="006B19A8"/>
    <w:rsid w:val="006B24F4"/>
    <w:rsid w:val="006B260D"/>
    <w:rsid w:val="006B289E"/>
    <w:rsid w:val="006B2CA7"/>
    <w:rsid w:val="006B2DC3"/>
    <w:rsid w:val="006B3257"/>
    <w:rsid w:val="006B3883"/>
    <w:rsid w:val="006B3CE6"/>
    <w:rsid w:val="006B3E80"/>
    <w:rsid w:val="006B3FFD"/>
    <w:rsid w:val="006B43D8"/>
    <w:rsid w:val="006B4C26"/>
    <w:rsid w:val="006B512A"/>
    <w:rsid w:val="006B5342"/>
    <w:rsid w:val="006B5448"/>
    <w:rsid w:val="006B5985"/>
    <w:rsid w:val="006B5A2B"/>
    <w:rsid w:val="006B61FD"/>
    <w:rsid w:val="006B6B5A"/>
    <w:rsid w:val="006B6F09"/>
    <w:rsid w:val="006B7023"/>
    <w:rsid w:val="006B721B"/>
    <w:rsid w:val="006B788D"/>
    <w:rsid w:val="006B7965"/>
    <w:rsid w:val="006B7A47"/>
    <w:rsid w:val="006C0622"/>
    <w:rsid w:val="006C0801"/>
    <w:rsid w:val="006C09F3"/>
    <w:rsid w:val="006C1049"/>
    <w:rsid w:val="006C1089"/>
    <w:rsid w:val="006C13A2"/>
    <w:rsid w:val="006C173A"/>
    <w:rsid w:val="006C1742"/>
    <w:rsid w:val="006C17C9"/>
    <w:rsid w:val="006C1CD6"/>
    <w:rsid w:val="006C1D69"/>
    <w:rsid w:val="006C1E24"/>
    <w:rsid w:val="006C1ED9"/>
    <w:rsid w:val="006C1FD4"/>
    <w:rsid w:val="006C28A7"/>
    <w:rsid w:val="006C303F"/>
    <w:rsid w:val="006C3291"/>
    <w:rsid w:val="006C32AC"/>
    <w:rsid w:val="006C3A39"/>
    <w:rsid w:val="006C3B36"/>
    <w:rsid w:val="006C3C0E"/>
    <w:rsid w:val="006C3C1B"/>
    <w:rsid w:val="006C3D3E"/>
    <w:rsid w:val="006C4105"/>
    <w:rsid w:val="006C4163"/>
    <w:rsid w:val="006C4287"/>
    <w:rsid w:val="006C42C6"/>
    <w:rsid w:val="006C4527"/>
    <w:rsid w:val="006C4EE9"/>
    <w:rsid w:val="006C4F9C"/>
    <w:rsid w:val="006C500F"/>
    <w:rsid w:val="006C5194"/>
    <w:rsid w:val="006C520E"/>
    <w:rsid w:val="006C5C8C"/>
    <w:rsid w:val="006C5CAB"/>
    <w:rsid w:val="006C68B2"/>
    <w:rsid w:val="006C6EF8"/>
    <w:rsid w:val="006C7620"/>
    <w:rsid w:val="006C7826"/>
    <w:rsid w:val="006D0192"/>
    <w:rsid w:val="006D08E4"/>
    <w:rsid w:val="006D0B40"/>
    <w:rsid w:val="006D0E71"/>
    <w:rsid w:val="006D15C9"/>
    <w:rsid w:val="006D18F9"/>
    <w:rsid w:val="006D2131"/>
    <w:rsid w:val="006D2219"/>
    <w:rsid w:val="006D2AE7"/>
    <w:rsid w:val="006D2E8B"/>
    <w:rsid w:val="006D4158"/>
    <w:rsid w:val="006D44A1"/>
    <w:rsid w:val="006D4954"/>
    <w:rsid w:val="006D4A56"/>
    <w:rsid w:val="006D5A85"/>
    <w:rsid w:val="006D5AE2"/>
    <w:rsid w:val="006D6B1D"/>
    <w:rsid w:val="006D6DAD"/>
    <w:rsid w:val="006D6F39"/>
    <w:rsid w:val="006D784B"/>
    <w:rsid w:val="006D7DEA"/>
    <w:rsid w:val="006D7E48"/>
    <w:rsid w:val="006E03F1"/>
    <w:rsid w:val="006E0FF2"/>
    <w:rsid w:val="006E1001"/>
    <w:rsid w:val="006E10B1"/>
    <w:rsid w:val="006E12D7"/>
    <w:rsid w:val="006E1321"/>
    <w:rsid w:val="006E1597"/>
    <w:rsid w:val="006E17F7"/>
    <w:rsid w:val="006E18E9"/>
    <w:rsid w:val="006E1A84"/>
    <w:rsid w:val="006E1C5D"/>
    <w:rsid w:val="006E2389"/>
    <w:rsid w:val="006E23E4"/>
    <w:rsid w:val="006E2EDF"/>
    <w:rsid w:val="006E2EE7"/>
    <w:rsid w:val="006E2F04"/>
    <w:rsid w:val="006E3037"/>
    <w:rsid w:val="006E3A81"/>
    <w:rsid w:val="006E40F4"/>
    <w:rsid w:val="006E41F7"/>
    <w:rsid w:val="006E4963"/>
    <w:rsid w:val="006E4A71"/>
    <w:rsid w:val="006E4CC5"/>
    <w:rsid w:val="006E4F88"/>
    <w:rsid w:val="006E55E0"/>
    <w:rsid w:val="006E56BC"/>
    <w:rsid w:val="006E59B0"/>
    <w:rsid w:val="006E5DBF"/>
    <w:rsid w:val="006E631A"/>
    <w:rsid w:val="006E6595"/>
    <w:rsid w:val="006E6AEE"/>
    <w:rsid w:val="006E6B6A"/>
    <w:rsid w:val="006E72D4"/>
    <w:rsid w:val="006E7941"/>
    <w:rsid w:val="006E79F5"/>
    <w:rsid w:val="006F05C9"/>
    <w:rsid w:val="006F0D69"/>
    <w:rsid w:val="006F0D6B"/>
    <w:rsid w:val="006F0E73"/>
    <w:rsid w:val="006F0F37"/>
    <w:rsid w:val="006F2471"/>
    <w:rsid w:val="006F2533"/>
    <w:rsid w:val="006F2A06"/>
    <w:rsid w:val="006F2AAB"/>
    <w:rsid w:val="006F3031"/>
    <w:rsid w:val="006F3046"/>
    <w:rsid w:val="006F37BF"/>
    <w:rsid w:val="006F450B"/>
    <w:rsid w:val="006F4EC3"/>
    <w:rsid w:val="006F59B9"/>
    <w:rsid w:val="006F616C"/>
    <w:rsid w:val="006F61B5"/>
    <w:rsid w:val="006F61B7"/>
    <w:rsid w:val="006F61C8"/>
    <w:rsid w:val="006F6BA1"/>
    <w:rsid w:val="006F7527"/>
    <w:rsid w:val="00700400"/>
    <w:rsid w:val="0070063F"/>
    <w:rsid w:val="00701686"/>
    <w:rsid w:val="00701856"/>
    <w:rsid w:val="00701B0B"/>
    <w:rsid w:val="00701C43"/>
    <w:rsid w:val="00701ED3"/>
    <w:rsid w:val="007020B4"/>
    <w:rsid w:val="00702A36"/>
    <w:rsid w:val="00702F99"/>
    <w:rsid w:val="007033CE"/>
    <w:rsid w:val="0070363B"/>
    <w:rsid w:val="00703763"/>
    <w:rsid w:val="00703A9E"/>
    <w:rsid w:val="0070429D"/>
    <w:rsid w:val="007044E4"/>
    <w:rsid w:val="007045AF"/>
    <w:rsid w:val="00704943"/>
    <w:rsid w:val="00704A1D"/>
    <w:rsid w:val="00704B83"/>
    <w:rsid w:val="0070502E"/>
    <w:rsid w:val="00705077"/>
    <w:rsid w:val="0070572F"/>
    <w:rsid w:val="00705B9C"/>
    <w:rsid w:val="00705C6E"/>
    <w:rsid w:val="00705F81"/>
    <w:rsid w:val="0070659E"/>
    <w:rsid w:val="007074E9"/>
    <w:rsid w:val="0070763F"/>
    <w:rsid w:val="007078D4"/>
    <w:rsid w:val="00707980"/>
    <w:rsid w:val="00707E83"/>
    <w:rsid w:val="00707FC3"/>
    <w:rsid w:val="0071000F"/>
    <w:rsid w:val="007100DD"/>
    <w:rsid w:val="00710543"/>
    <w:rsid w:val="00710C66"/>
    <w:rsid w:val="00710DD8"/>
    <w:rsid w:val="0071121C"/>
    <w:rsid w:val="00711372"/>
    <w:rsid w:val="00711801"/>
    <w:rsid w:val="00711A9C"/>
    <w:rsid w:val="00711F42"/>
    <w:rsid w:val="007132D7"/>
    <w:rsid w:val="007133B3"/>
    <w:rsid w:val="007136A1"/>
    <w:rsid w:val="007137A3"/>
    <w:rsid w:val="00713B64"/>
    <w:rsid w:val="00714566"/>
    <w:rsid w:val="00714D3C"/>
    <w:rsid w:val="00714D8B"/>
    <w:rsid w:val="0071524F"/>
    <w:rsid w:val="00715640"/>
    <w:rsid w:val="00715A89"/>
    <w:rsid w:val="00715C23"/>
    <w:rsid w:val="00715D06"/>
    <w:rsid w:val="007163BD"/>
    <w:rsid w:val="00716648"/>
    <w:rsid w:val="007166EB"/>
    <w:rsid w:val="00716D3D"/>
    <w:rsid w:val="00716EB8"/>
    <w:rsid w:val="0071751A"/>
    <w:rsid w:val="0071784A"/>
    <w:rsid w:val="007179EC"/>
    <w:rsid w:val="00717A9C"/>
    <w:rsid w:val="00717B8E"/>
    <w:rsid w:val="00717ED3"/>
    <w:rsid w:val="00717F6D"/>
    <w:rsid w:val="007206E9"/>
    <w:rsid w:val="00721205"/>
    <w:rsid w:val="0072139A"/>
    <w:rsid w:val="00721B16"/>
    <w:rsid w:val="0072255C"/>
    <w:rsid w:val="00722887"/>
    <w:rsid w:val="00722937"/>
    <w:rsid w:val="0072296A"/>
    <w:rsid w:val="0072307C"/>
    <w:rsid w:val="0072308E"/>
    <w:rsid w:val="00723842"/>
    <w:rsid w:val="00723884"/>
    <w:rsid w:val="007240BC"/>
    <w:rsid w:val="0072448F"/>
    <w:rsid w:val="00724DA2"/>
    <w:rsid w:val="00724E12"/>
    <w:rsid w:val="00724EC0"/>
    <w:rsid w:val="0072562C"/>
    <w:rsid w:val="00725A7B"/>
    <w:rsid w:val="007261C5"/>
    <w:rsid w:val="0072620E"/>
    <w:rsid w:val="00726591"/>
    <w:rsid w:val="007267B9"/>
    <w:rsid w:val="007267E3"/>
    <w:rsid w:val="00726973"/>
    <w:rsid w:val="00726A5A"/>
    <w:rsid w:val="00726EC8"/>
    <w:rsid w:val="00727301"/>
    <w:rsid w:val="00727337"/>
    <w:rsid w:val="0073053C"/>
    <w:rsid w:val="0073055A"/>
    <w:rsid w:val="0073076B"/>
    <w:rsid w:val="00730ACA"/>
    <w:rsid w:val="00730BE7"/>
    <w:rsid w:val="007313DD"/>
    <w:rsid w:val="0073147B"/>
    <w:rsid w:val="007315F7"/>
    <w:rsid w:val="0073174C"/>
    <w:rsid w:val="00731779"/>
    <w:rsid w:val="00731E8F"/>
    <w:rsid w:val="007324F3"/>
    <w:rsid w:val="007326DA"/>
    <w:rsid w:val="00732FAB"/>
    <w:rsid w:val="007338DD"/>
    <w:rsid w:val="00733B3E"/>
    <w:rsid w:val="00733C6D"/>
    <w:rsid w:val="007347AE"/>
    <w:rsid w:val="00734BAD"/>
    <w:rsid w:val="00734BCE"/>
    <w:rsid w:val="0073560E"/>
    <w:rsid w:val="00735752"/>
    <w:rsid w:val="00735E57"/>
    <w:rsid w:val="0073603A"/>
    <w:rsid w:val="00736432"/>
    <w:rsid w:val="007368D8"/>
    <w:rsid w:val="0073699C"/>
    <w:rsid w:val="00736E00"/>
    <w:rsid w:val="00737BEC"/>
    <w:rsid w:val="00737D41"/>
    <w:rsid w:val="00737D66"/>
    <w:rsid w:val="0074037F"/>
    <w:rsid w:val="007403E1"/>
    <w:rsid w:val="0074041C"/>
    <w:rsid w:val="0074048F"/>
    <w:rsid w:val="007406E6"/>
    <w:rsid w:val="00740935"/>
    <w:rsid w:val="00740B60"/>
    <w:rsid w:val="00740E59"/>
    <w:rsid w:val="00740E89"/>
    <w:rsid w:val="00741020"/>
    <w:rsid w:val="007411C7"/>
    <w:rsid w:val="0074125D"/>
    <w:rsid w:val="00741848"/>
    <w:rsid w:val="00742373"/>
    <w:rsid w:val="0074251F"/>
    <w:rsid w:val="00742C79"/>
    <w:rsid w:val="00742E56"/>
    <w:rsid w:val="00742F6F"/>
    <w:rsid w:val="0074307C"/>
    <w:rsid w:val="0074331D"/>
    <w:rsid w:val="00743AD0"/>
    <w:rsid w:val="00743E44"/>
    <w:rsid w:val="007449F0"/>
    <w:rsid w:val="00744ABC"/>
    <w:rsid w:val="00744ACD"/>
    <w:rsid w:val="00744BE7"/>
    <w:rsid w:val="0074508C"/>
    <w:rsid w:val="007457A5"/>
    <w:rsid w:val="007467EB"/>
    <w:rsid w:val="00746E82"/>
    <w:rsid w:val="007470AB"/>
    <w:rsid w:val="007471DB"/>
    <w:rsid w:val="007476AC"/>
    <w:rsid w:val="00747772"/>
    <w:rsid w:val="00747903"/>
    <w:rsid w:val="007479B9"/>
    <w:rsid w:val="00747F58"/>
    <w:rsid w:val="00750BB2"/>
    <w:rsid w:val="00750D46"/>
    <w:rsid w:val="00751183"/>
    <w:rsid w:val="00751293"/>
    <w:rsid w:val="00751390"/>
    <w:rsid w:val="00751630"/>
    <w:rsid w:val="00751C4A"/>
    <w:rsid w:val="00752207"/>
    <w:rsid w:val="007524D8"/>
    <w:rsid w:val="007525F2"/>
    <w:rsid w:val="00752870"/>
    <w:rsid w:val="00752F0C"/>
    <w:rsid w:val="00752FB5"/>
    <w:rsid w:val="007531C4"/>
    <w:rsid w:val="00753232"/>
    <w:rsid w:val="0075364C"/>
    <w:rsid w:val="00753CCE"/>
    <w:rsid w:val="00753EDA"/>
    <w:rsid w:val="00754064"/>
    <w:rsid w:val="00754469"/>
    <w:rsid w:val="007545A5"/>
    <w:rsid w:val="00754790"/>
    <w:rsid w:val="00754834"/>
    <w:rsid w:val="00754E0F"/>
    <w:rsid w:val="007551F3"/>
    <w:rsid w:val="00755349"/>
    <w:rsid w:val="00755E42"/>
    <w:rsid w:val="007566F7"/>
    <w:rsid w:val="00756924"/>
    <w:rsid w:val="00756AB7"/>
    <w:rsid w:val="00757211"/>
    <w:rsid w:val="0075764F"/>
    <w:rsid w:val="00757B65"/>
    <w:rsid w:val="00757E01"/>
    <w:rsid w:val="007601AB"/>
    <w:rsid w:val="007601BC"/>
    <w:rsid w:val="007608D6"/>
    <w:rsid w:val="00760EAD"/>
    <w:rsid w:val="007612C9"/>
    <w:rsid w:val="00761549"/>
    <w:rsid w:val="007619C3"/>
    <w:rsid w:val="00761AEE"/>
    <w:rsid w:val="00761FF5"/>
    <w:rsid w:val="0076331D"/>
    <w:rsid w:val="00763A5D"/>
    <w:rsid w:val="00763B8D"/>
    <w:rsid w:val="007643EE"/>
    <w:rsid w:val="00764E8A"/>
    <w:rsid w:val="0076529D"/>
    <w:rsid w:val="00765C03"/>
    <w:rsid w:val="00765F0E"/>
    <w:rsid w:val="00766475"/>
    <w:rsid w:val="007670E3"/>
    <w:rsid w:val="007672DB"/>
    <w:rsid w:val="0076736B"/>
    <w:rsid w:val="007678A4"/>
    <w:rsid w:val="007679B7"/>
    <w:rsid w:val="007703D5"/>
    <w:rsid w:val="007705FC"/>
    <w:rsid w:val="007708B4"/>
    <w:rsid w:val="007709FB"/>
    <w:rsid w:val="007713EE"/>
    <w:rsid w:val="00772B6B"/>
    <w:rsid w:val="00772EAB"/>
    <w:rsid w:val="00772FAE"/>
    <w:rsid w:val="00772FE5"/>
    <w:rsid w:val="007733E3"/>
    <w:rsid w:val="00773473"/>
    <w:rsid w:val="00773635"/>
    <w:rsid w:val="00773A00"/>
    <w:rsid w:val="00773A07"/>
    <w:rsid w:val="00773C6D"/>
    <w:rsid w:val="00773D86"/>
    <w:rsid w:val="007744AA"/>
    <w:rsid w:val="007745D9"/>
    <w:rsid w:val="007747BC"/>
    <w:rsid w:val="0077494F"/>
    <w:rsid w:val="00774C9A"/>
    <w:rsid w:val="00774D04"/>
    <w:rsid w:val="00774E7D"/>
    <w:rsid w:val="00775113"/>
    <w:rsid w:val="00775183"/>
    <w:rsid w:val="007758D8"/>
    <w:rsid w:val="00775B2C"/>
    <w:rsid w:val="00775B54"/>
    <w:rsid w:val="00775E7C"/>
    <w:rsid w:val="0077624B"/>
    <w:rsid w:val="00776274"/>
    <w:rsid w:val="0077674A"/>
    <w:rsid w:val="00776891"/>
    <w:rsid w:val="007773C9"/>
    <w:rsid w:val="0078017E"/>
    <w:rsid w:val="00780488"/>
    <w:rsid w:val="0078098D"/>
    <w:rsid w:val="007813E1"/>
    <w:rsid w:val="007816C0"/>
    <w:rsid w:val="0078190A"/>
    <w:rsid w:val="00781A07"/>
    <w:rsid w:val="00781E65"/>
    <w:rsid w:val="007826AD"/>
    <w:rsid w:val="00782983"/>
    <w:rsid w:val="00782A83"/>
    <w:rsid w:val="00782CE0"/>
    <w:rsid w:val="00782E38"/>
    <w:rsid w:val="0078331B"/>
    <w:rsid w:val="00783479"/>
    <w:rsid w:val="007839CB"/>
    <w:rsid w:val="00783DF5"/>
    <w:rsid w:val="00783F56"/>
    <w:rsid w:val="0078469E"/>
    <w:rsid w:val="00784B94"/>
    <w:rsid w:val="0078607F"/>
    <w:rsid w:val="00786652"/>
    <w:rsid w:val="007868AE"/>
    <w:rsid w:val="00786F09"/>
    <w:rsid w:val="007871E5"/>
    <w:rsid w:val="007876FC"/>
    <w:rsid w:val="00787B69"/>
    <w:rsid w:val="00790558"/>
    <w:rsid w:val="00790607"/>
    <w:rsid w:val="00791BA7"/>
    <w:rsid w:val="007922EA"/>
    <w:rsid w:val="00792F5F"/>
    <w:rsid w:val="00793955"/>
    <w:rsid w:val="00793A58"/>
    <w:rsid w:val="00793B9B"/>
    <w:rsid w:val="00793EDE"/>
    <w:rsid w:val="007957AD"/>
    <w:rsid w:val="00795930"/>
    <w:rsid w:val="007959D2"/>
    <w:rsid w:val="00795C1C"/>
    <w:rsid w:val="00795C3D"/>
    <w:rsid w:val="007965D9"/>
    <w:rsid w:val="00796D9D"/>
    <w:rsid w:val="00796DAE"/>
    <w:rsid w:val="0079702A"/>
    <w:rsid w:val="007970F0"/>
    <w:rsid w:val="00797833"/>
    <w:rsid w:val="00797EEC"/>
    <w:rsid w:val="007A00E3"/>
    <w:rsid w:val="007A017C"/>
    <w:rsid w:val="007A01CA"/>
    <w:rsid w:val="007A04EF"/>
    <w:rsid w:val="007A06C3"/>
    <w:rsid w:val="007A093A"/>
    <w:rsid w:val="007A0BC6"/>
    <w:rsid w:val="007A0E9E"/>
    <w:rsid w:val="007A0ECB"/>
    <w:rsid w:val="007A124A"/>
    <w:rsid w:val="007A157B"/>
    <w:rsid w:val="007A1686"/>
    <w:rsid w:val="007A172E"/>
    <w:rsid w:val="007A1D49"/>
    <w:rsid w:val="007A1FBE"/>
    <w:rsid w:val="007A2915"/>
    <w:rsid w:val="007A2979"/>
    <w:rsid w:val="007A2BDA"/>
    <w:rsid w:val="007A3598"/>
    <w:rsid w:val="007A37EA"/>
    <w:rsid w:val="007A3A25"/>
    <w:rsid w:val="007A40FD"/>
    <w:rsid w:val="007A42E3"/>
    <w:rsid w:val="007A4355"/>
    <w:rsid w:val="007A4CD1"/>
    <w:rsid w:val="007A4ECB"/>
    <w:rsid w:val="007A5117"/>
    <w:rsid w:val="007A535A"/>
    <w:rsid w:val="007A550F"/>
    <w:rsid w:val="007A5AC4"/>
    <w:rsid w:val="007A5D33"/>
    <w:rsid w:val="007A6158"/>
    <w:rsid w:val="007A6234"/>
    <w:rsid w:val="007A6581"/>
    <w:rsid w:val="007A694C"/>
    <w:rsid w:val="007A698B"/>
    <w:rsid w:val="007A6BAF"/>
    <w:rsid w:val="007A6E38"/>
    <w:rsid w:val="007A70ED"/>
    <w:rsid w:val="007A758C"/>
    <w:rsid w:val="007A780A"/>
    <w:rsid w:val="007A7DCB"/>
    <w:rsid w:val="007A7DD9"/>
    <w:rsid w:val="007A7EA0"/>
    <w:rsid w:val="007B00FD"/>
    <w:rsid w:val="007B0181"/>
    <w:rsid w:val="007B05C6"/>
    <w:rsid w:val="007B07FF"/>
    <w:rsid w:val="007B08A6"/>
    <w:rsid w:val="007B0A36"/>
    <w:rsid w:val="007B0DE5"/>
    <w:rsid w:val="007B1202"/>
    <w:rsid w:val="007B1313"/>
    <w:rsid w:val="007B1804"/>
    <w:rsid w:val="007B1BEC"/>
    <w:rsid w:val="007B1F96"/>
    <w:rsid w:val="007B2627"/>
    <w:rsid w:val="007B2F9E"/>
    <w:rsid w:val="007B35F2"/>
    <w:rsid w:val="007B3876"/>
    <w:rsid w:val="007B444A"/>
    <w:rsid w:val="007B4543"/>
    <w:rsid w:val="007B4C74"/>
    <w:rsid w:val="007B4CF9"/>
    <w:rsid w:val="007B5CA8"/>
    <w:rsid w:val="007B5F24"/>
    <w:rsid w:val="007B5F42"/>
    <w:rsid w:val="007B633A"/>
    <w:rsid w:val="007B63B4"/>
    <w:rsid w:val="007B671F"/>
    <w:rsid w:val="007B6B85"/>
    <w:rsid w:val="007B6C71"/>
    <w:rsid w:val="007B755E"/>
    <w:rsid w:val="007B775C"/>
    <w:rsid w:val="007B791C"/>
    <w:rsid w:val="007B7992"/>
    <w:rsid w:val="007B7AFA"/>
    <w:rsid w:val="007C03A4"/>
    <w:rsid w:val="007C03B7"/>
    <w:rsid w:val="007C0937"/>
    <w:rsid w:val="007C0BB7"/>
    <w:rsid w:val="007C0F63"/>
    <w:rsid w:val="007C13B4"/>
    <w:rsid w:val="007C1DE7"/>
    <w:rsid w:val="007C26DC"/>
    <w:rsid w:val="007C2AD4"/>
    <w:rsid w:val="007C2DB7"/>
    <w:rsid w:val="007C3055"/>
    <w:rsid w:val="007C3402"/>
    <w:rsid w:val="007C3A1F"/>
    <w:rsid w:val="007C3C64"/>
    <w:rsid w:val="007C3EE1"/>
    <w:rsid w:val="007C4238"/>
    <w:rsid w:val="007C445F"/>
    <w:rsid w:val="007C48B3"/>
    <w:rsid w:val="007C4998"/>
    <w:rsid w:val="007C577D"/>
    <w:rsid w:val="007C5955"/>
    <w:rsid w:val="007C5AEC"/>
    <w:rsid w:val="007C61E9"/>
    <w:rsid w:val="007C6420"/>
    <w:rsid w:val="007C6599"/>
    <w:rsid w:val="007C6962"/>
    <w:rsid w:val="007C7488"/>
    <w:rsid w:val="007C7ADA"/>
    <w:rsid w:val="007C7B7C"/>
    <w:rsid w:val="007D07DF"/>
    <w:rsid w:val="007D07FC"/>
    <w:rsid w:val="007D0847"/>
    <w:rsid w:val="007D08CC"/>
    <w:rsid w:val="007D1A2B"/>
    <w:rsid w:val="007D250F"/>
    <w:rsid w:val="007D323E"/>
    <w:rsid w:val="007D3AF4"/>
    <w:rsid w:val="007D4455"/>
    <w:rsid w:val="007D45DE"/>
    <w:rsid w:val="007D4FB5"/>
    <w:rsid w:val="007D5404"/>
    <w:rsid w:val="007D564B"/>
    <w:rsid w:val="007D5684"/>
    <w:rsid w:val="007D5977"/>
    <w:rsid w:val="007D5B7F"/>
    <w:rsid w:val="007D62DE"/>
    <w:rsid w:val="007D644F"/>
    <w:rsid w:val="007D6B8E"/>
    <w:rsid w:val="007D6C4B"/>
    <w:rsid w:val="007D6C6F"/>
    <w:rsid w:val="007D6F71"/>
    <w:rsid w:val="007E0046"/>
    <w:rsid w:val="007E00BB"/>
    <w:rsid w:val="007E017B"/>
    <w:rsid w:val="007E01C3"/>
    <w:rsid w:val="007E032C"/>
    <w:rsid w:val="007E0BD3"/>
    <w:rsid w:val="007E0CEE"/>
    <w:rsid w:val="007E10CD"/>
    <w:rsid w:val="007E12AA"/>
    <w:rsid w:val="007E1BAB"/>
    <w:rsid w:val="007E21F1"/>
    <w:rsid w:val="007E2225"/>
    <w:rsid w:val="007E24BC"/>
    <w:rsid w:val="007E2A18"/>
    <w:rsid w:val="007E2B33"/>
    <w:rsid w:val="007E3048"/>
    <w:rsid w:val="007E30A8"/>
    <w:rsid w:val="007E35CA"/>
    <w:rsid w:val="007E399D"/>
    <w:rsid w:val="007E493B"/>
    <w:rsid w:val="007E49B2"/>
    <w:rsid w:val="007E4C58"/>
    <w:rsid w:val="007E4DA1"/>
    <w:rsid w:val="007E5B70"/>
    <w:rsid w:val="007E5C22"/>
    <w:rsid w:val="007E5EAC"/>
    <w:rsid w:val="007E64CF"/>
    <w:rsid w:val="007E67C7"/>
    <w:rsid w:val="007E6B68"/>
    <w:rsid w:val="007E7615"/>
    <w:rsid w:val="007E79D5"/>
    <w:rsid w:val="007E7D28"/>
    <w:rsid w:val="007F0057"/>
    <w:rsid w:val="007F01DC"/>
    <w:rsid w:val="007F0628"/>
    <w:rsid w:val="007F0982"/>
    <w:rsid w:val="007F1387"/>
    <w:rsid w:val="007F17E1"/>
    <w:rsid w:val="007F1837"/>
    <w:rsid w:val="007F1B62"/>
    <w:rsid w:val="007F1D5F"/>
    <w:rsid w:val="007F2541"/>
    <w:rsid w:val="007F256B"/>
    <w:rsid w:val="007F286D"/>
    <w:rsid w:val="007F2A09"/>
    <w:rsid w:val="007F2B4E"/>
    <w:rsid w:val="007F38F6"/>
    <w:rsid w:val="007F42D7"/>
    <w:rsid w:val="007F45C1"/>
    <w:rsid w:val="007F4EE3"/>
    <w:rsid w:val="007F5572"/>
    <w:rsid w:val="007F562A"/>
    <w:rsid w:val="007F567A"/>
    <w:rsid w:val="007F5F37"/>
    <w:rsid w:val="007F6189"/>
    <w:rsid w:val="007F65D9"/>
    <w:rsid w:val="007F66A3"/>
    <w:rsid w:val="007F7459"/>
    <w:rsid w:val="007F7751"/>
    <w:rsid w:val="007F7805"/>
    <w:rsid w:val="00800019"/>
    <w:rsid w:val="00800651"/>
    <w:rsid w:val="008012B7"/>
    <w:rsid w:val="00801AF8"/>
    <w:rsid w:val="00802DB8"/>
    <w:rsid w:val="00802E36"/>
    <w:rsid w:val="00802E6E"/>
    <w:rsid w:val="00803588"/>
    <w:rsid w:val="00803E33"/>
    <w:rsid w:val="00804428"/>
    <w:rsid w:val="008044CA"/>
    <w:rsid w:val="00804B80"/>
    <w:rsid w:val="00804BC7"/>
    <w:rsid w:val="00804CDB"/>
    <w:rsid w:val="00805111"/>
    <w:rsid w:val="008055A2"/>
    <w:rsid w:val="0080567C"/>
    <w:rsid w:val="008059DF"/>
    <w:rsid w:val="00805AD6"/>
    <w:rsid w:val="00805C19"/>
    <w:rsid w:val="00805D09"/>
    <w:rsid w:val="00806075"/>
    <w:rsid w:val="00806AFF"/>
    <w:rsid w:val="00806FC8"/>
    <w:rsid w:val="008071AD"/>
    <w:rsid w:val="0080724E"/>
    <w:rsid w:val="00807372"/>
    <w:rsid w:val="008079D6"/>
    <w:rsid w:val="00810CBB"/>
    <w:rsid w:val="00810DB2"/>
    <w:rsid w:val="00811BFE"/>
    <w:rsid w:val="0081207D"/>
    <w:rsid w:val="00812420"/>
    <w:rsid w:val="00812710"/>
    <w:rsid w:val="00813073"/>
    <w:rsid w:val="0081363B"/>
    <w:rsid w:val="00813E2D"/>
    <w:rsid w:val="008141E7"/>
    <w:rsid w:val="008145C8"/>
    <w:rsid w:val="008145DB"/>
    <w:rsid w:val="0081466A"/>
    <w:rsid w:val="00815261"/>
    <w:rsid w:val="00815671"/>
    <w:rsid w:val="00815ABE"/>
    <w:rsid w:val="00815FAB"/>
    <w:rsid w:val="00816216"/>
    <w:rsid w:val="00816585"/>
    <w:rsid w:val="00816630"/>
    <w:rsid w:val="008166AE"/>
    <w:rsid w:val="0081674A"/>
    <w:rsid w:val="00816750"/>
    <w:rsid w:val="008168BD"/>
    <w:rsid w:val="00816EF6"/>
    <w:rsid w:val="00816FBC"/>
    <w:rsid w:val="008178B2"/>
    <w:rsid w:val="00817FA2"/>
    <w:rsid w:val="00820025"/>
    <w:rsid w:val="008202BA"/>
    <w:rsid w:val="008202E3"/>
    <w:rsid w:val="008203B7"/>
    <w:rsid w:val="00820A16"/>
    <w:rsid w:val="0082128B"/>
    <w:rsid w:val="0082132A"/>
    <w:rsid w:val="0082145B"/>
    <w:rsid w:val="008214B3"/>
    <w:rsid w:val="008221BD"/>
    <w:rsid w:val="008227AF"/>
    <w:rsid w:val="00822D9D"/>
    <w:rsid w:val="0082333E"/>
    <w:rsid w:val="0082405C"/>
    <w:rsid w:val="008240D4"/>
    <w:rsid w:val="00824784"/>
    <w:rsid w:val="008247D1"/>
    <w:rsid w:val="008248C5"/>
    <w:rsid w:val="00824A02"/>
    <w:rsid w:val="0082513D"/>
    <w:rsid w:val="00825478"/>
    <w:rsid w:val="0082547F"/>
    <w:rsid w:val="00825A24"/>
    <w:rsid w:val="00825C52"/>
    <w:rsid w:val="00825CE1"/>
    <w:rsid w:val="008260C7"/>
    <w:rsid w:val="00826B44"/>
    <w:rsid w:val="008274FC"/>
    <w:rsid w:val="008279CF"/>
    <w:rsid w:val="008302F8"/>
    <w:rsid w:val="008309A4"/>
    <w:rsid w:val="00830BCC"/>
    <w:rsid w:val="00830C2C"/>
    <w:rsid w:val="00830C60"/>
    <w:rsid w:val="00832789"/>
    <w:rsid w:val="00833A7C"/>
    <w:rsid w:val="00833C6A"/>
    <w:rsid w:val="00834005"/>
    <w:rsid w:val="0083439B"/>
    <w:rsid w:val="008343A6"/>
    <w:rsid w:val="008351FA"/>
    <w:rsid w:val="0083536B"/>
    <w:rsid w:val="008353EA"/>
    <w:rsid w:val="00835602"/>
    <w:rsid w:val="00835F7B"/>
    <w:rsid w:val="008365B2"/>
    <w:rsid w:val="00836A01"/>
    <w:rsid w:val="00836C63"/>
    <w:rsid w:val="0083727D"/>
    <w:rsid w:val="0083728B"/>
    <w:rsid w:val="00837350"/>
    <w:rsid w:val="0083763B"/>
    <w:rsid w:val="008376CB"/>
    <w:rsid w:val="00837AC6"/>
    <w:rsid w:val="00837ED0"/>
    <w:rsid w:val="0084013C"/>
    <w:rsid w:val="008404A9"/>
    <w:rsid w:val="00840E03"/>
    <w:rsid w:val="00841102"/>
    <w:rsid w:val="00841120"/>
    <w:rsid w:val="008415EF"/>
    <w:rsid w:val="00841D62"/>
    <w:rsid w:val="00841FE0"/>
    <w:rsid w:val="0084228C"/>
    <w:rsid w:val="00842513"/>
    <w:rsid w:val="0084268B"/>
    <w:rsid w:val="00842966"/>
    <w:rsid w:val="008429E6"/>
    <w:rsid w:val="00842F1F"/>
    <w:rsid w:val="0084336F"/>
    <w:rsid w:val="00843CD5"/>
    <w:rsid w:val="0084412C"/>
    <w:rsid w:val="00844257"/>
    <w:rsid w:val="00844265"/>
    <w:rsid w:val="00844DB5"/>
    <w:rsid w:val="00846A45"/>
    <w:rsid w:val="0084733A"/>
    <w:rsid w:val="0084787F"/>
    <w:rsid w:val="00847916"/>
    <w:rsid w:val="00847BB9"/>
    <w:rsid w:val="00847DE1"/>
    <w:rsid w:val="00850245"/>
    <w:rsid w:val="0085060F"/>
    <w:rsid w:val="00850C55"/>
    <w:rsid w:val="00850DEC"/>
    <w:rsid w:val="00850E78"/>
    <w:rsid w:val="00850EF4"/>
    <w:rsid w:val="00851142"/>
    <w:rsid w:val="00851425"/>
    <w:rsid w:val="00851603"/>
    <w:rsid w:val="0085178D"/>
    <w:rsid w:val="00851B00"/>
    <w:rsid w:val="00851C75"/>
    <w:rsid w:val="008528C6"/>
    <w:rsid w:val="00852A34"/>
    <w:rsid w:val="00852ED4"/>
    <w:rsid w:val="008530E3"/>
    <w:rsid w:val="00853681"/>
    <w:rsid w:val="00853C09"/>
    <w:rsid w:val="00853C9D"/>
    <w:rsid w:val="00853FDE"/>
    <w:rsid w:val="0085426B"/>
    <w:rsid w:val="00854C3A"/>
    <w:rsid w:val="00854F37"/>
    <w:rsid w:val="00854F40"/>
    <w:rsid w:val="00855048"/>
    <w:rsid w:val="008550EF"/>
    <w:rsid w:val="00855B38"/>
    <w:rsid w:val="00856359"/>
    <w:rsid w:val="008564F7"/>
    <w:rsid w:val="0085681D"/>
    <w:rsid w:val="00857126"/>
    <w:rsid w:val="008578A7"/>
    <w:rsid w:val="0086031F"/>
    <w:rsid w:val="0086078F"/>
    <w:rsid w:val="0086095B"/>
    <w:rsid w:val="00860B84"/>
    <w:rsid w:val="00860CA9"/>
    <w:rsid w:val="008618B7"/>
    <w:rsid w:val="00861C33"/>
    <w:rsid w:val="00861CAF"/>
    <w:rsid w:val="00861DD7"/>
    <w:rsid w:val="008620A2"/>
    <w:rsid w:val="00862227"/>
    <w:rsid w:val="00862269"/>
    <w:rsid w:val="008627C9"/>
    <w:rsid w:val="00862DB6"/>
    <w:rsid w:val="00862FCC"/>
    <w:rsid w:val="00863679"/>
    <w:rsid w:val="008639FD"/>
    <w:rsid w:val="00863A66"/>
    <w:rsid w:val="00863E78"/>
    <w:rsid w:val="00863F72"/>
    <w:rsid w:val="00864206"/>
    <w:rsid w:val="008643AD"/>
    <w:rsid w:val="008643DC"/>
    <w:rsid w:val="00864C71"/>
    <w:rsid w:val="00864DB3"/>
    <w:rsid w:val="008651F4"/>
    <w:rsid w:val="00865A79"/>
    <w:rsid w:val="00865B5D"/>
    <w:rsid w:val="00865C95"/>
    <w:rsid w:val="008664FF"/>
    <w:rsid w:val="0086683C"/>
    <w:rsid w:val="00866A4E"/>
    <w:rsid w:val="00866B42"/>
    <w:rsid w:val="00866BC4"/>
    <w:rsid w:val="0086704F"/>
    <w:rsid w:val="00867D12"/>
    <w:rsid w:val="00867E54"/>
    <w:rsid w:val="008700AC"/>
    <w:rsid w:val="008701E6"/>
    <w:rsid w:val="00870A8E"/>
    <w:rsid w:val="008714B5"/>
    <w:rsid w:val="00871888"/>
    <w:rsid w:val="00871BFF"/>
    <w:rsid w:val="00871C10"/>
    <w:rsid w:val="00871D24"/>
    <w:rsid w:val="008726BC"/>
    <w:rsid w:val="00872DC8"/>
    <w:rsid w:val="00872E5F"/>
    <w:rsid w:val="0087349B"/>
    <w:rsid w:val="0087426D"/>
    <w:rsid w:val="008742E3"/>
    <w:rsid w:val="00874418"/>
    <w:rsid w:val="0087504C"/>
    <w:rsid w:val="0087515C"/>
    <w:rsid w:val="00875ABD"/>
    <w:rsid w:val="00875E02"/>
    <w:rsid w:val="00875FE6"/>
    <w:rsid w:val="008761E4"/>
    <w:rsid w:val="0087628C"/>
    <w:rsid w:val="00876378"/>
    <w:rsid w:val="008767F6"/>
    <w:rsid w:val="00876B44"/>
    <w:rsid w:val="00877407"/>
    <w:rsid w:val="00877491"/>
    <w:rsid w:val="0087791D"/>
    <w:rsid w:val="00877B23"/>
    <w:rsid w:val="00877F88"/>
    <w:rsid w:val="00880205"/>
    <w:rsid w:val="00880514"/>
    <w:rsid w:val="00880960"/>
    <w:rsid w:val="00880A00"/>
    <w:rsid w:val="00880C56"/>
    <w:rsid w:val="008815BD"/>
    <w:rsid w:val="00881710"/>
    <w:rsid w:val="008819BF"/>
    <w:rsid w:val="00881D24"/>
    <w:rsid w:val="008821E9"/>
    <w:rsid w:val="00882376"/>
    <w:rsid w:val="00882501"/>
    <w:rsid w:val="00882650"/>
    <w:rsid w:val="008826A7"/>
    <w:rsid w:val="00882995"/>
    <w:rsid w:val="00882B4F"/>
    <w:rsid w:val="00882F72"/>
    <w:rsid w:val="00882FA9"/>
    <w:rsid w:val="00883843"/>
    <w:rsid w:val="008841C3"/>
    <w:rsid w:val="008842A2"/>
    <w:rsid w:val="00884687"/>
    <w:rsid w:val="00884AB7"/>
    <w:rsid w:val="008850EE"/>
    <w:rsid w:val="0088558A"/>
    <w:rsid w:val="00885F7A"/>
    <w:rsid w:val="00886029"/>
    <w:rsid w:val="00886091"/>
    <w:rsid w:val="00886277"/>
    <w:rsid w:val="00886616"/>
    <w:rsid w:val="00886683"/>
    <w:rsid w:val="00886AEC"/>
    <w:rsid w:val="00886F73"/>
    <w:rsid w:val="0088710B"/>
    <w:rsid w:val="0088732B"/>
    <w:rsid w:val="0088746E"/>
    <w:rsid w:val="008874BC"/>
    <w:rsid w:val="0088792B"/>
    <w:rsid w:val="00887BE6"/>
    <w:rsid w:val="00890036"/>
    <w:rsid w:val="0089020F"/>
    <w:rsid w:val="00890359"/>
    <w:rsid w:val="008906BC"/>
    <w:rsid w:val="00890B10"/>
    <w:rsid w:val="00890B5F"/>
    <w:rsid w:val="00890B64"/>
    <w:rsid w:val="00890EEF"/>
    <w:rsid w:val="008924B1"/>
    <w:rsid w:val="008925B3"/>
    <w:rsid w:val="00892B6D"/>
    <w:rsid w:val="00892C75"/>
    <w:rsid w:val="0089314A"/>
    <w:rsid w:val="0089378B"/>
    <w:rsid w:val="00893C60"/>
    <w:rsid w:val="00894604"/>
    <w:rsid w:val="00894632"/>
    <w:rsid w:val="00894CA9"/>
    <w:rsid w:val="00894D6C"/>
    <w:rsid w:val="0089512A"/>
    <w:rsid w:val="0089533F"/>
    <w:rsid w:val="0089576C"/>
    <w:rsid w:val="00895D2D"/>
    <w:rsid w:val="0089647C"/>
    <w:rsid w:val="00896B4E"/>
    <w:rsid w:val="00896C73"/>
    <w:rsid w:val="00897DB3"/>
    <w:rsid w:val="00897F3B"/>
    <w:rsid w:val="00897FF4"/>
    <w:rsid w:val="008A01F8"/>
    <w:rsid w:val="008A04EE"/>
    <w:rsid w:val="008A0557"/>
    <w:rsid w:val="008A063B"/>
    <w:rsid w:val="008A07F9"/>
    <w:rsid w:val="008A138A"/>
    <w:rsid w:val="008A1687"/>
    <w:rsid w:val="008A1718"/>
    <w:rsid w:val="008A19CD"/>
    <w:rsid w:val="008A2647"/>
    <w:rsid w:val="008A2C72"/>
    <w:rsid w:val="008A2C77"/>
    <w:rsid w:val="008A31F6"/>
    <w:rsid w:val="008A35BD"/>
    <w:rsid w:val="008A365C"/>
    <w:rsid w:val="008A3A99"/>
    <w:rsid w:val="008A3C38"/>
    <w:rsid w:val="008A3F0E"/>
    <w:rsid w:val="008A3F4F"/>
    <w:rsid w:val="008A3F8B"/>
    <w:rsid w:val="008A40FC"/>
    <w:rsid w:val="008A42D2"/>
    <w:rsid w:val="008A4368"/>
    <w:rsid w:val="008A4374"/>
    <w:rsid w:val="008A4977"/>
    <w:rsid w:val="008A55C3"/>
    <w:rsid w:val="008A57E1"/>
    <w:rsid w:val="008A57E4"/>
    <w:rsid w:val="008A5C7E"/>
    <w:rsid w:val="008A6830"/>
    <w:rsid w:val="008A74BC"/>
    <w:rsid w:val="008A756F"/>
    <w:rsid w:val="008A7C43"/>
    <w:rsid w:val="008B0016"/>
    <w:rsid w:val="008B0042"/>
    <w:rsid w:val="008B0073"/>
    <w:rsid w:val="008B09D0"/>
    <w:rsid w:val="008B0BFC"/>
    <w:rsid w:val="008B0DE3"/>
    <w:rsid w:val="008B1499"/>
    <w:rsid w:val="008B15A8"/>
    <w:rsid w:val="008B1913"/>
    <w:rsid w:val="008B1BBD"/>
    <w:rsid w:val="008B2693"/>
    <w:rsid w:val="008B2972"/>
    <w:rsid w:val="008B297B"/>
    <w:rsid w:val="008B2F4C"/>
    <w:rsid w:val="008B3111"/>
    <w:rsid w:val="008B3664"/>
    <w:rsid w:val="008B3B38"/>
    <w:rsid w:val="008B3DBF"/>
    <w:rsid w:val="008B4252"/>
    <w:rsid w:val="008B54E1"/>
    <w:rsid w:val="008B55DB"/>
    <w:rsid w:val="008B59FF"/>
    <w:rsid w:val="008B5E23"/>
    <w:rsid w:val="008B6135"/>
    <w:rsid w:val="008B6163"/>
    <w:rsid w:val="008B66AD"/>
    <w:rsid w:val="008B66C3"/>
    <w:rsid w:val="008B6A6F"/>
    <w:rsid w:val="008B72CC"/>
    <w:rsid w:val="008B75C6"/>
    <w:rsid w:val="008B78C8"/>
    <w:rsid w:val="008B78D8"/>
    <w:rsid w:val="008B7C01"/>
    <w:rsid w:val="008B7CB1"/>
    <w:rsid w:val="008B7D8E"/>
    <w:rsid w:val="008C022C"/>
    <w:rsid w:val="008C048C"/>
    <w:rsid w:val="008C094D"/>
    <w:rsid w:val="008C0A0B"/>
    <w:rsid w:val="008C0AE7"/>
    <w:rsid w:val="008C0F49"/>
    <w:rsid w:val="008C1311"/>
    <w:rsid w:val="008C1648"/>
    <w:rsid w:val="008C1B0D"/>
    <w:rsid w:val="008C236A"/>
    <w:rsid w:val="008C293E"/>
    <w:rsid w:val="008C2C49"/>
    <w:rsid w:val="008C32C4"/>
    <w:rsid w:val="008C36D2"/>
    <w:rsid w:val="008C3795"/>
    <w:rsid w:val="008C3BC3"/>
    <w:rsid w:val="008C3E9E"/>
    <w:rsid w:val="008C4945"/>
    <w:rsid w:val="008C4C97"/>
    <w:rsid w:val="008C50E1"/>
    <w:rsid w:val="008C5348"/>
    <w:rsid w:val="008C61C1"/>
    <w:rsid w:val="008C6458"/>
    <w:rsid w:val="008C6809"/>
    <w:rsid w:val="008C6A8E"/>
    <w:rsid w:val="008C6C7F"/>
    <w:rsid w:val="008C7092"/>
    <w:rsid w:val="008C76FF"/>
    <w:rsid w:val="008C7764"/>
    <w:rsid w:val="008C7C7D"/>
    <w:rsid w:val="008C7D01"/>
    <w:rsid w:val="008D0519"/>
    <w:rsid w:val="008D1128"/>
    <w:rsid w:val="008D18C7"/>
    <w:rsid w:val="008D1E1A"/>
    <w:rsid w:val="008D1FFA"/>
    <w:rsid w:val="008D2562"/>
    <w:rsid w:val="008D28DA"/>
    <w:rsid w:val="008D2D16"/>
    <w:rsid w:val="008D30F9"/>
    <w:rsid w:val="008D31D7"/>
    <w:rsid w:val="008D31F6"/>
    <w:rsid w:val="008D31F9"/>
    <w:rsid w:val="008D342A"/>
    <w:rsid w:val="008D343D"/>
    <w:rsid w:val="008D385A"/>
    <w:rsid w:val="008D3C48"/>
    <w:rsid w:val="008D3D8E"/>
    <w:rsid w:val="008D4004"/>
    <w:rsid w:val="008D40AB"/>
    <w:rsid w:val="008D4101"/>
    <w:rsid w:val="008D45AF"/>
    <w:rsid w:val="008D46E9"/>
    <w:rsid w:val="008D47D6"/>
    <w:rsid w:val="008D4A50"/>
    <w:rsid w:val="008D4CAD"/>
    <w:rsid w:val="008D4CE0"/>
    <w:rsid w:val="008D57BA"/>
    <w:rsid w:val="008D58DB"/>
    <w:rsid w:val="008D5F13"/>
    <w:rsid w:val="008D62CF"/>
    <w:rsid w:val="008D6332"/>
    <w:rsid w:val="008D6756"/>
    <w:rsid w:val="008D6EBC"/>
    <w:rsid w:val="008D6F55"/>
    <w:rsid w:val="008D7414"/>
    <w:rsid w:val="008D7551"/>
    <w:rsid w:val="008D7940"/>
    <w:rsid w:val="008D7A00"/>
    <w:rsid w:val="008D7ABC"/>
    <w:rsid w:val="008D7C99"/>
    <w:rsid w:val="008E0096"/>
    <w:rsid w:val="008E027B"/>
    <w:rsid w:val="008E0559"/>
    <w:rsid w:val="008E05FF"/>
    <w:rsid w:val="008E0602"/>
    <w:rsid w:val="008E0B21"/>
    <w:rsid w:val="008E10AA"/>
    <w:rsid w:val="008E134E"/>
    <w:rsid w:val="008E1B5A"/>
    <w:rsid w:val="008E1F00"/>
    <w:rsid w:val="008E215A"/>
    <w:rsid w:val="008E22E7"/>
    <w:rsid w:val="008E24FA"/>
    <w:rsid w:val="008E26A2"/>
    <w:rsid w:val="008E29EB"/>
    <w:rsid w:val="008E3458"/>
    <w:rsid w:val="008E36E7"/>
    <w:rsid w:val="008E3A11"/>
    <w:rsid w:val="008E3C2E"/>
    <w:rsid w:val="008E41A1"/>
    <w:rsid w:val="008E4474"/>
    <w:rsid w:val="008E4536"/>
    <w:rsid w:val="008E47AD"/>
    <w:rsid w:val="008E4AF6"/>
    <w:rsid w:val="008E4B67"/>
    <w:rsid w:val="008E4E4C"/>
    <w:rsid w:val="008E50B1"/>
    <w:rsid w:val="008E5125"/>
    <w:rsid w:val="008E52A3"/>
    <w:rsid w:val="008E5D2D"/>
    <w:rsid w:val="008E666B"/>
    <w:rsid w:val="008E7F1E"/>
    <w:rsid w:val="008F01E4"/>
    <w:rsid w:val="008F04C3"/>
    <w:rsid w:val="008F0CD2"/>
    <w:rsid w:val="008F1D70"/>
    <w:rsid w:val="008F227E"/>
    <w:rsid w:val="008F23B8"/>
    <w:rsid w:val="008F2689"/>
    <w:rsid w:val="008F2EEC"/>
    <w:rsid w:val="008F305C"/>
    <w:rsid w:val="008F309D"/>
    <w:rsid w:val="008F326E"/>
    <w:rsid w:val="008F3677"/>
    <w:rsid w:val="008F411A"/>
    <w:rsid w:val="008F4410"/>
    <w:rsid w:val="008F4AEF"/>
    <w:rsid w:val="008F4B38"/>
    <w:rsid w:val="008F4E3B"/>
    <w:rsid w:val="008F5965"/>
    <w:rsid w:val="008F5CF4"/>
    <w:rsid w:val="008F5DBF"/>
    <w:rsid w:val="008F6211"/>
    <w:rsid w:val="008F6253"/>
    <w:rsid w:val="008F6F22"/>
    <w:rsid w:val="008F7111"/>
    <w:rsid w:val="008F77FA"/>
    <w:rsid w:val="008F7820"/>
    <w:rsid w:val="008F7A4E"/>
    <w:rsid w:val="008F7B9F"/>
    <w:rsid w:val="008F7F08"/>
    <w:rsid w:val="009000C3"/>
    <w:rsid w:val="0090056F"/>
    <w:rsid w:val="00900D76"/>
    <w:rsid w:val="00900E45"/>
    <w:rsid w:val="009014F1"/>
    <w:rsid w:val="0090179C"/>
    <w:rsid w:val="009017F5"/>
    <w:rsid w:val="00901E5A"/>
    <w:rsid w:val="00902006"/>
    <w:rsid w:val="00902176"/>
    <w:rsid w:val="00902323"/>
    <w:rsid w:val="00902609"/>
    <w:rsid w:val="00902B30"/>
    <w:rsid w:val="0090306D"/>
    <w:rsid w:val="00903073"/>
    <w:rsid w:val="00903B1C"/>
    <w:rsid w:val="00903BDD"/>
    <w:rsid w:val="00903BF9"/>
    <w:rsid w:val="00903D74"/>
    <w:rsid w:val="0090402C"/>
    <w:rsid w:val="00904117"/>
    <w:rsid w:val="00904512"/>
    <w:rsid w:val="009048E2"/>
    <w:rsid w:val="00904D0F"/>
    <w:rsid w:val="00904DC7"/>
    <w:rsid w:val="00904E05"/>
    <w:rsid w:val="00905422"/>
    <w:rsid w:val="00905B02"/>
    <w:rsid w:val="00905F6C"/>
    <w:rsid w:val="0090602C"/>
    <w:rsid w:val="009067D9"/>
    <w:rsid w:val="00906FA2"/>
    <w:rsid w:val="00907081"/>
    <w:rsid w:val="009073BB"/>
    <w:rsid w:val="00907D09"/>
    <w:rsid w:val="00907D41"/>
    <w:rsid w:val="009104C3"/>
    <w:rsid w:val="009105EF"/>
    <w:rsid w:val="009108C2"/>
    <w:rsid w:val="0091093E"/>
    <w:rsid w:val="00910E39"/>
    <w:rsid w:val="009112A1"/>
    <w:rsid w:val="00911406"/>
    <w:rsid w:val="009119CE"/>
    <w:rsid w:val="00911D27"/>
    <w:rsid w:val="00911E77"/>
    <w:rsid w:val="0091215C"/>
    <w:rsid w:val="009121E7"/>
    <w:rsid w:val="00912359"/>
    <w:rsid w:val="00912395"/>
    <w:rsid w:val="009128CF"/>
    <w:rsid w:val="00912BC8"/>
    <w:rsid w:val="00912E6E"/>
    <w:rsid w:val="00913058"/>
    <w:rsid w:val="00913113"/>
    <w:rsid w:val="009137A2"/>
    <w:rsid w:val="009137DE"/>
    <w:rsid w:val="009143D6"/>
    <w:rsid w:val="00914532"/>
    <w:rsid w:val="00914587"/>
    <w:rsid w:val="0091491A"/>
    <w:rsid w:val="00914DAF"/>
    <w:rsid w:val="00914E7B"/>
    <w:rsid w:val="00915865"/>
    <w:rsid w:val="00915ACA"/>
    <w:rsid w:val="00915B5B"/>
    <w:rsid w:val="00915D3E"/>
    <w:rsid w:val="00915D55"/>
    <w:rsid w:val="0091606D"/>
    <w:rsid w:val="00916087"/>
    <w:rsid w:val="0091655A"/>
    <w:rsid w:val="009165C7"/>
    <w:rsid w:val="009168A3"/>
    <w:rsid w:val="009171DE"/>
    <w:rsid w:val="00917564"/>
    <w:rsid w:val="00917591"/>
    <w:rsid w:val="0091780A"/>
    <w:rsid w:val="0091785E"/>
    <w:rsid w:val="00917A27"/>
    <w:rsid w:val="00917B11"/>
    <w:rsid w:val="00917B34"/>
    <w:rsid w:val="00917B43"/>
    <w:rsid w:val="00917B5B"/>
    <w:rsid w:val="00920359"/>
    <w:rsid w:val="0092095F"/>
    <w:rsid w:val="00920BAE"/>
    <w:rsid w:val="00920C96"/>
    <w:rsid w:val="00920CA1"/>
    <w:rsid w:val="00920EC5"/>
    <w:rsid w:val="00920FA8"/>
    <w:rsid w:val="0092107C"/>
    <w:rsid w:val="00921513"/>
    <w:rsid w:val="00921679"/>
    <w:rsid w:val="00921BD0"/>
    <w:rsid w:val="0092203B"/>
    <w:rsid w:val="009220B8"/>
    <w:rsid w:val="0092221E"/>
    <w:rsid w:val="0092226C"/>
    <w:rsid w:val="00922310"/>
    <w:rsid w:val="0092255E"/>
    <w:rsid w:val="009225C5"/>
    <w:rsid w:val="00922C1B"/>
    <w:rsid w:val="00922CE8"/>
    <w:rsid w:val="00922E96"/>
    <w:rsid w:val="00923416"/>
    <w:rsid w:val="0092370F"/>
    <w:rsid w:val="009239CA"/>
    <w:rsid w:val="00923DA7"/>
    <w:rsid w:val="009243D0"/>
    <w:rsid w:val="00924406"/>
    <w:rsid w:val="0092445B"/>
    <w:rsid w:val="00924DB9"/>
    <w:rsid w:val="00925463"/>
    <w:rsid w:val="00925470"/>
    <w:rsid w:val="009257EC"/>
    <w:rsid w:val="00926398"/>
    <w:rsid w:val="009265F0"/>
    <w:rsid w:val="009268B3"/>
    <w:rsid w:val="00926C6C"/>
    <w:rsid w:val="00926D77"/>
    <w:rsid w:val="00927072"/>
    <w:rsid w:val="009271E8"/>
    <w:rsid w:val="009278EB"/>
    <w:rsid w:val="00927FE0"/>
    <w:rsid w:val="009301E6"/>
    <w:rsid w:val="009309CE"/>
    <w:rsid w:val="00930FB1"/>
    <w:rsid w:val="00931362"/>
    <w:rsid w:val="00931440"/>
    <w:rsid w:val="00931557"/>
    <w:rsid w:val="009315A7"/>
    <w:rsid w:val="00931E51"/>
    <w:rsid w:val="00931F39"/>
    <w:rsid w:val="00931FA3"/>
    <w:rsid w:val="00932345"/>
    <w:rsid w:val="009329F5"/>
    <w:rsid w:val="0093300F"/>
    <w:rsid w:val="009330EB"/>
    <w:rsid w:val="009336A9"/>
    <w:rsid w:val="00934461"/>
    <w:rsid w:val="00934502"/>
    <w:rsid w:val="00934891"/>
    <w:rsid w:val="00935547"/>
    <w:rsid w:val="0093561F"/>
    <w:rsid w:val="0093595C"/>
    <w:rsid w:val="00935BB7"/>
    <w:rsid w:val="00935E5D"/>
    <w:rsid w:val="00936555"/>
    <w:rsid w:val="00936582"/>
    <w:rsid w:val="00937730"/>
    <w:rsid w:val="009378E2"/>
    <w:rsid w:val="0094064A"/>
    <w:rsid w:val="009407C4"/>
    <w:rsid w:val="009413DC"/>
    <w:rsid w:val="00941D28"/>
    <w:rsid w:val="00941E23"/>
    <w:rsid w:val="00941F25"/>
    <w:rsid w:val="009426D6"/>
    <w:rsid w:val="00942849"/>
    <w:rsid w:val="00942A65"/>
    <w:rsid w:val="00942BA1"/>
    <w:rsid w:val="00942CD7"/>
    <w:rsid w:val="00942DA0"/>
    <w:rsid w:val="00942E3B"/>
    <w:rsid w:val="009430B1"/>
    <w:rsid w:val="009438D6"/>
    <w:rsid w:val="00943AB8"/>
    <w:rsid w:val="00943EF5"/>
    <w:rsid w:val="009443F5"/>
    <w:rsid w:val="009444A0"/>
    <w:rsid w:val="00944AD4"/>
    <w:rsid w:val="009456E9"/>
    <w:rsid w:val="009457EE"/>
    <w:rsid w:val="009458BA"/>
    <w:rsid w:val="00945BA1"/>
    <w:rsid w:val="009461A0"/>
    <w:rsid w:val="00946464"/>
    <w:rsid w:val="00946717"/>
    <w:rsid w:val="00946CCC"/>
    <w:rsid w:val="0094710C"/>
    <w:rsid w:val="00947705"/>
    <w:rsid w:val="00947706"/>
    <w:rsid w:val="00947A4D"/>
    <w:rsid w:val="00947B44"/>
    <w:rsid w:val="00947F0A"/>
    <w:rsid w:val="0095009C"/>
    <w:rsid w:val="0095092D"/>
    <w:rsid w:val="00951590"/>
    <w:rsid w:val="0095173C"/>
    <w:rsid w:val="0095184D"/>
    <w:rsid w:val="009518BA"/>
    <w:rsid w:val="00951A99"/>
    <w:rsid w:val="00952B73"/>
    <w:rsid w:val="00952EEC"/>
    <w:rsid w:val="00953229"/>
    <w:rsid w:val="009533A0"/>
    <w:rsid w:val="00953526"/>
    <w:rsid w:val="00953876"/>
    <w:rsid w:val="00953BD2"/>
    <w:rsid w:val="0095451A"/>
    <w:rsid w:val="0095457D"/>
    <w:rsid w:val="00954985"/>
    <w:rsid w:val="00954C15"/>
    <w:rsid w:val="009554FA"/>
    <w:rsid w:val="0095558F"/>
    <w:rsid w:val="009556A8"/>
    <w:rsid w:val="00955746"/>
    <w:rsid w:val="009557AE"/>
    <w:rsid w:val="00955C8A"/>
    <w:rsid w:val="00956626"/>
    <w:rsid w:val="0095682B"/>
    <w:rsid w:val="00956D32"/>
    <w:rsid w:val="00957470"/>
    <w:rsid w:val="00957480"/>
    <w:rsid w:val="0095781F"/>
    <w:rsid w:val="009579A1"/>
    <w:rsid w:val="00957C1D"/>
    <w:rsid w:val="00960658"/>
    <w:rsid w:val="009606AE"/>
    <w:rsid w:val="00960AF4"/>
    <w:rsid w:val="00960F37"/>
    <w:rsid w:val="00960FEC"/>
    <w:rsid w:val="009615CF"/>
    <w:rsid w:val="0096179E"/>
    <w:rsid w:val="00961905"/>
    <w:rsid w:val="00961EBB"/>
    <w:rsid w:val="00961FC0"/>
    <w:rsid w:val="0096202A"/>
    <w:rsid w:val="009622D8"/>
    <w:rsid w:val="00962D02"/>
    <w:rsid w:val="009634A3"/>
    <w:rsid w:val="00963D1A"/>
    <w:rsid w:val="0096409B"/>
    <w:rsid w:val="00964482"/>
    <w:rsid w:val="0096449C"/>
    <w:rsid w:val="00964675"/>
    <w:rsid w:val="009648D8"/>
    <w:rsid w:val="0096533B"/>
    <w:rsid w:val="00965EEA"/>
    <w:rsid w:val="009662A5"/>
    <w:rsid w:val="009665F3"/>
    <w:rsid w:val="00966A9E"/>
    <w:rsid w:val="00966E20"/>
    <w:rsid w:val="009670B6"/>
    <w:rsid w:val="0096782C"/>
    <w:rsid w:val="00967A65"/>
    <w:rsid w:val="00967FDC"/>
    <w:rsid w:val="00970098"/>
    <w:rsid w:val="0097015A"/>
    <w:rsid w:val="00970302"/>
    <w:rsid w:val="009703C8"/>
    <w:rsid w:val="0097175E"/>
    <w:rsid w:val="00971B6D"/>
    <w:rsid w:val="00971D50"/>
    <w:rsid w:val="009720C4"/>
    <w:rsid w:val="009724E9"/>
    <w:rsid w:val="0097280C"/>
    <w:rsid w:val="00972DD2"/>
    <w:rsid w:val="009736CC"/>
    <w:rsid w:val="00973750"/>
    <w:rsid w:val="009737CC"/>
    <w:rsid w:val="00973C3A"/>
    <w:rsid w:val="00973CFE"/>
    <w:rsid w:val="009740D5"/>
    <w:rsid w:val="0097420F"/>
    <w:rsid w:val="00974239"/>
    <w:rsid w:val="00974602"/>
    <w:rsid w:val="00974BF4"/>
    <w:rsid w:val="00974D03"/>
    <w:rsid w:val="009750FF"/>
    <w:rsid w:val="009752BC"/>
    <w:rsid w:val="00975505"/>
    <w:rsid w:val="00975700"/>
    <w:rsid w:val="009758BA"/>
    <w:rsid w:val="009758ED"/>
    <w:rsid w:val="009758F3"/>
    <w:rsid w:val="00975BD3"/>
    <w:rsid w:val="00976745"/>
    <w:rsid w:val="00976764"/>
    <w:rsid w:val="00976994"/>
    <w:rsid w:val="00976F6F"/>
    <w:rsid w:val="00977017"/>
    <w:rsid w:val="0097758F"/>
    <w:rsid w:val="009779A4"/>
    <w:rsid w:val="00977AC6"/>
    <w:rsid w:val="00977BCA"/>
    <w:rsid w:val="00980486"/>
    <w:rsid w:val="00980B44"/>
    <w:rsid w:val="00980FD6"/>
    <w:rsid w:val="0098117F"/>
    <w:rsid w:val="009812D2"/>
    <w:rsid w:val="009815E9"/>
    <w:rsid w:val="009815EF"/>
    <w:rsid w:val="009823F6"/>
    <w:rsid w:val="0098265E"/>
    <w:rsid w:val="00983185"/>
    <w:rsid w:val="00983391"/>
    <w:rsid w:val="0098373A"/>
    <w:rsid w:val="00983880"/>
    <w:rsid w:val="00984811"/>
    <w:rsid w:val="00985941"/>
    <w:rsid w:val="00985D46"/>
    <w:rsid w:val="00986739"/>
    <w:rsid w:val="009869D0"/>
    <w:rsid w:val="00986A9E"/>
    <w:rsid w:val="00986B16"/>
    <w:rsid w:val="00986CD6"/>
    <w:rsid w:val="00986F3F"/>
    <w:rsid w:val="00987111"/>
    <w:rsid w:val="0098729A"/>
    <w:rsid w:val="00987587"/>
    <w:rsid w:val="00987588"/>
    <w:rsid w:val="00987611"/>
    <w:rsid w:val="00990124"/>
    <w:rsid w:val="0099070E"/>
    <w:rsid w:val="00990F3A"/>
    <w:rsid w:val="00991532"/>
    <w:rsid w:val="00991B82"/>
    <w:rsid w:val="00991F40"/>
    <w:rsid w:val="00992559"/>
    <w:rsid w:val="0099289C"/>
    <w:rsid w:val="00992B86"/>
    <w:rsid w:val="00992C08"/>
    <w:rsid w:val="00992C0E"/>
    <w:rsid w:val="00993058"/>
    <w:rsid w:val="009930BC"/>
    <w:rsid w:val="00993292"/>
    <w:rsid w:val="009934AE"/>
    <w:rsid w:val="009939A1"/>
    <w:rsid w:val="00993CE2"/>
    <w:rsid w:val="00994030"/>
    <w:rsid w:val="0099427A"/>
    <w:rsid w:val="00994A10"/>
    <w:rsid w:val="0099564E"/>
    <w:rsid w:val="009957ED"/>
    <w:rsid w:val="009959DE"/>
    <w:rsid w:val="00995CA7"/>
    <w:rsid w:val="00995EFE"/>
    <w:rsid w:val="0099605B"/>
    <w:rsid w:val="009960EB"/>
    <w:rsid w:val="0099643F"/>
    <w:rsid w:val="00996508"/>
    <w:rsid w:val="009969DA"/>
    <w:rsid w:val="00996BA0"/>
    <w:rsid w:val="0099723A"/>
    <w:rsid w:val="00997447"/>
    <w:rsid w:val="009975DB"/>
    <w:rsid w:val="00997656"/>
    <w:rsid w:val="009A00AE"/>
    <w:rsid w:val="009A08B1"/>
    <w:rsid w:val="009A090A"/>
    <w:rsid w:val="009A09A3"/>
    <w:rsid w:val="009A1164"/>
    <w:rsid w:val="009A1230"/>
    <w:rsid w:val="009A16BC"/>
    <w:rsid w:val="009A1A8E"/>
    <w:rsid w:val="009A1B09"/>
    <w:rsid w:val="009A1CFD"/>
    <w:rsid w:val="009A1F4C"/>
    <w:rsid w:val="009A208E"/>
    <w:rsid w:val="009A2271"/>
    <w:rsid w:val="009A2662"/>
    <w:rsid w:val="009A3342"/>
    <w:rsid w:val="009A3B51"/>
    <w:rsid w:val="009A3FF6"/>
    <w:rsid w:val="009A4D6D"/>
    <w:rsid w:val="009A4E77"/>
    <w:rsid w:val="009A5B92"/>
    <w:rsid w:val="009A5D01"/>
    <w:rsid w:val="009A6320"/>
    <w:rsid w:val="009A650F"/>
    <w:rsid w:val="009A6672"/>
    <w:rsid w:val="009A6D53"/>
    <w:rsid w:val="009A7518"/>
    <w:rsid w:val="009A760A"/>
    <w:rsid w:val="009A7835"/>
    <w:rsid w:val="009A7A1F"/>
    <w:rsid w:val="009A7E66"/>
    <w:rsid w:val="009A7F82"/>
    <w:rsid w:val="009B06C3"/>
    <w:rsid w:val="009B0BD8"/>
    <w:rsid w:val="009B0C91"/>
    <w:rsid w:val="009B1017"/>
    <w:rsid w:val="009B149C"/>
    <w:rsid w:val="009B1543"/>
    <w:rsid w:val="009B156A"/>
    <w:rsid w:val="009B15D3"/>
    <w:rsid w:val="009B1A59"/>
    <w:rsid w:val="009B2906"/>
    <w:rsid w:val="009B2C0C"/>
    <w:rsid w:val="009B3265"/>
    <w:rsid w:val="009B3627"/>
    <w:rsid w:val="009B3F64"/>
    <w:rsid w:val="009B4073"/>
    <w:rsid w:val="009B4293"/>
    <w:rsid w:val="009B42E1"/>
    <w:rsid w:val="009B466A"/>
    <w:rsid w:val="009B4C5A"/>
    <w:rsid w:val="009B4F70"/>
    <w:rsid w:val="009B593A"/>
    <w:rsid w:val="009B5BD0"/>
    <w:rsid w:val="009B6D94"/>
    <w:rsid w:val="009B79A1"/>
    <w:rsid w:val="009B7A9C"/>
    <w:rsid w:val="009B7DDA"/>
    <w:rsid w:val="009B7EDE"/>
    <w:rsid w:val="009C03BE"/>
    <w:rsid w:val="009C096F"/>
    <w:rsid w:val="009C09FD"/>
    <w:rsid w:val="009C0D1F"/>
    <w:rsid w:val="009C0F27"/>
    <w:rsid w:val="009C114D"/>
    <w:rsid w:val="009C1646"/>
    <w:rsid w:val="009C16D2"/>
    <w:rsid w:val="009C1E92"/>
    <w:rsid w:val="009C1EC5"/>
    <w:rsid w:val="009C2EFE"/>
    <w:rsid w:val="009C44E5"/>
    <w:rsid w:val="009C4E36"/>
    <w:rsid w:val="009C51B4"/>
    <w:rsid w:val="009C546A"/>
    <w:rsid w:val="009C5844"/>
    <w:rsid w:val="009C645B"/>
    <w:rsid w:val="009C699D"/>
    <w:rsid w:val="009C6B54"/>
    <w:rsid w:val="009C6E54"/>
    <w:rsid w:val="009C70C6"/>
    <w:rsid w:val="009C79F9"/>
    <w:rsid w:val="009C7A31"/>
    <w:rsid w:val="009C7DE8"/>
    <w:rsid w:val="009C7F7F"/>
    <w:rsid w:val="009D03FE"/>
    <w:rsid w:val="009D06F2"/>
    <w:rsid w:val="009D14E6"/>
    <w:rsid w:val="009D1783"/>
    <w:rsid w:val="009D1939"/>
    <w:rsid w:val="009D2822"/>
    <w:rsid w:val="009D2B04"/>
    <w:rsid w:val="009D2BEB"/>
    <w:rsid w:val="009D33DC"/>
    <w:rsid w:val="009D34D1"/>
    <w:rsid w:val="009D3A74"/>
    <w:rsid w:val="009D3B83"/>
    <w:rsid w:val="009D3B95"/>
    <w:rsid w:val="009D3F66"/>
    <w:rsid w:val="009D3FA2"/>
    <w:rsid w:val="009D4046"/>
    <w:rsid w:val="009D4A8A"/>
    <w:rsid w:val="009D4AAF"/>
    <w:rsid w:val="009D4FD2"/>
    <w:rsid w:val="009D5261"/>
    <w:rsid w:val="009D538C"/>
    <w:rsid w:val="009D55C2"/>
    <w:rsid w:val="009D5721"/>
    <w:rsid w:val="009D61FE"/>
    <w:rsid w:val="009D62D2"/>
    <w:rsid w:val="009D6990"/>
    <w:rsid w:val="009D6BA7"/>
    <w:rsid w:val="009D6F02"/>
    <w:rsid w:val="009D72FD"/>
    <w:rsid w:val="009D734F"/>
    <w:rsid w:val="009D7513"/>
    <w:rsid w:val="009E00B5"/>
    <w:rsid w:val="009E01A7"/>
    <w:rsid w:val="009E0313"/>
    <w:rsid w:val="009E03E4"/>
    <w:rsid w:val="009E128C"/>
    <w:rsid w:val="009E144F"/>
    <w:rsid w:val="009E1738"/>
    <w:rsid w:val="009E18A6"/>
    <w:rsid w:val="009E23E5"/>
    <w:rsid w:val="009E2743"/>
    <w:rsid w:val="009E2D5F"/>
    <w:rsid w:val="009E362A"/>
    <w:rsid w:val="009E36C9"/>
    <w:rsid w:val="009E37BB"/>
    <w:rsid w:val="009E381E"/>
    <w:rsid w:val="009E39AB"/>
    <w:rsid w:val="009E3C58"/>
    <w:rsid w:val="009E410A"/>
    <w:rsid w:val="009E4F3B"/>
    <w:rsid w:val="009E5052"/>
    <w:rsid w:val="009E51D6"/>
    <w:rsid w:val="009E55EF"/>
    <w:rsid w:val="009E5690"/>
    <w:rsid w:val="009E56A1"/>
    <w:rsid w:val="009E581B"/>
    <w:rsid w:val="009E59AD"/>
    <w:rsid w:val="009E5C15"/>
    <w:rsid w:val="009E5E79"/>
    <w:rsid w:val="009E5FE7"/>
    <w:rsid w:val="009E6380"/>
    <w:rsid w:val="009E66A5"/>
    <w:rsid w:val="009E6C93"/>
    <w:rsid w:val="009E704C"/>
    <w:rsid w:val="009E77D2"/>
    <w:rsid w:val="009E79E4"/>
    <w:rsid w:val="009E7A90"/>
    <w:rsid w:val="009E7AA5"/>
    <w:rsid w:val="009F01EF"/>
    <w:rsid w:val="009F033A"/>
    <w:rsid w:val="009F08BD"/>
    <w:rsid w:val="009F15B2"/>
    <w:rsid w:val="009F17D7"/>
    <w:rsid w:val="009F1B26"/>
    <w:rsid w:val="009F1B41"/>
    <w:rsid w:val="009F1F24"/>
    <w:rsid w:val="009F1F68"/>
    <w:rsid w:val="009F33C4"/>
    <w:rsid w:val="009F35A9"/>
    <w:rsid w:val="009F38BC"/>
    <w:rsid w:val="009F3B1E"/>
    <w:rsid w:val="009F3D7D"/>
    <w:rsid w:val="009F3E80"/>
    <w:rsid w:val="009F47E8"/>
    <w:rsid w:val="009F4828"/>
    <w:rsid w:val="009F4848"/>
    <w:rsid w:val="009F5228"/>
    <w:rsid w:val="009F5246"/>
    <w:rsid w:val="009F52FB"/>
    <w:rsid w:val="009F5530"/>
    <w:rsid w:val="009F5732"/>
    <w:rsid w:val="009F582A"/>
    <w:rsid w:val="009F61DC"/>
    <w:rsid w:val="009F6BC5"/>
    <w:rsid w:val="009F6CC8"/>
    <w:rsid w:val="009F72C7"/>
    <w:rsid w:val="009F731F"/>
    <w:rsid w:val="009F7412"/>
    <w:rsid w:val="009F760C"/>
    <w:rsid w:val="009F7F93"/>
    <w:rsid w:val="00A0026F"/>
    <w:rsid w:val="00A00512"/>
    <w:rsid w:val="00A009FF"/>
    <w:rsid w:val="00A00BC6"/>
    <w:rsid w:val="00A01A4A"/>
    <w:rsid w:val="00A01DA6"/>
    <w:rsid w:val="00A01F3F"/>
    <w:rsid w:val="00A02235"/>
    <w:rsid w:val="00A0256B"/>
    <w:rsid w:val="00A02DA1"/>
    <w:rsid w:val="00A036A1"/>
    <w:rsid w:val="00A03820"/>
    <w:rsid w:val="00A03BDC"/>
    <w:rsid w:val="00A040B8"/>
    <w:rsid w:val="00A0438F"/>
    <w:rsid w:val="00A05002"/>
    <w:rsid w:val="00A050BD"/>
    <w:rsid w:val="00A05210"/>
    <w:rsid w:val="00A0574D"/>
    <w:rsid w:val="00A05AFF"/>
    <w:rsid w:val="00A05D51"/>
    <w:rsid w:val="00A05DF7"/>
    <w:rsid w:val="00A0618A"/>
    <w:rsid w:val="00A06425"/>
    <w:rsid w:val="00A066B3"/>
    <w:rsid w:val="00A0674A"/>
    <w:rsid w:val="00A06838"/>
    <w:rsid w:val="00A078E5"/>
    <w:rsid w:val="00A07B0C"/>
    <w:rsid w:val="00A07CB3"/>
    <w:rsid w:val="00A07D16"/>
    <w:rsid w:val="00A102F8"/>
    <w:rsid w:val="00A10859"/>
    <w:rsid w:val="00A10E46"/>
    <w:rsid w:val="00A110C1"/>
    <w:rsid w:val="00A12032"/>
    <w:rsid w:val="00A12423"/>
    <w:rsid w:val="00A1271D"/>
    <w:rsid w:val="00A13332"/>
    <w:rsid w:val="00A13826"/>
    <w:rsid w:val="00A1475F"/>
    <w:rsid w:val="00A148D0"/>
    <w:rsid w:val="00A14C4D"/>
    <w:rsid w:val="00A14D7C"/>
    <w:rsid w:val="00A15330"/>
    <w:rsid w:val="00A153F9"/>
    <w:rsid w:val="00A154F5"/>
    <w:rsid w:val="00A15F23"/>
    <w:rsid w:val="00A16A26"/>
    <w:rsid w:val="00A16EEB"/>
    <w:rsid w:val="00A171EC"/>
    <w:rsid w:val="00A176F0"/>
    <w:rsid w:val="00A208F4"/>
    <w:rsid w:val="00A20A27"/>
    <w:rsid w:val="00A20A52"/>
    <w:rsid w:val="00A20C6E"/>
    <w:rsid w:val="00A212C9"/>
    <w:rsid w:val="00A21D23"/>
    <w:rsid w:val="00A22287"/>
    <w:rsid w:val="00A22944"/>
    <w:rsid w:val="00A22FA1"/>
    <w:rsid w:val="00A23099"/>
    <w:rsid w:val="00A230C5"/>
    <w:rsid w:val="00A232B3"/>
    <w:rsid w:val="00A23476"/>
    <w:rsid w:val="00A2379E"/>
    <w:rsid w:val="00A2386C"/>
    <w:rsid w:val="00A23B52"/>
    <w:rsid w:val="00A23ECB"/>
    <w:rsid w:val="00A23FAE"/>
    <w:rsid w:val="00A24102"/>
    <w:rsid w:val="00A2436D"/>
    <w:rsid w:val="00A249FD"/>
    <w:rsid w:val="00A24E2F"/>
    <w:rsid w:val="00A255CA"/>
    <w:rsid w:val="00A256B5"/>
    <w:rsid w:val="00A25706"/>
    <w:rsid w:val="00A257AF"/>
    <w:rsid w:val="00A25BC6"/>
    <w:rsid w:val="00A26094"/>
    <w:rsid w:val="00A26D5C"/>
    <w:rsid w:val="00A26D88"/>
    <w:rsid w:val="00A271F2"/>
    <w:rsid w:val="00A27C2D"/>
    <w:rsid w:val="00A27CDE"/>
    <w:rsid w:val="00A27E16"/>
    <w:rsid w:val="00A30052"/>
    <w:rsid w:val="00A30104"/>
    <w:rsid w:val="00A30555"/>
    <w:rsid w:val="00A30699"/>
    <w:rsid w:val="00A3072A"/>
    <w:rsid w:val="00A30A37"/>
    <w:rsid w:val="00A30AFF"/>
    <w:rsid w:val="00A30FB5"/>
    <w:rsid w:val="00A3114E"/>
    <w:rsid w:val="00A315DA"/>
    <w:rsid w:val="00A31620"/>
    <w:rsid w:val="00A32328"/>
    <w:rsid w:val="00A3258E"/>
    <w:rsid w:val="00A32636"/>
    <w:rsid w:val="00A32842"/>
    <w:rsid w:val="00A33058"/>
    <w:rsid w:val="00A33094"/>
    <w:rsid w:val="00A3347C"/>
    <w:rsid w:val="00A339EF"/>
    <w:rsid w:val="00A33A45"/>
    <w:rsid w:val="00A33F77"/>
    <w:rsid w:val="00A33FAE"/>
    <w:rsid w:val="00A341A6"/>
    <w:rsid w:val="00A34454"/>
    <w:rsid w:val="00A34464"/>
    <w:rsid w:val="00A3447D"/>
    <w:rsid w:val="00A3477F"/>
    <w:rsid w:val="00A34FB1"/>
    <w:rsid w:val="00A353DA"/>
    <w:rsid w:val="00A3568E"/>
    <w:rsid w:val="00A357F0"/>
    <w:rsid w:val="00A35AC8"/>
    <w:rsid w:val="00A35F66"/>
    <w:rsid w:val="00A36676"/>
    <w:rsid w:val="00A36AEC"/>
    <w:rsid w:val="00A36D1C"/>
    <w:rsid w:val="00A376F6"/>
    <w:rsid w:val="00A37740"/>
    <w:rsid w:val="00A37D89"/>
    <w:rsid w:val="00A40165"/>
    <w:rsid w:val="00A40643"/>
    <w:rsid w:val="00A40FD0"/>
    <w:rsid w:val="00A415CB"/>
    <w:rsid w:val="00A41DF7"/>
    <w:rsid w:val="00A41F38"/>
    <w:rsid w:val="00A422B8"/>
    <w:rsid w:val="00A4233D"/>
    <w:rsid w:val="00A424D4"/>
    <w:rsid w:val="00A4299C"/>
    <w:rsid w:val="00A42A6E"/>
    <w:rsid w:val="00A42F54"/>
    <w:rsid w:val="00A435A7"/>
    <w:rsid w:val="00A44A7E"/>
    <w:rsid w:val="00A44E39"/>
    <w:rsid w:val="00A44FF5"/>
    <w:rsid w:val="00A45095"/>
    <w:rsid w:val="00A451E5"/>
    <w:rsid w:val="00A45586"/>
    <w:rsid w:val="00A45607"/>
    <w:rsid w:val="00A45BC0"/>
    <w:rsid w:val="00A464F8"/>
    <w:rsid w:val="00A46CA4"/>
    <w:rsid w:val="00A47018"/>
    <w:rsid w:val="00A470B3"/>
    <w:rsid w:val="00A47305"/>
    <w:rsid w:val="00A47708"/>
    <w:rsid w:val="00A47920"/>
    <w:rsid w:val="00A47F25"/>
    <w:rsid w:val="00A50019"/>
    <w:rsid w:val="00A50365"/>
    <w:rsid w:val="00A504CD"/>
    <w:rsid w:val="00A50580"/>
    <w:rsid w:val="00A508F4"/>
    <w:rsid w:val="00A5147C"/>
    <w:rsid w:val="00A51511"/>
    <w:rsid w:val="00A51745"/>
    <w:rsid w:val="00A51B9F"/>
    <w:rsid w:val="00A51D21"/>
    <w:rsid w:val="00A52175"/>
    <w:rsid w:val="00A524D3"/>
    <w:rsid w:val="00A5271E"/>
    <w:rsid w:val="00A529DE"/>
    <w:rsid w:val="00A53B32"/>
    <w:rsid w:val="00A53C14"/>
    <w:rsid w:val="00A53E44"/>
    <w:rsid w:val="00A5416C"/>
    <w:rsid w:val="00A5448B"/>
    <w:rsid w:val="00A5471E"/>
    <w:rsid w:val="00A548B7"/>
    <w:rsid w:val="00A549F1"/>
    <w:rsid w:val="00A54A1A"/>
    <w:rsid w:val="00A54D48"/>
    <w:rsid w:val="00A54F24"/>
    <w:rsid w:val="00A5500C"/>
    <w:rsid w:val="00A55351"/>
    <w:rsid w:val="00A55AC4"/>
    <w:rsid w:val="00A56FF8"/>
    <w:rsid w:val="00A60072"/>
    <w:rsid w:val="00A60388"/>
    <w:rsid w:val="00A60C2B"/>
    <w:rsid w:val="00A61548"/>
    <w:rsid w:val="00A61B7C"/>
    <w:rsid w:val="00A61D40"/>
    <w:rsid w:val="00A62305"/>
    <w:rsid w:val="00A62729"/>
    <w:rsid w:val="00A62801"/>
    <w:rsid w:val="00A62A82"/>
    <w:rsid w:val="00A62FB2"/>
    <w:rsid w:val="00A6319C"/>
    <w:rsid w:val="00A636BA"/>
    <w:rsid w:val="00A639B6"/>
    <w:rsid w:val="00A63DB5"/>
    <w:rsid w:val="00A63DD9"/>
    <w:rsid w:val="00A63E0C"/>
    <w:rsid w:val="00A63F6B"/>
    <w:rsid w:val="00A640F6"/>
    <w:rsid w:val="00A6461C"/>
    <w:rsid w:val="00A64640"/>
    <w:rsid w:val="00A6483F"/>
    <w:rsid w:val="00A64B87"/>
    <w:rsid w:val="00A65076"/>
    <w:rsid w:val="00A65649"/>
    <w:rsid w:val="00A65C07"/>
    <w:rsid w:val="00A66105"/>
    <w:rsid w:val="00A664DB"/>
    <w:rsid w:val="00A66996"/>
    <w:rsid w:val="00A66AF9"/>
    <w:rsid w:val="00A67A1C"/>
    <w:rsid w:val="00A67C50"/>
    <w:rsid w:val="00A67EE9"/>
    <w:rsid w:val="00A70268"/>
    <w:rsid w:val="00A70608"/>
    <w:rsid w:val="00A70842"/>
    <w:rsid w:val="00A70AE6"/>
    <w:rsid w:val="00A70DA7"/>
    <w:rsid w:val="00A712AA"/>
    <w:rsid w:val="00A71413"/>
    <w:rsid w:val="00A7143C"/>
    <w:rsid w:val="00A71465"/>
    <w:rsid w:val="00A72497"/>
    <w:rsid w:val="00A72B46"/>
    <w:rsid w:val="00A72BC1"/>
    <w:rsid w:val="00A72DBC"/>
    <w:rsid w:val="00A7314A"/>
    <w:rsid w:val="00A749DF"/>
    <w:rsid w:val="00A74C50"/>
    <w:rsid w:val="00A7545B"/>
    <w:rsid w:val="00A755D2"/>
    <w:rsid w:val="00A75751"/>
    <w:rsid w:val="00A7597B"/>
    <w:rsid w:val="00A75DF3"/>
    <w:rsid w:val="00A76BFC"/>
    <w:rsid w:val="00A76CEC"/>
    <w:rsid w:val="00A76E62"/>
    <w:rsid w:val="00A770BF"/>
    <w:rsid w:val="00A774F4"/>
    <w:rsid w:val="00A77A74"/>
    <w:rsid w:val="00A77CA2"/>
    <w:rsid w:val="00A80C47"/>
    <w:rsid w:val="00A81115"/>
    <w:rsid w:val="00A815CC"/>
    <w:rsid w:val="00A81B8F"/>
    <w:rsid w:val="00A82D29"/>
    <w:rsid w:val="00A83385"/>
    <w:rsid w:val="00A83739"/>
    <w:rsid w:val="00A839F7"/>
    <w:rsid w:val="00A83B06"/>
    <w:rsid w:val="00A83EC2"/>
    <w:rsid w:val="00A84099"/>
    <w:rsid w:val="00A8441A"/>
    <w:rsid w:val="00A8497A"/>
    <w:rsid w:val="00A84E16"/>
    <w:rsid w:val="00A852CF"/>
    <w:rsid w:val="00A857BD"/>
    <w:rsid w:val="00A85A0F"/>
    <w:rsid w:val="00A85BD1"/>
    <w:rsid w:val="00A85DBC"/>
    <w:rsid w:val="00A85EBC"/>
    <w:rsid w:val="00A86076"/>
    <w:rsid w:val="00A86108"/>
    <w:rsid w:val="00A8638D"/>
    <w:rsid w:val="00A863AA"/>
    <w:rsid w:val="00A865B8"/>
    <w:rsid w:val="00A8679B"/>
    <w:rsid w:val="00A86B56"/>
    <w:rsid w:val="00A86EC8"/>
    <w:rsid w:val="00A87446"/>
    <w:rsid w:val="00A878CA"/>
    <w:rsid w:val="00A87D3A"/>
    <w:rsid w:val="00A901AD"/>
    <w:rsid w:val="00A90258"/>
    <w:rsid w:val="00A905ED"/>
    <w:rsid w:val="00A906E9"/>
    <w:rsid w:val="00A90773"/>
    <w:rsid w:val="00A90F38"/>
    <w:rsid w:val="00A91252"/>
    <w:rsid w:val="00A919A0"/>
    <w:rsid w:val="00A91BE0"/>
    <w:rsid w:val="00A91EAE"/>
    <w:rsid w:val="00A9264F"/>
    <w:rsid w:val="00A92852"/>
    <w:rsid w:val="00A92B6D"/>
    <w:rsid w:val="00A93080"/>
    <w:rsid w:val="00A931A5"/>
    <w:rsid w:val="00A9366F"/>
    <w:rsid w:val="00A942FA"/>
    <w:rsid w:val="00A94C50"/>
    <w:rsid w:val="00A94CC3"/>
    <w:rsid w:val="00A9541A"/>
    <w:rsid w:val="00A95851"/>
    <w:rsid w:val="00A95C3A"/>
    <w:rsid w:val="00A95C94"/>
    <w:rsid w:val="00A969E6"/>
    <w:rsid w:val="00A96DB6"/>
    <w:rsid w:val="00A96F9C"/>
    <w:rsid w:val="00A973A0"/>
    <w:rsid w:val="00A97AA9"/>
    <w:rsid w:val="00AA05DF"/>
    <w:rsid w:val="00AA06B3"/>
    <w:rsid w:val="00AA0D1E"/>
    <w:rsid w:val="00AA0DB3"/>
    <w:rsid w:val="00AA100D"/>
    <w:rsid w:val="00AA15D8"/>
    <w:rsid w:val="00AA20E9"/>
    <w:rsid w:val="00AA238F"/>
    <w:rsid w:val="00AA282C"/>
    <w:rsid w:val="00AA28DC"/>
    <w:rsid w:val="00AA3ECB"/>
    <w:rsid w:val="00AA4370"/>
    <w:rsid w:val="00AA4541"/>
    <w:rsid w:val="00AA4568"/>
    <w:rsid w:val="00AA4E62"/>
    <w:rsid w:val="00AA5036"/>
    <w:rsid w:val="00AA56FE"/>
    <w:rsid w:val="00AA5824"/>
    <w:rsid w:val="00AA58EE"/>
    <w:rsid w:val="00AA5BDB"/>
    <w:rsid w:val="00AA6345"/>
    <w:rsid w:val="00AA64BF"/>
    <w:rsid w:val="00AA676F"/>
    <w:rsid w:val="00AA6A01"/>
    <w:rsid w:val="00AA6A04"/>
    <w:rsid w:val="00AA6A22"/>
    <w:rsid w:val="00AA7AA5"/>
    <w:rsid w:val="00AA7AE6"/>
    <w:rsid w:val="00AA7DD6"/>
    <w:rsid w:val="00AB04CE"/>
    <w:rsid w:val="00AB07E9"/>
    <w:rsid w:val="00AB09EE"/>
    <w:rsid w:val="00AB09F1"/>
    <w:rsid w:val="00AB0D07"/>
    <w:rsid w:val="00AB1115"/>
    <w:rsid w:val="00AB1979"/>
    <w:rsid w:val="00AB2238"/>
    <w:rsid w:val="00AB2BAE"/>
    <w:rsid w:val="00AB2FA8"/>
    <w:rsid w:val="00AB30E2"/>
    <w:rsid w:val="00AB3194"/>
    <w:rsid w:val="00AB3B42"/>
    <w:rsid w:val="00AB3F2C"/>
    <w:rsid w:val="00AB452B"/>
    <w:rsid w:val="00AB496C"/>
    <w:rsid w:val="00AB49F3"/>
    <w:rsid w:val="00AB4A3D"/>
    <w:rsid w:val="00AB4D0D"/>
    <w:rsid w:val="00AB5120"/>
    <w:rsid w:val="00AB54A4"/>
    <w:rsid w:val="00AB54A5"/>
    <w:rsid w:val="00AB5572"/>
    <w:rsid w:val="00AB55C4"/>
    <w:rsid w:val="00AB5AA3"/>
    <w:rsid w:val="00AB5D54"/>
    <w:rsid w:val="00AB5EB8"/>
    <w:rsid w:val="00AB6205"/>
    <w:rsid w:val="00AB63BB"/>
    <w:rsid w:val="00AB71CD"/>
    <w:rsid w:val="00AB7B68"/>
    <w:rsid w:val="00AB7C8A"/>
    <w:rsid w:val="00AB7EA6"/>
    <w:rsid w:val="00AC00A2"/>
    <w:rsid w:val="00AC0EF8"/>
    <w:rsid w:val="00AC0F0F"/>
    <w:rsid w:val="00AC1442"/>
    <w:rsid w:val="00AC18A5"/>
    <w:rsid w:val="00AC19B9"/>
    <w:rsid w:val="00AC1A6B"/>
    <w:rsid w:val="00AC1B9B"/>
    <w:rsid w:val="00AC2614"/>
    <w:rsid w:val="00AC291A"/>
    <w:rsid w:val="00AC2CF7"/>
    <w:rsid w:val="00AC2E76"/>
    <w:rsid w:val="00AC31E4"/>
    <w:rsid w:val="00AC3399"/>
    <w:rsid w:val="00AC3646"/>
    <w:rsid w:val="00AC39B3"/>
    <w:rsid w:val="00AC3E47"/>
    <w:rsid w:val="00AC4BCE"/>
    <w:rsid w:val="00AC658E"/>
    <w:rsid w:val="00AC6C10"/>
    <w:rsid w:val="00AC7680"/>
    <w:rsid w:val="00AC781B"/>
    <w:rsid w:val="00AC7DDD"/>
    <w:rsid w:val="00AC7FE6"/>
    <w:rsid w:val="00AD02EE"/>
    <w:rsid w:val="00AD14BC"/>
    <w:rsid w:val="00AD234C"/>
    <w:rsid w:val="00AD25A0"/>
    <w:rsid w:val="00AD34F6"/>
    <w:rsid w:val="00AD36CE"/>
    <w:rsid w:val="00AD3A03"/>
    <w:rsid w:val="00AD3F3F"/>
    <w:rsid w:val="00AD4407"/>
    <w:rsid w:val="00AD44C9"/>
    <w:rsid w:val="00AD46CF"/>
    <w:rsid w:val="00AD471D"/>
    <w:rsid w:val="00AD4C96"/>
    <w:rsid w:val="00AD4D0E"/>
    <w:rsid w:val="00AD4D79"/>
    <w:rsid w:val="00AD4E49"/>
    <w:rsid w:val="00AD505B"/>
    <w:rsid w:val="00AD50F8"/>
    <w:rsid w:val="00AD510D"/>
    <w:rsid w:val="00AD5676"/>
    <w:rsid w:val="00AD57CC"/>
    <w:rsid w:val="00AD5C7A"/>
    <w:rsid w:val="00AD618D"/>
    <w:rsid w:val="00AD7478"/>
    <w:rsid w:val="00AD758E"/>
    <w:rsid w:val="00AD7604"/>
    <w:rsid w:val="00AD7DB1"/>
    <w:rsid w:val="00AE0583"/>
    <w:rsid w:val="00AE0F7A"/>
    <w:rsid w:val="00AE12ED"/>
    <w:rsid w:val="00AE15C7"/>
    <w:rsid w:val="00AE165C"/>
    <w:rsid w:val="00AE19AE"/>
    <w:rsid w:val="00AE1C7E"/>
    <w:rsid w:val="00AE1E72"/>
    <w:rsid w:val="00AE1E8C"/>
    <w:rsid w:val="00AE1EA4"/>
    <w:rsid w:val="00AE201A"/>
    <w:rsid w:val="00AE206D"/>
    <w:rsid w:val="00AE2A25"/>
    <w:rsid w:val="00AE2D7D"/>
    <w:rsid w:val="00AE2D9E"/>
    <w:rsid w:val="00AE39C3"/>
    <w:rsid w:val="00AE3D87"/>
    <w:rsid w:val="00AE3DAD"/>
    <w:rsid w:val="00AE3FF4"/>
    <w:rsid w:val="00AE442E"/>
    <w:rsid w:val="00AE4476"/>
    <w:rsid w:val="00AE471F"/>
    <w:rsid w:val="00AE5519"/>
    <w:rsid w:val="00AE5B38"/>
    <w:rsid w:val="00AE6025"/>
    <w:rsid w:val="00AE648F"/>
    <w:rsid w:val="00AE6559"/>
    <w:rsid w:val="00AE6C9B"/>
    <w:rsid w:val="00AE7006"/>
    <w:rsid w:val="00AE7245"/>
    <w:rsid w:val="00AE75B9"/>
    <w:rsid w:val="00AE7DEC"/>
    <w:rsid w:val="00AF0651"/>
    <w:rsid w:val="00AF07D8"/>
    <w:rsid w:val="00AF0827"/>
    <w:rsid w:val="00AF0903"/>
    <w:rsid w:val="00AF0CBC"/>
    <w:rsid w:val="00AF0DD9"/>
    <w:rsid w:val="00AF0DF3"/>
    <w:rsid w:val="00AF0E96"/>
    <w:rsid w:val="00AF1044"/>
    <w:rsid w:val="00AF1827"/>
    <w:rsid w:val="00AF2031"/>
    <w:rsid w:val="00AF20F8"/>
    <w:rsid w:val="00AF22A9"/>
    <w:rsid w:val="00AF23A0"/>
    <w:rsid w:val="00AF23FA"/>
    <w:rsid w:val="00AF2C25"/>
    <w:rsid w:val="00AF2DC2"/>
    <w:rsid w:val="00AF38B3"/>
    <w:rsid w:val="00AF3FC6"/>
    <w:rsid w:val="00AF42B2"/>
    <w:rsid w:val="00AF4696"/>
    <w:rsid w:val="00AF47C0"/>
    <w:rsid w:val="00AF4961"/>
    <w:rsid w:val="00AF4B35"/>
    <w:rsid w:val="00AF4E29"/>
    <w:rsid w:val="00AF5AF9"/>
    <w:rsid w:val="00AF5C8A"/>
    <w:rsid w:val="00AF5CF2"/>
    <w:rsid w:val="00AF5F70"/>
    <w:rsid w:val="00AF5FD9"/>
    <w:rsid w:val="00AF63D9"/>
    <w:rsid w:val="00AF650E"/>
    <w:rsid w:val="00AF6654"/>
    <w:rsid w:val="00AF680E"/>
    <w:rsid w:val="00AF6884"/>
    <w:rsid w:val="00AF692D"/>
    <w:rsid w:val="00AF6D0E"/>
    <w:rsid w:val="00AF7B3D"/>
    <w:rsid w:val="00AF7BBE"/>
    <w:rsid w:val="00AF7DB7"/>
    <w:rsid w:val="00B0094B"/>
    <w:rsid w:val="00B00993"/>
    <w:rsid w:val="00B009F1"/>
    <w:rsid w:val="00B00D3C"/>
    <w:rsid w:val="00B01038"/>
    <w:rsid w:val="00B0150F"/>
    <w:rsid w:val="00B01B47"/>
    <w:rsid w:val="00B01ED5"/>
    <w:rsid w:val="00B0210A"/>
    <w:rsid w:val="00B022C4"/>
    <w:rsid w:val="00B022D5"/>
    <w:rsid w:val="00B024F7"/>
    <w:rsid w:val="00B025DB"/>
    <w:rsid w:val="00B0267C"/>
    <w:rsid w:val="00B02786"/>
    <w:rsid w:val="00B0292E"/>
    <w:rsid w:val="00B02D51"/>
    <w:rsid w:val="00B02DCF"/>
    <w:rsid w:val="00B036F4"/>
    <w:rsid w:val="00B038CF"/>
    <w:rsid w:val="00B03F2F"/>
    <w:rsid w:val="00B04013"/>
    <w:rsid w:val="00B04DA1"/>
    <w:rsid w:val="00B04E3E"/>
    <w:rsid w:val="00B050CD"/>
    <w:rsid w:val="00B0533B"/>
    <w:rsid w:val="00B057D6"/>
    <w:rsid w:val="00B05847"/>
    <w:rsid w:val="00B05C5A"/>
    <w:rsid w:val="00B05CCB"/>
    <w:rsid w:val="00B05F56"/>
    <w:rsid w:val="00B05FCF"/>
    <w:rsid w:val="00B0673B"/>
    <w:rsid w:val="00B06770"/>
    <w:rsid w:val="00B06CCE"/>
    <w:rsid w:val="00B07116"/>
    <w:rsid w:val="00B0732C"/>
    <w:rsid w:val="00B0754A"/>
    <w:rsid w:val="00B0754F"/>
    <w:rsid w:val="00B07BB7"/>
    <w:rsid w:val="00B07DE8"/>
    <w:rsid w:val="00B106BE"/>
    <w:rsid w:val="00B10CBF"/>
    <w:rsid w:val="00B11179"/>
    <w:rsid w:val="00B11353"/>
    <w:rsid w:val="00B11711"/>
    <w:rsid w:val="00B11838"/>
    <w:rsid w:val="00B11B5E"/>
    <w:rsid w:val="00B12276"/>
    <w:rsid w:val="00B12295"/>
    <w:rsid w:val="00B122C1"/>
    <w:rsid w:val="00B12766"/>
    <w:rsid w:val="00B129D1"/>
    <w:rsid w:val="00B12E0F"/>
    <w:rsid w:val="00B12ECE"/>
    <w:rsid w:val="00B130D4"/>
    <w:rsid w:val="00B13823"/>
    <w:rsid w:val="00B13E7E"/>
    <w:rsid w:val="00B14937"/>
    <w:rsid w:val="00B14CC9"/>
    <w:rsid w:val="00B1544A"/>
    <w:rsid w:val="00B1547E"/>
    <w:rsid w:val="00B158A7"/>
    <w:rsid w:val="00B15CCA"/>
    <w:rsid w:val="00B15CEB"/>
    <w:rsid w:val="00B15D9D"/>
    <w:rsid w:val="00B15DDE"/>
    <w:rsid w:val="00B16247"/>
    <w:rsid w:val="00B163E4"/>
    <w:rsid w:val="00B1669A"/>
    <w:rsid w:val="00B173A0"/>
    <w:rsid w:val="00B175F8"/>
    <w:rsid w:val="00B17613"/>
    <w:rsid w:val="00B1783B"/>
    <w:rsid w:val="00B17897"/>
    <w:rsid w:val="00B178C7"/>
    <w:rsid w:val="00B17ECC"/>
    <w:rsid w:val="00B20521"/>
    <w:rsid w:val="00B20F88"/>
    <w:rsid w:val="00B20FFB"/>
    <w:rsid w:val="00B210FD"/>
    <w:rsid w:val="00B217CC"/>
    <w:rsid w:val="00B21B2E"/>
    <w:rsid w:val="00B21C39"/>
    <w:rsid w:val="00B21E12"/>
    <w:rsid w:val="00B22127"/>
    <w:rsid w:val="00B2252D"/>
    <w:rsid w:val="00B227D0"/>
    <w:rsid w:val="00B22980"/>
    <w:rsid w:val="00B22D31"/>
    <w:rsid w:val="00B22D96"/>
    <w:rsid w:val="00B22F98"/>
    <w:rsid w:val="00B231C7"/>
    <w:rsid w:val="00B233BE"/>
    <w:rsid w:val="00B23EE3"/>
    <w:rsid w:val="00B24044"/>
    <w:rsid w:val="00B243DB"/>
    <w:rsid w:val="00B2447D"/>
    <w:rsid w:val="00B24A30"/>
    <w:rsid w:val="00B2514C"/>
    <w:rsid w:val="00B25A62"/>
    <w:rsid w:val="00B25CE6"/>
    <w:rsid w:val="00B261E1"/>
    <w:rsid w:val="00B266E3"/>
    <w:rsid w:val="00B26823"/>
    <w:rsid w:val="00B26D23"/>
    <w:rsid w:val="00B26E40"/>
    <w:rsid w:val="00B274CF"/>
    <w:rsid w:val="00B27DB7"/>
    <w:rsid w:val="00B30109"/>
    <w:rsid w:val="00B301DA"/>
    <w:rsid w:val="00B30E88"/>
    <w:rsid w:val="00B3100F"/>
    <w:rsid w:val="00B31556"/>
    <w:rsid w:val="00B315F4"/>
    <w:rsid w:val="00B31859"/>
    <w:rsid w:val="00B31955"/>
    <w:rsid w:val="00B31A11"/>
    <w:rsid w:val="00B31D9D"/>
    <w:rsid w:val="00B31DB9"/>
    <w:rsid w:val="00B31F7A"/>
    <w:rsid w:val="00B322A1"/>
    <w:rsid w:val="00B32748"/>
    <w:rsid w:val="00B32A31"/>
    <w:rsid w:val="00B32B4B"/>
    <w:rsid w:val="00B33431"/>
    <w:rsid w:val="00B337B6"/>
    <w:rsid w:val="00B33B13"/>
    <w:rsid w:val="00B33D1C"/>
    <w:rsid w:val="00B33D52"/>
    <w:rsid w:val="00B341BA"/>
    <w:rsid w:val="00B341DD"/>
    <w:rsid w:val="00B346CA"/>
    <w:rsid w:val="00B348D2"/>
    <w:rsid w:val="00B3491E"/>
    <w:rsid w:val="00B34AC4"/>
    <w:rsid w:val="00B34B87"/>
    <w:rsid w:val="00B34D59"/>
    <w:rsid w:val="00B35271"/>
    <w:rsid w:val="00B354B7"/>
    <w:rsid w:val="00B357BB"/>
    <w:rsid w:val="00B35C1B"/>
    <w:rsid w:val="00B35F20"/>
    <w:rsid w:val="00B36042"/>
    <w:rsid w:val="00B365B0"/>
    <w:rsid w:val="00B367CA"/>
    <w:rsid w:val="00B36C4A"/>
    <w:rsid w:val="00B36F02"/>
    <w:rsid w:val="00B37E7A"/>
    <w:rsid w:val="00B4006E"/>
    <w:rsid w:val="00B40149"/>
    <w:rsid w:val="00B402D6"/>
    <w:rsid w:val="00B403F2"/>
    <w:rsid w:val="00B40406"/>
    <w:rsid w:val="00B40473"/>
    <w:rsid w:val="00B40688"/>
    <w:rsid w:val="00B40916"/>
    <w:rsid w:val="00B40D1A"/>
    <w:rsid w:val="00B41189"/>
    <w:rsid w:val="00B412CE"/>
    <w:rsid w:val="00B4141C"/>
    <w:rsid w:val="00B4151E"/>
    <w:rsid w:val="00B41B6D"/>
    <w:rsid w:val="00B41D36"/>
    <w:rsid w:val="00B41F74"/>
    <w:rsid w:val="00B42398"/>
    <w:rsid w:val="00B4281A"/>
    <w:rsid w:val="00B4290F"/>
    <w:rsid w:val="00B42A8B"/>
    <w:rsid w:val="00B42DAF"/>
    <w:rsid w:val="00B442F7"/>
    <w:rsid w:val="00B44BCB"/>
    <w:rsid w:val="00B44D26"/>
    <w:rsid w:val="00B4551E"/>
    <w:rsid w:val="00B455A9"/>
    <w:rsid w:val="00B4590A"/>
    <w:rsid w:val="00B45AA0"/>
    <w:rsid w:val="00B45B81"/>
    <w:rsid w:val="00B47294"/>
    <w:rsid w:val="00B4737E"/>
    <w:rsid w:val="00B4739F"/>
    <w:rsid w:val="00B47610"/>
    <w:rsid w:val="00B47927"/>
    <w:rsid w:val="00B47EBE"/>
    <w:rsid w:val="00B47F65"/>
    <w:rsid w:val="00B50137"/>
    <w:rsid w:val="00B50268"/>
    <w:rsid w:val="00B5032A"/>
    <w:rsid w:val="00B5038A"/>
    <w:rsid w:val="00B50C44"/>
    <w:rsid w:val="00B50EC7"/>
    <w:rsid w:val="00B5111B"/>
    <w:rsid w:val="00B516FE"/>
    <w:rsid w:val="00B51747"/>
    <w:rsid w:val="00B517B3"/>
    <w:rsid w:val="00B51CE8"/>
    <w:rsid w:val="00B51DEF"/>
    <w:rsid w:val="00B52057"/>
    <w:rsid w:val="00B52497"/>
    <w:rsid w:val="00B52546"/>
    <w:rsid w:val="00B528EF"/>
    <w:rsid w:val="00B52D1A"/>
    <w:rsid w:val="00B5348C"/>
    <w:rsid w:val="00B53F21"/>
    <w:rsid w:val="00B54431"/>
    <w:rsid w:val="00B54657"/>
    <w:rsid w:val="00B54B4E"/>
    <w:rsid w:val="00B54C5B"/>
    <w:rsid w:val="00B5538C"/>
    <w:rsid w:val="00B55759"/>
    <w:rsid w:val="00B55B96"/>
    <w:rsid w:val="00B560FD"/>
    <w:rsid w:val="00B56245"/>
    <w:rsid w:val="00B562E9"/>
    <w:rsid w:val="00B57285"/>
    <w:rsid w:val="00B578ED"/>
    <w:rsid w:val="00B57FAD"/>
    <w:rsid w:val="00B605C2"/>
    <w:rsid w:val="00B60A08"/>
    <w:rsid w:val="00B60D34"/>
    <w:rsid w:val="00B6117B"/>
    <w:rsid w:val="00B61572"/>
    <w:rsid w:val="00B6158A"/>
    <w:rsid w:val="00B617AF"/>
    <w:rsid w:val="00B61946"/>
    <w:rsid w:val="00B619C1"/>
    <w:rsid w:val="00B6236F"/>
    <w:rsid w:val="00B629F5"/>
    <w:rsid w:val="00B629FD"/>
    <w:rsid w:val="00B632D5"/>
    <w:rsid w:val="00B636FC"/>
    <w:rsid w:val="00B6390B"/>
    <w:rsid w:val="00B63927"/>
    <w:rsid w:val="00B640BF"/>
    <w:rsid w:val="00B641C8"/>
    <w:rsid w:val="00B64227"/>
    <w:rsid w:val="00B643B0"/>
    <w:rsid w:val="00B648C0"/>
    <w:rsid w:val="00B648FF"/>
    <w:rsid w:val="00B64AD1"/>
    <w:rsid w:val="00B64D19"/>
    <w:rsid w:val="00B64FDA"/>
    <w:rsid w:val="00B651AF"/>
    <w:rsid w:val="00B65CA2"/>
    <w:rsid w:val="00B6606E"/>
    <w:rsid w:val="00B66900"/>
    <w:rsid w:val="00B66B5F"/>
    <w:rsid w:val="00B66E12"/>
    <w:rsid w:val="00B66E9A"/>
    <w:rsid w:val="00B67275"/>
    <w:rsid w:val="00B6733B"/>
    <w:rsid w:val="00B67B36"/>
    <w:rsid w:val="00B67BA4"/>
    <w:rsid w:val="00B67BC5"/>
    <w:rsid w:val="00B71122"/>
    <w:rsid w:val="00B711FC"/>
    <w:rsid w:val="00B71B2A"/>
    <w:rsid w:val="00B728BA"/>
    <w:rsid w:val="00B72A1E"/>
    <w:rsid w:val="00B73A56"/>
    <w:rsid w:val="00B73B78"/>
    <w:rsid w:val="00B7401A"/>
    <w:rsid w:val="00B7439A"/>
    <w:rsid w:val="00B747A1"/>
    <w:rsid w:val="00B748DA"/>
    <w:rsid w:val="00B74974"/>
    <w:rsid w:val="00B750B8"/>
    <w:rsid w:val="00B753E2"/>
    <w:rsid w:val="00B7546E"/>
    <w:rsid w:val="00B75CC5"/>
    <w:rsid w:val="00B76E93"/>
    <w:rsid w:val="00B7728D"/>
    <w:rsid w:val="00B77741"/>
    <w:rsid w:val="00B7799E"/>
    <w:rsid w:val="00B77DA9"/>
    <w:rsid w:val="00B77E55"/>
    <w:rsid w:val="00B77F93"/>
    <w:rsid w:val="00B80005"/>
    <w:rsid w:val="00B80456"/>
    <w:rsid w:val="00B809DD"/>
    <w:rsid w:val="00B80C1F"/>
    <w:rsid w:val="00B80CBD"/>
    <w:rsid w:val="00B81C5A"/>
    <w:rsid w:val="00B82393"/>
    <w:rsid w:val="00B826F5"/>
    <w:rsid w:val="00B82C80"/>
    <w:rsid w:val="00B82FB1"/>
    <w:rsid w:val="00B82FD5"/>
    <w:rsid w:val="00B8366E"/>
    <w:rsid w:val="00B83B05"/>
    <w:rsid w:val="00B84580"/>
    <w:rsid w:val="00B853A6"/>
    <w:rsid w:val="00B85425"/>
    <w:rsid w:val="00B854E9"/>
    <w:rsid w:val="00B85507"/>
    <w:rsid w:val="00B85AAD"/>
    <w:rsid w:val="00B85FA2"/>
    <w:rsid w:val="00B865B7"/>
    <w:rsid w:val="00B866E9"/>
    <w:rsid w:val="00B86A98"/>
    <w:rsid w:val="00B86AAD"/>
    <w:rsid w:val="00B87780"/>
    <w:rsid w:val="00B90869"/>
    <w:rsid w:val="00B90B34"/>
    <w:rsid w:val="00B90BBA"/>
    <w:rsid w:val="00B90C27"/>
    <w:rsid w:val="00B90EA8"/>
    <w:rsid w:val="00B9125B"/>
    <w:rsid w:val="00B91953"/>
    <w:rsid w:val="00B9210E"/>
    <w:rsid w:val="00B9215E"/>
    <w:rsid w:val="00B9224F"/>
    <w:rsid w:val="00B92505"/>
    <w:rsid w:val="00B925C8"/>
    <w:rsid w:val="00B929FD"/>
    <w:rsid w:val="00B9314A"/>
    <w:rsid w:val="00B9335C"/>
    <w:rsid w:val="00B939C1"/>
    <w:rsid w:val="00B93A02"/>
    <w:rsid w:val="00B94BD1"/>
    <w:rsid w:val="00B94CB8"/>
    <w:rsid w:val="00B94F6F"/>
    <w:rsid w:val="00B95117"/>
    <w:rsid w:val="00B956A7"/>
    <w:rsid w:val="00B957BD"/>
    <w:rsid w:val="00B95C2C"/>
    <w:rsid w:val="00B96128"/>
    <w:rsid w:val="00B96959"/>
    <w:rsid w:val="00B96BA2"/>
    <w:rsid w:val="00B96D5A"/>
    <w:rsid w:val="00B96DEF"/>
    <w:rsid w:val="00B97048"/>
    <w:rsid w:val="00B975C8"/>
    <w:rsid w:val="00B97EB2"/>
    <w:rsid w:val="00BA0505"/>
    <w:rsid w:val="00BA0826"/>
    <w:rsid w:val="00BA0EAD"/>
    <w:rsid w:val="00BA1217"/>
    <w:rsid w:val="00BA1614"/>
    <w:rsid w:val="00BA1909"/>
    <w:rsid w:val="00BA1E2D"/>
    <w:rsid w:val="00BA2112"/>
    <w:rsid w:val="00BA27D7"/>
    <w:rsid w:val="00BA293A"/>
    <w:rsid w:val="00BA2BDC"/>
    <w:rsid w:val="00BA2D38"/>
    <w:rsid w:val="00BA33F9"/>
    <w:rsid w:val="00BA362A"/>
    <w:rsid w:val="00BA52A7"/>
    <w:rsid w:val="00BA587D"/>
    <w:rsid w:val="00BA6095"/>
    <w:rsid w:val="00BA6910"/>
    <w:rsid w:val="00BA726B"/>
    <w:rsid w:val="00BA78E3"/>
    <w:rsid w:val="00BA7AFD"/>
    <w:rsid w:val="00BA7BA2"/>
    <w:rsid w:val="00BA7BBD"/>
    <w:rsid w:val="00BA7BCD"/>
    <w:rsid w:val="00BA7C0E"/>
    <w:rsid w:val="00BB0194"/>
    <w:rsid w:val="00BB020D"/>
    <w:rsid w:val="00BB073F"/>
    <w:rsid w:val="00BB0838"/>
    <w:rsid w:val="00BB086C"/>
    <w:rsid w:val="00BB093C"/>
    <w:rsid w:val="00BB0D90"/>
    <w:rsid w:val="00BB0DFE"/>
    <w:rsid w:val="00BB121B"/>
    <w:rsid w:val="00BB156D"/>
    <w:rsid w:val="00BB181D"/>
    <w:rsid w:val="00BB19F6"/>
    <w:rsid w:val="00BB1BDF"/>
    <w:rsid w:val="00BB2324"/>
    <w:rsid w:val="00BB2707"/>
    <w:rsid w:val="00BB2F95"/>
    <w:rsid w:val="00BB300A"/>
    <w:rsid w:val="00BB31A2"/>
    <w:rsid w:val="00BB3A0C"/>
    <w:rsid w:val="00BB3C53"/>
    <w:rsid w:val="00BB3ED7"/>
    <w:rsid w:val="00BB4A55"/>
    <w:rsid w:val="00BB4E5E"/>
    <w:rsid w:val="00BB513F"/>
    <w:rsid w:val="00BB5ACB"/>
    <w:rsid w:val="00BB60F3"/>
    <w:rsid w:val="00BB62D8"/>
    <w:rsid w:val="00BB630B"/>
    <w:rsid w:val="00BB65F0"/>
    <w:rsid w:val="00BB6AB4"/>
    <w:rsid w:val="00BB6AF0"/>
    <w:rsid w:val="00BB6E9E"/>
    <w:rsid w:val="00BB7F87"/>
    <w:rsid w:val="00BC007A"/>
    <w:rsid w:val="00BC0D30"/>
    <w:rsid w:val="00BC0FDE"/>
    <w:rsid w:val="00BC1597"/>
    <w:rsid w:val="00BC15DE"/>
    <w:rsid w:val="00BC16E3"/>
    <w:rsid w:val="00BC20E9"/>
    <w:rsid w:val="00BC227E"/>
    <w:rsid w:val="00BC27B3"/>
    <w:rsid w:val="00BC2816"/>
    <w:rsid w:val="00BC2F15"/>
    <w:rsid w:val="00BC3AC2"/>
    <w:rsid w:val="00BC3CC8"/>
    <w:rsid w:val="00BC3F4D"/>
    <w:rsid w:val="00BC44A2"/>
    <w:rsid w:val="00BC4577"/>
    <w:rsid w:val="00BC458E"/>
    <w:rsid w:val="00BC49EC"/>
    <w:rsid w:val="00BC5755"/>
    <w:rsid w:val="00BC5A0A"/>
    <w:rsid w:val="00BC6192"/>
    <w:rsid w:val="00BC63E3"/>
    <w:rsid w:val="00BC73EA"/>
    <w:rsid w:val="00BC7E52"/>
    <w:rsid w:val="00BD02D4"/>
    <w:rsid w:val="00BD0AA3"/>
    <w:rsid w:val="00BD1468"/>
    <w:rsid w:val="00BD167D"/>
    <w:rsid w:val="00BD1EEE"/>
    <w:rsid w:val="00BD1F4F"/>
    <w:rsid w:val="00BD1FB0"/>
    <w:rsid w:val="00BD223A"/>
    <w:rsid w:val="00BD23CB"/>
    <w:rsid w:val="00BD24D4"/>
    <w:rsid w:val="00BD29EC"/>
    <w:rsid w:val="00BD3424"/>
    <w:rsid w:val="00BD3566"/>
    <w:rsid w:val="00BD381F"/>
    <w:rsid w:val="00BD38B2"/>
    <w:rsid w:val="00BD3BA1"/>
    <w:rsid w:val="00BD3D6E"/>
    <w:rsid w:val="00BD412A"/>
    <w:rsid w:val="00BD48FD"/>
    <w:rsid w:val="00BD4C03"/>
    <w:rsid w:val="00BD4F83"/>
    <w:rsid w:val="00BD500B"/>
    <w:rsid w:val="00BD5C41"/>
    <w:rsid w:val="00BD5E0A"/>
    <w:rsid w:val="00BD5ECF"/>
    <w:rsid w:val="00BD5F2B"/>
    <w:rsid w:val="00BD6C38"/>
    <w:rsid w:val="00BD6E82"/>
    <w:rsid w:val="00BD75F7"/>
    <w:rsid w:val="00BD7921"/>
    <w:rsid w:val="00BE016B"/>
    <w:rsid w:val="00BE0175"/>
    <w:rsid w:val="00BE0611"/>
    <w:rsid w:val="00BE0A5D"/>
    <w:rsid w:val="00BE0C3B"/>
    <w:rsid w:val="00BE0D3D"/>
    <w:rsid w:val="00BE12EE"/>
    <w:rsid w:val="00BE186F"/>
    <w:rsid w:val="00BE2BEC"/>
    <w:rsid w:val="00BE2DAE"/>
    <w:rsid w:val="00BE3E1D"/>
    <w:rsid w:val="00BE424A"/>
    <w:rsid w:val="00BE592A"/>
    <w:rsid w:val="00BE5B6B"/>
    <w:rsid w:val="00BE60CD"/>
    <w:rsid w:val="00BE6245"/>
    <w:rsid w:val="00BE636D"/>
    <w:rsid w:val="00BE63AC"/>
    <w:rsid w:val="00BE63DF"/>
    <w:rsid w:val="00BE6539"/>
    <w:rsid w:val="00BE6EA8"/>
    <w:rsid w:val="00BE6F87"/>
    <w:rsid w:val="00BE7508"/>
    <w:rsid w:val="00BE75EF"/>
    <w:rsid w:val="00BF019A"/>
    <w:rsid w:val="00BF0532"/>
    <w:rsid w:val="00BF0726"/>
    <w:rsid w:val="00BF0911"/>
    <w:rsid w:val="00BF0C48"/>
    <w:rsid w:val="00BF0D2C"/>
    <w:rsid w:val="00BF15E3"/>
    <w:rsid w:val="00BF1B9C"/>
    <w:rsid w:val="00BF1BBF"/>
    <w:rsid w:val="00BF2C86"/>
    <w:rsid w:val="00BF2D76"/>
    <w:rsid w:val="00BF2E8E"/>
    <w:rsid w:val="00BF2FF9"/>
    <w:rsid w:val="00BF3163"/>
    <w:rsid w:val="00BF37B4"/>
    <w:rsid w:val="00BF39A5"/>
    <w:rsid w:val="00BF4118"/>
    <w:rsid w:val="00BF44C3"/>
    <w:rsid w:val="00BF51E4"/>
    <w:rsid w:val="00BF52F2"/>
    <w:rsid w:val="00BF5F9E"/>
    <w:rsid w:val="00BF606B"/>
    <w:rsid w:val="00BF6206"/>
    <w:rsid w:val="00BF6A96"/>
    <w:rsid w:val="00BF6E4F"/>
    <w:rsid w:val="00BF6F23"/>
    <w:rsid w:val="00BF7261"/>
    <w:rsid w:val="00BF76A5"/>
    <w:rsid w:val="00BF7E0B"/>
    <w:rsid w:val="00C00318"/>
    <w:rsid w:val="00C003AD"/>
    <w:rsid w:val="00C00915"/>
    <w:rsid w:val="00C00971"/>
    <w:rsid w:val="00C01BC8"/>
    <w:rsid w:val="00C01DAF"/>
    <w:rsid w:val="00C023C5"/>
    <w:rsid w:val="00C02706"/>
    <w:rsid w:val="00C02A12"/>
    <w:rsid w:val="00C02F47"/>
    <w:rsid w:val="00C02F76"/>
    <w:rsid w:val="00C02F83"/>
    <w:rsid w:val="00C031D4"/>
    <w:rsid w:val="00C033FF"/>
    <w:rsid w:val="00C03BA9"/>
    <w:rsid w:val="00C03C0F"/>
    <w:rsid w:val="00C04266"/>
    <w:rsid w:val="00C04A77"/>
    <w:rsid w:val="00C04FCB"/>
    <w:rsid w:val="00C05546"/>
    <w:rsid w:val="00C05D4A"/>
    <w:rsid w:val="00C06223"/>
    <w:rsid w:val="00C0664D"/>
    <w:rsid w:val="00C06B82"/>
    <w:rsid w:val="00C06D0E"/>
    <w:rsid w:val="00C07673"/>
    <w:rsid w:val="00C079C6"/>
    <w:rsid w:val="00C07D07"/>
    <w:rsid w:val="00C07D22"/>
    <w:rsid w:val="00C07E1C"/>
    <w:rsid w:val="00C10747"/>
    <w:rsid w:val="00C10888"/>
    <w:rsid w:val="00C111FB"/>
    <w:rsid w:val="00C1139E"/>
    <w:rsid w:val="00C113CB"/>
    <w:rsid w:val="00C11482"/>
    <w:rsid w:val="00C11624"/>
    <w:rsid w:val="00C11CB6"/>
    <w:rsid w:val="00C11EC7"/>
    <w:rsid w:val="00C12205"/>
    <w:rsid w:val="00C12E5D"/>
    <w:rsid w:val="00C130EA"/>
    <w:rsid w:val="00C13715"/>
    <w:rsid w:val="00C14B6D"/>
    <w:rsid w:val="00C14B81"/>
    <w:rsid w:val="00C15716"/>
    <w:rsid w:val="00C158DA"/>
    <w:rsid w:val="00C15954"/>
    <w:rsid w:val="00C16400"/>
    <w:rsid w:val="00C17906"/>
    <w:rsid w:val="00C201D8"/>
    <w:rsid w:val="00C20398"/>
    <w:rsid w:val="00C2072B"/>
    <w:rsid w:val="00C20C4B"/>
    <w:rsid w:val="00C20E33"/>
    <w:rsid w:val="00C21058"/>
    <w:rsid w:val="00C2116F"/>
    <w:rsid w:val="00C2125F"/>
    <w:rsid w:val="00C2141F"/>
    <w:rsid w:val="00C2185C"/>
    <w:rsid w:val="00C21B7E"/>
    <w:rsid w:val="00C21BA3"/>
    <w:rsid w:val="00C21CDD"/>
    <w:rsid w:val="00C21D90"/>
    <w:rsid w:val="00C21FBD"/>
    <w:rsid w:val="00C21FF7"/>
    <w:rsid w:val="00C22235"/>
    <w:rsid w:val="00C2224D"/>
    <w:rsid w:val="00C227D2"/>
    <w:rsid w:val="00C23739"/>
    <w:rsid w:val="00C23878"/>
    <w:rsid w:val="00C23E35"/>
    <w:rsid w:val="00C24310"/>
    <w:rsid w:val="00C24723"/>
    <w:rsid w:val="00C24925"/>
    <w:rsid w:val="00C24C24"/>
    <w:rsid w:val="00C24E17"/>
    <w:rsid w:val="00C253FB"/>
    <w:rsid w:val="00C256E4"/>
    <w:rsid w:val="00C25799"/>
    <w:rsid w:val="00C25A63"/>
    <w:rsid w:val="00C2612E"/>
    <w:rsid w:val="00C2632E"/>
    <w:rsid w:val="00C26B43"/>
    <w:rsid w:val="00C26DBC"/>
    <w:rsid w:val="00C275FE"/>
    <w:rsid w:val="00C27671"/>
    <w:rsid w:val="00C27921"/>
    <w:rsid w:val="00C27B77"/>
    <w:rsid w:val="00C30C85"/>
    <w:rsid w:val="00C30D7D"/>
    <w:rsid w:val="00C316F2"/>
    <w:rsid w:val="00C31B9D"/>
    <w:rsid w:val="00C32209"/>
    <w:rsid w:val="00C32611"/>
    <w:rsid w:val="00C32941"/>
    <w:rsid w:val="00C32ADE"/>
    <w:rsid w:val="00C33855"/>
    <w:rsid w:val="00C3386A"/>
    <w:rsid w:val="00C33961"/>
    <w:rsid w:val="00C33DFB"/>
    <w:rsid w:val="00C34420"/>
    <w:rsid w:val="00C34B7A"/>
    <w:rsid w:val="00C3512A"/>
    <w:rsid w:val="00C357AB"/>
    <w:rsid w:val="00C35C83"/>
    <w:rsid w:val="00C36C73"/>
    <w:rsid w:val="00C36EEF"/>
    <w:rsid w:val="00C371CA"/>
    <w:rsid w:val="00C37523"/>
    <w:rsid w:val="00C3755A"/>
    <w:rsid w:val="00C37854"/>
    <w:rsid w:val="00C4051E"/>
    <w:rsid w:val="00C40790"/>
    <w:rsid w:val="00C40FC2"/>
    <w:rsid w:val="00C4139D"/>
    <w:rsid w:val="00C41807"/>
    <w:rsid w:val="00C41DDC"/>
    <w:rsid w:val="00C423F5"/>
    <w:rsid w:val="00C423FA"/>
    <w:rsid w:val="00C4285B"/>
    <w:rsid w:val="00C42A0D"/>
    <w:rsid w:val="00C42B3F"/>
    <w:rsid w:val="00C42DB2"/>
    <w:rsid w:val="00C43143"/>
    <w:rsid w:val="00C43158"/>
    <w:rsid w:val="00C43166"/>
    <w:rsid w:val="00C433A0"/>
    <w:rsid w:val="00C43681"/>
    <w:rsid w:val="00C4381B"/>
    <w:rsid w:val="00C43F24"/>
    <w:rsid w:val="00C4408F"/>
    <w:rsid w:val="00C44265"/>
    <w:rsid w:val="00C44A66"/>
    <w:rsid w:val="00C44B66"/>
    <w:rsid w:val="00C45891"/>
    <w:rsid w:val="00C45954"/>
    <w:rsid w:val="00C45BDF"/>
    <w:rsid w:val="00C45C4D"/>
    <w:rsid w:val="00C45D23"/>
    <w:rsid w:val="00C461B0"/>
    <w:rsid w:val="00C46353"/>
    <w:rsid w:val="00C468A1"/>
    <w:rsid w:val="00C4729C"/>
    <w:rsid w:val="00C4777F"/>
    <w:rsid w:val="00C479F9"/>
    <w:rsid w:val="00C47A79"/>
    <w:rsid w:val="00C47CD7"/>
    <w:rsid w:val="00C50219"/>
    <w:rsid w:val="00C5034D"/>
    <w:rsid w:val="00C50556"/>
    <w:rsid w:val="00C517BA"/>
    <w:rsid w:val="00C51897"/>
    <w:rsid w:val="00C51AF9"/>
    <w:rsid w:val="00C51F66"/>
    <w:rsid w:val="00C5236B"/>
    <w:rsid w:val="00C52BB8"/>
    <w:rsid w:val="00C52BF3"/>
    <w:rsid w:val="00C53D89"/>
    <w:rsid w:val="00C54300"/>
    <w:rsid w:val="00C5441F"/>
    <w:rsid w:val="00C54F39"/>
    <w:rsid w:val="00C552FA"/>
    <w:rsid w:val="00C55378"/>
    <w:rsid w:val="00C55960"/>
    <w:rsid w:val="00C55B59"/>
    <w:rsid w:val="00C55CA1"/>
    <w:rsid w:val="00C5601F"/>
    <w:rsid w:val="00C56315"/>
    <w:rsid w:val="00C563A5"/>
    <w:rsid w:val="00C5672B"/>
    <w:rsid w:val="00C5673D"/>
    <w:rsid w:val="00C56CE1"/>
    <w:rsid w:val="00C56DAE"/>
    <w:rsid w:val="00C570C5"/>
    <w:rsid w:val="00C5717D"/>
    <w:rsid w:val="00C576E1"/>
    <w:rsid w:val="00C579BB"/>
    <w:rsid w:val="00C57B83"/>
    <w:rsid w:val="00C57BA8"/>
    <w:rsid w:val="00C57E17"/>
    <w:rsid w:val="00C60392"/>
    <w:rsid w:val="00C604C0"/>
    <w:rsid w:val="00C605AC"/>
    <w:rsid w:val="00C607C7"/>
    <w:rsid w:val="00C60ADE"/>
    <w:rsid w:val="00C60C27"/>
    <w:rsid w:val="00C61096"/>
    <w:rsid w:val="00C610B9"/>
    <w:rsid w:val="00C61434"/>
    <w:rsid w:val="00C616A5"/>
    <w:rsid w:val="00C61933"/>
    <w:rsid w:val="00C619CA"/>
    <w:rsid w:val="00C61BF0"/>
    <w:rsid w:val="00C61C88"/>
    <w:rsid w:val="00C62122"/>
    <w:rsid w:val="00C62356"/>
    <w:rsid w:val="00C6250C"/>
    <w:rsid w:val="00C62995"/>
    <w:rsid w:val="00C629BA"/>
    <w:rsid w:val="00C62E9C"/>
    <w:rsid w:val="00C638C1"/>
    <w:rsid w:val="00C63D1A"/>
    <w:rsid w:val="00C641D1"/>
    <w:rsid w:val="00C6449F"/>
    <w:rsid w:val="00C64556"/>
    <w:rsid w:val="00C647ED"/>
    <w:rsid w:val="00C6491C"/>
    <w:rsid w:val="00C64D31"/>
    <w:rsid w:val="00C64EB2"/>
    <w:rsid w:val="00C6544D"/>
    <w:rsid w:val="00C65807"/>
    <w:rsid w:val="00C65D82"/>
    <w:rsid w:val="00C6666F"/>
    <w:rsid w:val="00C669E2"/>
    <w:rsid w:val="00C66B19"/>
    <w:rsid w:val="00C66F56"/>
    <w:rsid w:val="00C67129"/>
    <w:rsid w:val="00C672D0"/>
    <w:rsid w:val="00C67851"/>
    <w:rsid w:val="00C678C0"/>
    <w:rsid w:val="00C67A63"/>
    <w:rsid w:val="00C67B85"/>
    <w:rsid w:val="00C701F2"/>
    <w:rsid w:val="00C70286"/>
    <w:rsid w:val="00C704B6"/>
    <w:rsid w:val="00C70A6F"/>
    <w:rsid w:val="00C70C50"/>
    <w:rsid w:val="00C71292"/>
    <w:rsid w:val="00C71397"/>
    <w:rsid w:val="00C71632"/>
    <w:rsid w:val="00C71918"/>
    <w:rsid w:val="00C719BE"/>
    <w:rsid w:val="00C71A9D"/>
    <w:rsid w:val="00C72212"/>
    <w:rsid w:val="00C728B4"/>
    <w:rsid w:val="00C72C48"/>
    <w:rsid w:val="00C72C73"/>
    <w:rsid w:val="00C72F59"/>
    <w:rsid w:val="00C73210"/>
    <w:rsid w:val="00C73B52"/>
    <w:rsid w:val="00C73E37"/>
    <w:rsid w:val="00C74240"/>
    <w:rsid w:val="00C74300"/>
    <w:rsid w:val="00C74541"/>
    <w:rsid w:val="00C748DB"/>
    <w:rsid w:val="00C74C7F"/>
    <w:rsid w:val="00C750A6"/>
    <w:rsid w:val="00C75458"/>
    <w:rsid w:val="00C7601D"/>
    <w:rsid w:val="00C76560"/>
    <w:rsid w:val="00C76783"/>
    <w:rsid w:val="00C767E2"/>
    <w:rsid w:val="00C7685A"/>
    <w:rsid w:val="00C76889"/>
    <w:rsid w:val="00C76E11"/>
    <w:rsid w:val="00C76E80"/>
    <w:rsid w:val="00C778D3"/>
    <w:rsid w:val="00C77A44"/>
    <w:rsid w:val="00C77C0C"/>
    <w:rsid w:val="00C80A4F"/>
    <w:rsid w:val="00C80AE5"/>
    <w:rsid w:val="00C81C23"/>
    <w:rsid w:val="00C81D02"/>
    <w:rsid w:val="00C82266"/>
    <w:rsid w:val="00C82462"/>
    <w:rsid w:val="00C82C79"/>
    <w:rsid w:val="00C82E91"/>
    <w:rsid w:val="00C83933"/>
    <w:rsid w:val="00C83E75"/>
    <w:rsid w:val="00C842ED"/>
    <w:rsid w:val="00C843EC"/>
    <w:rsid w:val="00C84416"/>
    <w:rsid w:val="00C84CA8"/>
    <w:rsid w:val="00C84E5A"/>
    <w:rsid w:val="00C850A4"/>
    <w:rsid w:val="00C85785"/>
    <w:rsid w:val="00C85946"/>
    <w:rsid w:val="00C859D8"/>
    <w:rsid w:val="00C85C32"/>
    <w:rsid w:val="00C85CCD"/>
    <w:rsid w:val="00C865AA"/>
    <w:rsid w:val="00C86825"/>
    <w:rsid w:val="00C86CF1"/>
    <w:rsid w:val="00C86DB6"/>
    <w:rsid w:val="00C86F14"/>
    <w:rsid w:val="00C86F71"/>
    <w:rsid w:val="00C87159"/>
    <w:rsid w:val="00C87882"/>
    <w:rsid w:val="00C87B52"/>
    <w:rsid w:val="00C87D71"/>
    <w:rsid w:val="00C87DC3"/>
    <w:rsid w:val="00C8F61D"/>
    <w:rsid w:val="00C90163"/>
    <w:rsid w:val="00C90259"/>
    <w:rsid w:val="00C9031B"/>
    <w:rsid w:val="00C90535"/>
    <w:rsid w:val="00C90635"/>
    <w:rsid w:val="00C911D2"/>
    <w:rsid w:val="00C918FD"/>
    <w:rsid w:val="00C9196A"/>
    <w:rsid w:val="00C9220C"/>
    <w:rsid w:val="00C92479"/>
    <w:rsid w:val="00C924DD"/>
    <w:rsid w:val="00C93472"/>
    <w:rsid w:val="00C934C8"/>
    <w:rsid w:val="00C9383C"/>
    <w:rsid w:val="00C93989"/>
    <w:rsid w:val="00C94254"/>
    <w:rsid w:val="00C94550"/>
    <w:rsid w:val="00C9498B"/>
    <w:rsid w:val="00C94AA3"/>
    <w:rsid w:val="00C94B38"/>
    <w:rsid w:val="00C950DA"/>
    <w:rsid w:val="00C956DE"/>
    <w:rsid w:val="00C9571C"/>
    <w:rsid w:val="00C95B19"/>
    <w:rsid w:val="00C96302"/>
    <w:rsid w:val="00C96A9C"/>
    <w:rsid w:val="00C96FF1"/>
    <w:rsid w:val="00C977D8"/>
    <w:rsid w:val="00C9783F"/>
    <w:rsid w:val="00C97C72"/>
    <w:rsid w:val="00C97E3B"/>
    <w:rsid w:val="00C97F81"/>
    <w:rsid w:val="00CA03EF"/>
    <w:rsid w:val="00CA0B01"/>
    <w:rsid w:val="00CA0D1A"/>
    <w:rsid w:val="00CA1651"/>
    <w:rsid w:val="00CA18F3"/>
    <w:rsid w:val="00CA1B43"/>
    <w:rsid w:val="00CA1BC2"/>
    <w:rsid w:val="00CA2615"/>
    <w:rsid w:val="00CA2897"/>
    <w:rsid w:val="00CA2ACB"/>
    <w:rsid w:val="00CA2F90"/>
    <w:rsid w:val="00CA331A"/>
    <w:rsid w:val="00CA36E2"/>
    <w:rsid w:val="00CA37F5"/>
    <w:rsid w:val="00CA3C7D"/>
    <w:rsid w:val="00CA3FE4"/>
    <w:rsid w:val="00CA431A"/>
    <w:rsid w:val="00CA48E9"/>
    <w:rsid w:val="00CA4A0A"/>
    <w:rsid w:val="00CA506F"/>
    <w:rsid w:val="00CA55ED"/>
    <w:rsid w:val="00CA5631"/>
    <w:rsid w:val="00CA6074"/>
    <w:rsid w:val="00CA6185"/>
    <w:rsid w:val="00CA6501"/>
    <w:rsid w:val="00CA65EE"/>
    <w:rsid w:val="00CA6BF8"/>
    <w:rsid w:val="00CA7F38"/>
    <w:rsid w:val="00CB00B6"/>
    <w:rsid w:val="00CB0297"/>
    <w:rsid w:val="00CB03D1"/>
    <w:rsid w:val="00CB044F"/>
    <w:rsid w:val="00CB04D0"/>
    <w:rsid w:val="00CB087E"/>
    <w:rsid w:val="00CB0A2A"/>
    <w:rsid w:val="00CB0F08"/>
    <w:rsid w:val="00CB0FAE"/>
    <w:rsid w:val="00CB10C2"/>
    <w:rsid w:val="00CB143F"/>
    <w:rsid w:val="00CB1616"/>
    <w:rsid w:val="00CB1770"/>
    <w:rsid w:val="00CB1BCB"/>
    <w:rsid w:val="00CB1FBF"/>
    <w:rsid w:val="00CB215C"/>
    <w:rsid w:val="00CB28B5"/>
    <w:rsid w:val="00CB3010"/>
    <w:rsid w:val="00CB3913"/>
    <w:rsid w:val="00CB3E8C"/>
    <w:rsid w:val="00CB4BE6"/>
    <w:rsid w:val="00CB4F8F"/>
    <w:rsid w:val="00CB5243"/>
    <w:rsid w:val="00CB5DFF"/>
    <w:rsid w:val="00CB5E24"/>
    <w:rsid w:val="00CB6A44"/>
    <w:rsid w:val="00CB6C29"/>
    <w:rsid w:val="00CB6DA9"/>
    <w:rsid w:val="00CB7089"/>
    <w:rsid w:val="00CB71A7"/>
    <w:rsid w:val="00CB748B"/>
    <w:rsid w:val="00CB74B1"/>
    <w:rsid w:val="00CB79BD"/>
    <w:rsid w:val="00CB7C52"/>
    <w:rsid w:val="00CB7EB4"/>
    <w:rsid w:val="00CB7F06"/>
    <w:rsid w:val="00CC0B3C"/>
    <w:rsid w:val="00CC0E46"/>
    <w:rsid w:val="00CC0E64"/>
    <w:rsid w:val="00CC1280"/>
    <w:rsid w:val="00CC171F"/>
    <w:rsid w:val="00CC1F4F"/>
    <w:rsid w:val="00CC1F6C"/>
    <w:rsid w:val="00CC28F7"/>
    <w:rsid w:val="00CC2ED3"/>
    <w:rsid w:val="00CC300F"/>
    <w:rsid w:val="00CC3282"/>
    <w:rsid w:val="00CC34C1"/>
    <w:rsid w:val="00CC3B04"/>
    <w:rsid w:val="00CC3FFB"/>
    <w:rsid w:val="00CC41C8"/>
    <w:rsid w:val="00CC43E6"/>
    <w:rsid w:val="00CC46AF"/>
    <w:rsid w:val="00CC470F"/>
    <w:rsid w:val="00CC49E3"/>
    <w:rsid w:val="00CC4B3A"/>
    <w:rsid w:val="00CC507F"/>
    <w:rsid w:val="00CC54CA"/>
    <w:rsid w:val="00CC5584"/>
    <w:rsid w:val="00CC56CB"/>
    <w:rsid w:val="00CC64FA"/>
    <w:rsid w:val="00CC6558"/>
    <w:rsid w:val="00CC6670"/>
    <w:rsid w:val="00CC66EF"/>
    <w:rsid w:val="00CC670D"/>
    <w:rsid w:val="00CC68C0"/>
    <w:rsid w:val="00CC7494"/>
    <w:rsid w:val="00CC78A8"/>
    <w:rsid w:val="00CC7937"/>
    <w:rsid w:val="00CC7E9C"/>
    <w:rsid w:val="00CD0245"/>
    <w:rsid w:val="00CD02AF"/>
    <w:rsid w:val="00CD043E"/>
    <w:rsid w:val="00CD0733"/>
    <w:rsid w:val="00CD0D18"/>
    <w:rsid w:val="00CD1A7A"/>
    <w:rsid w:val="00CD1B4E"/>
    <w:rsid w:val="00CD1D3E"/>
    <w:rsid w:val="00CD1F41"/>
    <w:rsid w:val="00CD2444"/>
    <w:rsid w:val="00CD354D"/>
    <w:rsid w:val="00CD36DB"/>
    <w:rsid w:val="00CD42F6"/>
    <w:rsid w:val="00CD4853"/>
    <w:rsid w:val="00CD4AB9"/>
    <w:rsid w:val="00CD5431"/>
    <w:rsid w:val="00CD5539"/>
    <w:rsid w:val="00CD603C"/>
    <w:rsid w:val="00CD607F"/>
    <w:rsid w:val="00CD6091"/>
    <w:rsid w:val="00CD63D5"/>
    <w:rsid w:val="00CD6957"/>
    <w:rsid w:val="00CD6FD1"/>
    <w:rsid w:val="00CD7123"/>
    <w:rsid w:val="00CD78A3"/>
    <w:rsid w:val="00CD7C44"/>
    <w:rsid w:val="00CE01FC"/>
    <w:rsid w:val="00CE067A"/>
    <w:rsid w:val="00CE06CD"/>
    <w:rsid w:val="00CE115D"/>
    <w:rsid w:val="00CE11C5"/>
    <w:rsid w:val="00CE148C"/>
    <w:rsid w:val="00CE156E"/>
    <w:rsid w:val="00CE1FF2"/>
    <w:rsid w:val="00CE201A"/>
    <w:rsid w:val="00CE2072"/>
    <w:rsid w:val="00CE251A"/>
    <w:rsid w:val="00CE27DC"/>
    <w:rsid w:val="00CE290C"/>
    <w:rsid w:val="00CE2F2A"/>
    <w:rsid w:val="00CE333B"/>
    <w:rsid w:val="00CE3635"/>
    <w:rsid w:val="00CE3A42"/>
    <w:rsid w:val="00CE3D42"/>
    <w:rsid w:val="00CE4082"/>
    <w:rsid w:val="00CE4322"/>
    <w:rsid w:val="00CE452E"/>
    <w:rsid w:val="00CE45D7"/>
    <w:rsid w:val="00CE49FD"/>
    <w:rsid w:val="00CE4A97"/>
    <w:rsid w:val="00CE50FB"/>
    <w:rsid w:val="00CE51DA"/>
    <w:rsid w:val="00CE5920"/>
    <w:rsid w:val="00CE5D6C"/>
    <w:rsid w:val="00CE5E39"/>
    <w:rsid w:val="00CE66F6"/>
    <w:rsid w:val="00CE797B"/>
    <w:rsid w:val="00CE7D0F"/>
    <w:rsid w:val="00CE7D75"/>
    <w:rsid w:val="00CF0198"/>
    <w:rsid w:val="00CF02AC"/>
    <w:rsid w:val="00CF10C1"/>
    <w:rsid w:val="00CF12B1"/>
    <w:rsid w:val="00CF139C"/>
    <w:rsid w:val="00CF1414"/>
    <w:rsid w:val="00CF154F"/>
    <w:rsid w:val="00CF1A77"/>
    <w:rsid w:val="00CF1C03"/>
    <w:rsid w:val="00CF1E2A"/>
    <w:rsid w:val="00CF1F68"/>
    <w:rsid w:val="00CF2057"/>
    <w:rsid w:val="00CF24C4"/>
    <w:rsid w:val="00CF2613"/>
    <w:rsid w:val="00CF268C"/>
    <w:rsid w:val="00CF2D2C"/>
    <w:rsid w:val="00CF2DB8"/>
    <w:rsid w:val="00CF2F2A"/>
    <w:rsid w:val="00CF30D8"/>
    <w:rsid w:val="00CF34E0"/>
    <w:rsid w:val="00CF372F"/>
    <w:rsid w:val="00CF3F87"/>
    <w:rsid w:val="00CF4021"/>
    <w:rsid w:val="00CF4622"/>
    <w:rsid w:val="00CF4690"/>
    <w:rsid w:val="00CF47D4"/>
    <w:rsid w:val="00CF48A3"/>
    <w:rsid w:val="00CF48D6"/>
    <w:rsid w:val="00CF5427"/>
    <w:rsid w:val="00CF5616"/>
    <w:rsid w:val="00CF5792"/>
    <w:rsid w:val="00CF5E13"/>
    <w:rsid w:val="00CF5E92"/>
    <w:rsid w:val="00CF6046"/>
    <w:rsid w:val="00CF6532"/>
    <w:rsid w:val="00CF67B8"/>
    <w:rsid w:val="00CF6921"/>
    <w:rsid w:val="00CF75C4"/>
    <w:rsid w:val="00CF7790"/>
    <w:rsid w:val="00CF7965"/>
    <w:rsid w:val="00CF7C47"/>
    <w:rsid w:val="00CF7DD9"/>
    <w:rsid w:val="00CF7E73"/>
    <w:rsid w:val="00CF7EEA"/>
    <w:rsid w:val="00CF7F07"/>
    <w:rsid w:val="00CF7F1C"/>
    <w:rsid w:val="00D0043E"/>
    <w:rsid w:val="00D00489"/>
    <w:rsid w:val="00D0057D"/>
    <w:rsid w:val="00D00891"/>
    <w:rsid w:val="00D009E6"/>
    <w:rsid w:val="00D00C63"/>
    <w:rsid w:val="00D0147C"/>
    <w:rsid w:val="00D014F8"/>
    <w:rsid w:val="00D017B5"/>
    <w:rsid w:val="00D01D2B"/>
    <w:rsid w:val="00D01E3A"/>
    <w:rsid w:val="00D026FD"/>
    <w:rsid w:val="00D02956"/>
    <w:rsid w:val="00D02BD3"/>
    <w:rsid w:val="00D02BF5"/>
    <w:rsid w:val="00D0347D"/>
    <w:rsid w:val="00D03496"/>
    <w:rsid w:val="00D037A7"/>
    <w:rsid w:val="00D04313"/>
    <w:rsid w:val="00D048C3"/>
    <w:rsid w:val="00D04BA1"/>
    <w:rsid w:val="00D04C78"/>
    <w:rsid w:val="00D0513E"/>
    <w:rsid w:val="00D053E1"/>
    <w:rsid w:val="00D05B8A"/>
    <w:rsid w:val="00D05E98"/>
    <w:rsid w:val="00D06B60"/>
    <w:rsid w:val="00D071A4"/>
    <w:rsid w:val="00D076C1"/>
    <w:rsid w:val="00D07A10"/>
    <w:rsid w:val="00D07F4A"/>
    <w:rsid w:val="00D1077B"/>
    <w:rsid w:val="00D10A5D"/>
    <w:rsid w:val="00D10A7C"/>
    <w:rsid w:val="00D10DBD"/>
    <w:rsid w:val="00D10F57"/>
    <w:rsid w:val="00D111AC"/>
    <w:rsid w:val="00D115FA"/>
    <w:rsid w:val="00D11D31"/>
    <w:rsid w:val="00D11F6B"/>
    <w:rsid w:val="00D121DC"/>
    <w:rsid w:val="00D12974"/>
    <w:rsid w:val="00D12C53"/>
    <w:rsid w:val="00D12E5C"/>
    <w:rsid w:val="00D13182"/>
    <w:rsid w:val="00D138C4"/>
    <w:rsid w:val="00D14001"/>
    <w:rsid w:val="00D1433B"/>
    <w:rsid w:val="00D148ED"/>
    <w:rsid w:val="00D14E91"/>
    <w:rsid w:val="00D158D2"/>
    <w:rsid w:val="00D16124"/>
    <w:rsid w:val="00D1641B"/>
    <w:rsid w:val="00D164F0"/>
    <w:rsid w:val="00D169D0"/>
    <w:rsid w:val="00D16C64"/>
    <w:rsid w:val="00D16C80"/>
    <w:rsid w:val="00D16E10"/>
    <w:rsid w:val="00D16FE4"/>
    <w:rsid w:val="00D179EA"/>
    <w:rsid w:val="00D17B3C"/>
    <w:rsid w:val="00D2077C"/>
    <w:rsid w:val="00D20B22"/>
    <w:rsid w:val="00D21AC4"/>
    <w:rsid w:val="00D21B3B"/>
    <w:rsid w:val="00D21D6C"/>
    <w:rsid w:val="00D21ECE"/>
    <w:rsid w:val="00D22054"/>
    <w:rsid w:val="00D226BB"/>
    <w:rsid w:val="00D22C28"/>
    <w:rsid w:val="00D23111"/>
    <w:rsid w:val="00D234EC"/>
    <w:rsid w:val="00D237CF"/>
    <w:rsid w:val="00D2401A"/>
    <w:rsid w:val="00D2457A"/>
    <w:rsid w:val="00D2510E"/>
    <w:rsid w:val="00D256D6"/>
    <w:rsid w:val="00D257BD"/>
    <w:rsid w:val="00D2590D"/>
    <w:rsid w:val="00D25FC2"/>
    <w:rsid w:val="00D2603A"/>
    <w:rsid w:val="00D26486"/>
    <w:rsid w:val="00D26910"/>
    <w:rsid w:val="00D26A3A"/>
    <w:rsid w:val="00D272FC"/>
    <w:rsid w:val="00D27313"/>
    <w:rsid w:val="00D30479"/>
    <w:rsid w:val="00D306B1"/>
    <w:rsid w:val="00D3072B"/>
    <w:rsid w:val="00D30937"/>
    <w:rsid w:val="00D30CA0"/>
    <w:rsid w:val="00D30CF2"/>
    <w:rsid w:val="00D3151A"/>
    <w:rsid w:val="00D319EB"/>
    <w:rsid w:val="00D3243E"/>
    <w:rsid w:val="00D330F1"/>
    <w:rsid w:val="00D33507"/>
    <w:rsid w:val="00D34453"/>
    <w:rsid w:val="00D34DB1"/>
    <w:rsid w:val="00D34E5F"/>
    <w:rsid w:val="00D34E71"/>
    <w:rsid w:val="00D34F3F"/>
    <w:rsid w:val="00D35784"/>
    <w:rsid w:val="00D35A80"/>
    <w:rsid w:val="00D35A9B"/>
    <w:rsid w:val="00D35C31"/>
    <w:rsid w:val="00D35CBE"/>
    <w:rsid w:val="00D35DFD"/>
    <w:rsid w:val="00D36139"/>
    <w:rsid w:val="00D3651F"/>
    <w:rsid w:val="00D366B5"/>
    <w:rsid w:val="00D36721"/>
    <w:rsid w:val="00D369E7"/>
    <w:rsid w:val="00D36FE6"/>
    <w:rsid w:val="00D3782C"/>
    <w:rsid w:val="00D37C8C"/>
    <w:rsid w:val="00D40A2F"/>
    <w:rsid w:val="00D41BF0"/>
    <w:rsid w:val="00D42052"/>
    <w:rsid w:val="00D425C8"/>
    <w:rsid w:val="00D427D1"/>
    <w:rsid w:val="00D42B69"/>
    <w:rsid w:val="00D42E94"/>
    <w:rsid w:val="00D432D1"/>
    <w:rsid w:val="00D43C51"/>
    <w:rsid w:val="00D43EA4"/>
    <w:rsid w:val="00D43F94"/>
    <w:rsid w:val="00D44E32"/>
    <w:rsid w:val="00D45646"/>
    <w:rsid w:val="00D45803"/>
    <w:rsid w:val="00D45842"/>
    <w:rsid w:val="00D463EE"/>
    <w:rsid w:val="00D46EF5"/>
    <w:rsid w:val="00D46F91"/>
    <w:rsid w:val="00D500E3"/>
    <w:rsid w:val="00D505F6"/>
    <w:rsid w:val="00D5064B"/>
    <w:rsid w:val="00D5066E"/>
    <w:rsid w:val="00D50860"/>
    <w:rsid w:val="00D50DDF"/>
    <w:rsid w:val="00D51BBA"/>
    <w:rsid w:val="00D521C9"/>
    <w:rsid w:val="00D52AE7"/>
    <w:rsid w:val="00D52C84"/>
    <w:rsid w:val="00D53826"/>
    <w:rsid w:val="00D54785"/>
    <w:rsid w:val="00D54999"/>
    <w:rsid w:val="00D54BE8"/>
    <w:rsid w:val="00D5559A"/>
    <w:rsid w:val="00D556B4"/>
    <w:rsid w:val="00D5677E"/>
    <w:rsid w:val="00D567B6"/>
    <w:rsid w:val="00D569E7"/>
    <w:rsid w:val="00D56EB5"/>
    <w:rsid w:val="00D57110"/>
    <w:rsid w:val="00D572D8"/>
    <w:rsid w:val="00D5780C"/>
    <w:rsid w:val="00D57B98"/>
    <w:rsid w:val="00D57BA2"/>
    <w:rsid w:val="00D57E83"/>
    <w:rsid w:val="00D602B9"/>
    <w:rsid w:val="00D6076A"/>
    <w:rsid w:val="00D60DAF"/>
    <w:rsid w:val="00D61527"/>
    <w:rsid w:val="00D61B8D"/>
    <w:rsid w:val="00D61CC6"/>
    <w:rsid w:val="00D62554"/>
    <w:rsid w:val="00D62CBF"/>
    <w:rsid w:val="00D62FF1"/>
    <w:rsid w:val="00D6374D"/>
    <w:rsid w:val="00D63B08"/>
    <w:rsid w:val="00D63DE3"/>
    <w:rsid w:val="00D63DE9"/>
    <w:rsid w:val="00D642CF"/>
    <w:rsid w:val="00D644F3"/>
    <w:rsid w:val="00D64626"/>
    <w:rsid w:val="00D64E00"/>
    <w:rsid w:val="00D656B5"/>
    <w:rsid w:val="00D660AB"/>
    <w:rsid w:val="00D66214"/>
    <w:rsid w:val="00D66413"/>
    <w:rsid w:val="00D666EC"/>
    <w:rsid w:val="00D669A6"/>
    <w:rsid w:val="00D67D6D"/>
    <w:rsid w:val="00D706DD"/>
    <w:rsid w:val="00D707AE"/>
    <w:rsid w:val="00D70DD1"/>
    <w:rsid w:val="00D70F89"/>
    <w:rsid w:val="00D712DB"/>
    <w:rsid w:val="00D71379"/>
    <w:rsid w:val="00D7153E"/>
    <w:rsid w:val="00D717AB"/>
    <w:rsid w:val="00D71A22"/>
    <w:rsid w:val="00D71CD2"/>
    <w:rsid w:val="00D7289B"/>
    <w:rsid w:val="00D73360"/>
    <w:rsid w:val="00D73646"/>
    <w:rsid w:val="00D738B0"/>
    <w:rsid w:val="00D73C8F"/>
    <w:rsid w:val="00D73DF0"/>
    <w:rsid w:val="00D740B1"/>
    <w:rsid w:val="00D74642"/>
    <w:rsid w:val="00D749C2"/>
    <w:rsid w:val="00D74B9A"/>
    <w:rsid w:val="00D74BE0"/>
    <w:rsid w:val="00D751AF"/>
    <w:rsid w:val="00D751F1"/>
    <w:rsid w:val="00D76635"/>
    <w:rsid w:val="00D76C22"/>
    <w:rsid w:val="00D771FE"/>
    <w:rsid w:val="00D77365"/>
    <w:rsid w:val="00D77A70"/>
    <w:rsid w:val="00D77AFF"/>
    <w:rsid w:val="00D80267"/>
    <w:rsid w:val="00D80659"/>
    <w:rsid w:val="00D80737"/>
    <w:rsid w:val="00D81490"/>
    <w:rsid w:val="00D814E0"/>
    <w:rsid w:val="00D81834"/>
    <w:rsid w:val="00D81CFA"/>
    <w:rsid w:val="00D81E18"/>
    <w:rsid w:val="00D82216"/>
    <w:rsid w:val="00D82908"/>
    <w:rsid w:val="00D829B0"/>
    <w:rsid w:val="00D82B8E"/>
    <w:rsid w:val="00D8302F"/>
    <w:rsid w:val="00D83169"/>
    <w:rsid w:val="00D83269"/>
    <w:rsid w:val="00D834B3"/>
    <w:rsid w:val="00D8361B"/>
    <w:rsid w:val="00D848A4"/>
    <w:rsid w:val="00D84949"/>
    <w:rsid w:val="00D85035"/>
    <w:rsid w:val="00D850F4"/>
    <w:rsid w:val="00D852F1"/>
    <w:rsid w:val="00D853E7"/>
    <w:rsid w:val="00D8597B"/>
    <w:rsid w:val="00D859C3"/>
    <w:rsid w:val="00D859EF"/>
    <w:rsid w:val="00D85BA5"/>
    <w:rsid w:val="00D863C0"/>
    <w:rsid w:val="00D86944"/>
    <w:rsid w:val="00D86B51"/>
    <w:rsid w:val="00D86E37"/>
    <w:rsid w:val="00D8710D"/>
    <w:rsid w:val="00D8723E"/>
    <w:rsid w:val="00D874AB"/>
    <w:rsid w:val="00D876BC"/>
    <w:rsid w:val="00D87D47"/>
    <w:rsid w:val="00D90072"/>
    <w:rsid w:val="00D90171"/>
    <w:rsid w:val="00D90540"/>
    <w:rsid w:val="00D91431"/>
    <w:rsid w:val="00D9149B"/>
    <w:rsid w:val="00D91777"/>
    <w:rsid w:val="00D91952"/>
    <w:rsid w:val="00D91B35"/>
    <w:rsid w:val="00D91D1C"/>
    <w:rsid w:val="00D92182"/>
    <w:rsid w:val="00D927F6"/>
    <w:rsid w:val="00D92828"/>
    <w:rsid w:val="00D92937"/>
    <w:rsid w:val="00D93273"/>
    <w:rsid w:val="00D934EE"/>
    <w:rsid w:val="00D9376E"/>
    <w:rsid w:val="00D93A16"/>
    <w:rsid w:val="00D94199"/>
    <w:rsid w:val="00D94C2F"/>
    <w:rsid w:val="00D95766"/>
    <w:rsid w:val="00D95812"/>
    <w:rsid w:val="00D96585"/>
    <w:rsid w:val="00D96CAC"/>
    <w:rsid w:val="00D96D54"/>
    <w:rsid w:val="00D973C9"/>
    <w:rsid w:val="00D97877"/>
    <w:rsid w:val="00D979AF"/>
    <w:rsid w:val="00DA069F"/>
    <w:rsid w:val="00DA09AC"/>
    <w:rsid w:val="00DA0B36"/>
    <w:rsid w:val="00DA0D65"/>
    <w:rsid w:val="00DA0E1A"/>
    <w:rsid w:val="00DA1BD6"/>
    <w:rsid w:val="00DA1CF0"/>
    <w:rsid w:val="00DA1DBD"/>
    <w:rsid w:val="00DA1E1C"/>
    <w:rsid w:val="00DA2062"/>
    <w:rsid w:val="00DA229B"/>
    <w:rsid w:val="00DA23F6"/>
    <w:rsid w:val="00DA2729"/>
    <w:rsid w:val="00DA281C"/>
    <w:rsid w:val="00DA2DAB"/>
    <w:rsid w:val="00DA2F06"/>
    <w:rsid w:val="00DA30B7"/>
    <w:rsid w:val="00DA3292"/>
    <w:rsid w:val="00DA35A3"/>
    <w:rsid w:val="00DA36C8"/>
    <w:rsid w:val="00DA3990"/>
    <w:rsid w:val="00DA4C63"/>
    <w:rsid w:val="00DA4F27"/>
    <w:rsid w:val="00DA51E7"/>
    <w:rsid w:val="00DA561B"/>
    <w:rsid w:val="00DA58F8"/>
    <w:rsid w:val="00DA5963"/>
    <w:rsid w:val="00DA5FF3"/>
    <w:rsid w:val="00DA6186"/>
    <w:rsid w:val="00DA62B5"/>
    <w:rsid w:val="00DB0327"/>
    <w:rsid w:val="00DB07D2"/>
    <w:rsid w:val="00DB0AE4"/>
    <w:rsid w:val="00DB0F7A"/>
    <w:rsid w:val="00DB104B"/>
    <w:rsid w:val="00DB13CC"/>
    <w:rsid w:val="00DB1E82"/>
    <w:rsid w:val="00DB2C16"/>
    <w:rsid w:val="00DB2F51"/>
    <w:rsid w:val="00DB2FE8"/>
    <w:rsid w:val="00DB30CF"/>
    <w:rsid w:val="00DB33B2"/>
    <w:rsid w:val="00DB33B3"/>
    <w:rsid w:val="00DB396A"/>
    <w:rsid w:val="00DB3C0D"/>
    <w:rsid w:val="00DB3CC6"/>
    <w:rsid w:val="00DB3DF8"/>
    <w:rsid w:val="00DB3E0D"/>
    <w:rsid w:val="00DB3FAF"/>
    <w:rsid w:val="00DB42CA"/>
    <w:rsid w:val="00DB43D2"/>
    <w:rsid w:val="00DB43D7"/>
    <w:rsid w:val="00DB45FD"/>
    <w:rsid w:val="00DB4773"/>
    <w:rsid w:val="00DB4883"/>
    <w:rsid w:val="00DB4C94"/>
    <w:rsid w:val="00DB4D58"/>
    <w:rsid w:val="00DB4E28"/>
    <w:rsid w:val="00DB5285"/>
    <w:rsid w:val="00DB5351"/>
    <w:rsid w:val="00DB54B7"/>
    <w:rsid w:val="00DB5B92"/>
    <w:rsid w:val="00DB66B5"/>
    <w:rsid w:val="00DB670A"/>
    <w:rsid w:val="00DB6AF0"/>
    <w:rsid w:val="00DB6B74"/>
    <w:rsid w:val="00DB6D31"/>
    <w:rsid w:val="00DB70AD"/>
    <w:rsid w:val="00DB70B7"/>
    <w:rsid w:val="00DB7CF7"/>
    <w:rsid w:val="00DC012D"/>
    <w:rsid w:val="00DC07A0"/>
    <w:rsid w:val="00DC0E58"/>
    <w:rsid w:val="00DC104A"/>
    <w:rsid w:val="00DC191B"/>
    <w:rsid w:val="00DC19B0"/>
    <w:rsid w:val="00DC1E3E"/>
    <w:rsid w:val="00DC20CE"/>
    <w:rsid w:val="00DC262F"/>
    <w:rsid w:val="00DC2E7C"/>
    <w:rsid w:val="00DC389B"/>
    <w:rsid w:val="00DC3D96"/>
    <w:rsid w:val="00DC4B52"/>
    <w:rsid w:val="00DC4B82"/>
    <w:rsid w:val="00DC4CF8"/>
    <w:rsid w:val="00DC4FDA"/>
    <w:rsid w:val="00DC5D12"/>
    <w:rsid w:val="00DC5F32"/>
    <w:rsid w:val="00DC63F9"/>
    <w:rsid w:val="00DC66A8"/>
    <w:rsid w:val="00DC74C5"/>
    <w:rsid w:val="00DC7922"/>
    <w:rsid w:val="00DD017F"/>
    <w:rsid w:val="00DD0EC5"/>
    <w:rsid w:val="00DD18B9"/>
    <w:rsid w:val="00DD1ED4"/>
    <w:rsid w:val="00DD1F69"/>
    <w:rsid w:val="00DD23DF"/>
    <w:rsid w:val="00DD23EE"/>
    <w:rsid w:val="00DD2C10"/>
    <w:rsid w:val="00DD31EF"/>
    <w:rsid w:val="00DD35A6"/>
    <w:rsid w:val="00DD3F84"/>
    <w:rsid w:val="00DD43C7"/>
    <w:rsid w:val="00DD4577"/>
    <w:rsid w:val="00DD46D0"/>
    <w:rsid w:val="00DD4EB5"/>
    <w:rsid w:val="00DD4F0C"/>
    <w:rsid w:val="00DD4F3C"/>
    <w:rsid w:val="00DD5206"/>
    <w:rsid w:val="00DD561B"/>
    <w:rsid w:val="00DD5DA0"/>
    <w:rsid w:val="00DD5FE0"/>
    <w:rsid w:val="00DD5FF6"/>
    <w:rsid w:val="00DD62FE"/>
    <w:rsid w:val="00DD6485"/>
    <w:rsid w:val="00DD66C1"/>
    <w:rsid w:val="00DD6C97"/>
    <w:rsid w:val="00DD6CF4"/>
    <w:rsid w:val="00DD6EE4"/>
    <w:rsid w:val="00DD71B4"/>
    <w:rsid w:val="00DD7FCD"/>
    <w:rsid w:val="00DE02C6"/>
    <w:rsid w:val="00DE0358"/>
    <w:rsid w:val="00DE076D"/>
    <w:rsid w:val="00DE0978"/>
    <w:rsid w:val="00DE0B43"/>
    <w:rsid w:val="00DE0BA4"/>
    <w:rsid w:val="00DE0DE3"/>
    <w:rsid w:val="00DE0E89"/>
    <w:rsid w:val="00DE1053"/>
    <w:rsid w:val="00DE1173"/>
    <w:rsid w:val="00DE159D"/>
    <w:rsid w:val="00DE16E9"/>
    <w:rsid w:val="00DE1E18"/>
    <w:rsid w:val="00DE2217"/>
    <w:rsid w:val="00DE2244"/>
    <w:rsid w:val="00DE2BE0"/>
    <w:rsid w:val="00DE3157"/>
    <w:rsid w:val="00DE351D"/>
    <w:rsid w:val="00DE38DF"/>
    <w:rsid w:val="00DE3974"/>
    <w:rsid w:val="00DE3E9B"/>
    <w:rsid w:val="00DE40FA"/>
    <w:rsid w:val="00DE430D"/>
    <w:rsid w:val="00DE4447"/>
    <w:rsid w:val="00DE4AA4"/>
    <w:rsid w:val="00DE4AD0"/>
    <w:rsid w:val="00DE4B68"/>
    <w:rsid w:val="00DE4BA3"/>
    <w:rsid w:val="00DE570B"/>
    <w:rsid w:val="00DE5AE8"/>
    <w:rsid w:val="00DE6706"/>
    <w:rsid w:val="00DE68BE"/>
    <w:rsid w:val="00DE6A14"/>
    <w:rsid w:val="00DE7099"/>
    <w:rsid w:val="00DE71B8"/>
    <w:rsid w:val="00DE7274"/>
    <w:rsid w:val="00DE7A4E"/>
    <w:rsid w:val="00DF010D"/>
    <w:rsid w:val="00DF0125"/>
    <w:rsid w:val="00DF0439"/>
    <w:rsid w:val="00DF08D7"/>
    <w:rsid w:val="00DF1406"/>
    <w:rsid w:val="00DF22FE"/>
    <w:rsid w:val="00DF2A40"/>
    <w:rsid w:val="00DF3162"/>
    <w:rsid w:val="00DF37C8"/>
    <w:rsid w:val="00DF3985"/>
    <w:rsid w:val="00DF39E4"/>
    <w:rsid w:val="00DF3DDB"/>
    <w:rsid w:val="00DF3FD7"/>
    <w:rsid w:val="00DF4167"/>
    <w:rsid w:val="00DF44F8"/>
    <w:rsid w:val="00DF4621"/>
    <w:rsid w:val="00DF4958"/>
    <w:rsid w:val="00DF4C59"/>
    <w:rsid w:val="00DF4DF4"/>
    <w:rsid w:val="00DF57A8"/>
    <w:rsid w:val="00DF59BE"/>
    <w:rsid w:val="00DF5A7D"/>
    <w:rsid w:val="00DF5BB4"/>
    <w:rsid w:val="00DF5F39"/>
    <w:rsid w:val="00DF611C"/>
    <w:rsid w:val="00DF615F"/>
    <w:rsid w:val="00DF6505"/>
    <w:rsid w:val="00DF69C5"/>
    <w:rsid w:val="00DF6A8E"/>
    <w:rsid w:val="00DF6C75"/>
    <w:rsid w:val="00DF6CBC"/>
    <w:rsid w:val="00DF6FC8"/>
    <w:rsid w:val="00DF706D"/>
    <w:rsid w:val="00DF726A"/>
    <w:rsid w:val="00E00058"/>
    <w:rsid w:val="00E01C87"/>
    <w:rsid w:val="00E02CDA"/>
    <w:rsid w:val="00E0305D"/>
    <w:rsid w:val="00E03161"/>
    <w:rsid w:val="00E038CD"/>
    <w:rsid w:val="00E03A01"/>
    <w:rsid w:val="00E04B38"/>
    <w:rsid w:val="00E05035"/>
    <w:rsid w:val="00E05174"/>
    <w:rsid w:val="00E05565"/>
    <w:rsid w:val="00E0577E"/>
    <w:rsid w:val="00E05893"/>
    <w:rsid w:val="00E058CF"/>
    <w:rsid w:val="00E05F3F"/>
    <w:rsid w:val="00E06948"/>
    <w:rsid w:val="00E06992"/>
    <w:rsid w:val="00E06D07"/>
    <w:rsid w:val="00E06F86"/>
    <w:rsid w:val="00E070E1"/>
    <w:rsid w:val="00E07354"/>
    <w:rsid w:val="00E075E8"/>
    <w:rsid w:val="00E077E9"/>
    <w:rsid w:val="00E07F6F"/>
    <w:rsid w:val="00E07F8E"/>
    <w:rsid w:val="00E103BA"/>
    <w:rsid w:val="00E107B1"/>
    <w:rsid w:val="00E10EEE"/>
    <w:rsid w:val="00E112C9"/>
    <w:rsid w:val="00E11BBD"/>
    <w:rsid w:val="00E11E0E"/>
    <w:rsid w:val="00E11FB0"/>
    <w:rsid w:val="00E12029"/>
    <w:rsid w:val="00E12945"/>
    <w:rsid w:val="00E13085"/>
    <w:rsid w:val="00E13346"/>
    <w:rsid w:val="00E13644"/>
    <w:rsid w:val="00E136B8"/>
    <w:rsid w:val="00E13F52"/>
    <w:rsid w:val="00E14900"/>
    <w:rsid w:val="00E14DB1"/>
    <w:rsid w:val="00E14E6E"/>
    <w:rsid w:val="00E15177"/>
    <w:rsid w:val="00E156FC"/>
    <w:rsid w:val="00E15722"/>
    <w:rsid w:val="00E1580A"/>
    <w:rsid w:val="00E15B23"/>
    <w:rsid w:val="00E15CB1"/>
    <w:rsid w:val="00E15CF8"/>
    <w:rsid w:val="00E15F8B"/>
    <w:rsid w:val="00E15FE2"/>
    <w:rsid w:val="00E16648"/>
    <w:rsid w:val="00E16C99"/>
    <w:rsid w:val="00E2019D"/>
    <w:rsid w:val="00E2057F"/>
    <w:rsid w:val="00E20746"/>
    <w:rsid w:val="00E20C45"/>
    <w:rsid w:val="00E20E50"/>
    <w:rsid w:val="00E211F3"/>
    <w:rsid w:val="00E211FC"/>
    <w:rsid w:val="00E21AEC"/>
    <w:rsid w:val="00E21DEF"/>
    <w:rsid w:val="00E2207D"/>
    <w:rsid w:val="00E223E4"/>
    <w:rsid w:val="00E22762"/>
    <w:rsid w:val="00E22860"/>
    <w:rsid w:val="00E22AE9"/>
    <w:rsid w:val="00E23019"/>
    <w:rsid w:val="00E241FE"/>
    <w:rsid w:val="00E247C9"/>
    <w:rsid w:val="00E24977"/>
    <w:rsid w:val="00E2502A"/>
    <w:rsid w:val="00E25316"/>
    <w:rsid w:val="00E256AA"/>
    <w:rsid w:val="00E25873"/>
    <w:rsid w:val="00E25B65"/>
    <w:rsid w:val="00E26809"/>
    <w:rsid w:val="00E269B0"/>
    <w:rsid w:val="00E2730D"/>
    <w:rsid w:val="00E27470"/>
    <w:rsid w:val="00E279AA"/>
    <w:rsid w:val="00E27E5E"/>
    <w:rsid w:val="00E3044E"/>
    <w:rsid w:val="00E31AEB"/>
    <w:rsid w:val="00E31D70"/>
    <w:rsid w:val="00E31FD9"/>
    <w:rsid w:val="00E320C9"/>
    <w:rsid w:val="00E32220"/>
    <w:rsid w:val="00E32BD2"/>
    <w:rsid w:val="00E32BF6"/>
    <w:rsid w:val="00E32E3A"/>
    <w:rsid w:val="00E331E0"/>
    <w:rsid w:val="00E331F0"/>
    <w:rsid w:val="00E33264"/>
    <w:rsid w:val="00E33974"/>
    <w:rsid w:val="00E33AAB"/>
    <w:rsid w:val="00E33DEC"/>
    <w:rsid w:val="00E33F7D"/>
    <w:rsid w:val="00E34375"/>
    <w:rsid w:val="00E34387"/>
    <w:rsid w:val="00E34A86"/>
    <w:rsid w:val="00E34ABF"/>
    <w:rsid w:val="00E34DD3"/>
    <w:rsid w:val="00E3501A"/>
    <w:rsid w:val="00E35374"/>
    <w:rsid w:val="00E35636"/>
    <w:rsid w:val="00E358B1"/>
    <w:rsid w:val="00E364A0"/>
    <w:rsid w:val="00E368C7"/>
    <w:rsid w:val="00E3717D"/>
    <w:rsid w:val="00E3764A"/>
    <w:rsid w:val="00E376A9"/>
    <w:rsid w:val="00E3785D"/>
    <w:rsid w:val="00E37BD9"/>
    <w:rsid w:val="00E37CFA"/>
    <w:rsid w:val="00E37E72"/>
    <w:rsid w:val="00E37F64"/>
    <w:rsid w:val="00E40B6D"/>
    <w:rsid w:val="00E40C11"/>
    <w:rsid w:val="00E41385"/>
    <w:rsid w:val="00E41595"/>
    <w:rsid w:val="00E4178B"/>
    <w:rsid w:val="00E41AC9"/>
    <w:rsid w:val="00E42095"/>
    <w:rsid w:val="00E42C9E"/>
    <w:rsid w:val="00E433DB"/>
    <w:rsid w:val="00E43D09"/>
    <w:rsid w:val="00E44102"/>
    <w:rsid w:val="00E44572"/>
    <w:rsid w:val="00E44B7D"/>
    <w:rsid w:val="00E44C09"/>
    <w:rsid w:val="00E44D7F"/>
    <w:rsid w:val="00E44DDB"/>
    <w:rsid w:val="00E450A2"/>
    <w:rsid w:val="00E4518D"/>
    <w:rsid w:val="00E45392"/>
    <w:rsid w:val="00E457F4"/>
    <w:rsid w:val="00E459BA"/>
    <w:rsid w:val="00E45B6D"/>
    <w:rsid w:val="00E4644E"/>
    <w:rsid w:val="00E46483"/>
    <w:rsid w:val="00E467A8"/>
    <w:rsid w:val="00E467E4"/>
    <w:rsid w:val="00E46CC8"/>
    <w:rsid w:val="00E47049"/>
    <w:rsid w:val="00E4762C"/>
    <w:rsid w:val="00E47A1C"/>
    <w:rsid w:val="00E47C39"/>
    <w:rsid w:val="00E50723"/>
    <w:rsid w:val="00E5077C"/>
    <w:rsid w:val="00E51144"/>
    <w:rsid w:val="00E515F7"/>
    <w:rsid w:val="00E51EDA"/>
    <w:rsid w:val="00E51F5A"/>
    <w:rsid w:val="00E525FB"/>
    <w:rsid w:val="00E52845"/>
    <w:rsid w:val="00E5292E"/>
    <w:rsid w:val="00E52EB1"/>
    <w:rsid w:val="00E530DA"/>
    <w:rsid w:val="00E53233"/>
    <w:rsid w:val="00E5332F"/>
    <w:rsid w:val="00E535F2"/>
    <w:rsid w:val="00E5363C"/>
    <w:rsid w:val="00E53868"/>
    <w:rsid w:val="00E53B28"/>
    <w:rsid w:val="00E53EFE"/>
    <w:rsid w:val="00E541A8"/>
    <w:rsid w:val="00E54B11"/>
    <w:rsid w:val="00E551D2"/>
    <w:rsid w:val="00E5606A"/>
    <w:rsid w:val="00E561E2"/>
    <w:rsid w:val="00E56758"/>
    <w:rsid w:val="00E56FEC"/>
    <w:rsid w:val="00E57515"/>
    <w:rsid w:val="00E5780C"/>
    <w:rsid w:val="00E57E56"/>
    <w:rsid w:val="00E61301"/>
    <w:rsid w:val="00E61C73"/>
    <w:rsid w:val="00E61DA9"/>
    <w:rsid w:val="00E6293B"/>
    <w:rsid w:val="00E62B4E"/>
    <w:rsid w:val="00E62EDE"/>
    <w:rsid w:val="00E62FC4"/>
    <w:rsid w:val="00E63E79"/>
    <w:rsid w:val="00E64250"/>
    <w:rsid w:val="00E64318"/>
    <w:rsid w:val="00E648AC"/>
    <w:rsid w:val="00E64C44"/>
    <w:rsid w:val="00E64CA8"/>
    <w:rsid w:val="00E65C5C"/>
    <w:rsid w:val="00E65D22"/>
    <w:rsid w:val="00E65D99"/>
    <w:rsid w:val="00E65E59"/>
    <w:rsid w:val="00E66359"/>
    <w:rsid w:val="00E66508"/>
    <w:rsid w:val="00E66656"/>
    <w:rsid w:val="00E666B6"/>
    <w:rsid w:val="00E66E0C"/>
    <w:rsid w:val="00E66F7F"/>
    <w:rsid w:val="00E66FCA"/>
    <w:rsid w:val="00E6750B"/>
    <w:rsid w:val="00E676CA"/>
    <w:rsid w:val="00E67D45"/>
    <w:rsid w:val="00E67D6F"/>
    <w:rsid w:val="00E67DF8"/>
    <w:rsid w:val="00E67ECD"/>
    <w:rsid w:val="00E7041E"/>
    <w:rsid w:val="00E70521"/>
    <w:rsid w:val="00E70692"/>
    <w:rsid w:val="00E71369"/>
    <w:rsid w:val="00E71753"/>
    <w:rsid w:val="00E71795"/>
    <w:rsid w:val="00E717B1"/>
    <w:rsid w:val="00E71826"/>
    <w:rsid w:val="00E71A2E"/>
    <w:rsid w:val="00E71FD1"/>
    <w:rsid w:val="00E721B0"/>
    <w:rsid w:val="00E722C7"/>
    <w:rsid w:val="00E7234F"/>
    <w:rsid w:val="00E72390"/>
    <w:rsid w:val="00E725BA"/>
    <w:rsid w:val="00E7260E"/>
    <w:rsid w:val="00E7276F"/>
    <w:rsid w:val="00E72A7B"/>
    <w:rsid w:val="00E72DB6"/>
    <w:rsid w:val="00E72EA7"/>
    <w:rsid w:val="00E72FD1"/>
    <w:rsid w:val="00E73306"/>
    <w:rsid w:val="00E73487"/>
    <w:rsid w:val="00E73541"/>
    <w:rsid w:val="00E73E16"/>
    <w:rsid w:val="00E73FD0"/>
    <w:rsid w:val="00E7408E"/>
    <w:rsid w:val="00E74155"/>
    <w:rsid w:val="00E744D7"/>
    <w:rsid w:val="00E74732"/>
    <w:rsid w:val="00E74838"/>
    <w:rsid w:val="00E74F24"/>
    <w:rsid w:val="00E75699"/>
    <w:rsid w:val="00E757C4"/>
    <w:rsid w:val="00E75964"/>
    <w:rsid w:val="00E75BED"/>
    <w:rsid w:val="00E75C60"/>
    <w:rsid w:val="00E75C7D"/>
    <w:rsid w:val="00E75E92"/>
    <w:rsid w:val="00E769D6"/>
    <w:rsid w:val="00E76B84"/>
    <w:rsid w:val="00E76F2F"/>
    <w:rsid w:val="00E77F8B"/>
    <w:rsid w:val="00E80452"/>
    <w:rsid w:val="00E805E1"/>
    <w:rsid w:val="00E80700"/>
    <w:rsid w:val="00E81750"/>
    <w:rsid w:val="00E81802"/>
    <w:rsid w:val="00E81E97"/>
    <w:rsid w:val="00E82413"/>
    <w:rsid w:val="00E824F2"/>
    <w:rsid w:val="00E82900"/>
    <w:rsid w:val="00E82A94"/>
    <w:rsid w:val="00E82AFE"/>
    <w:rsid w:val="00E8317F"/>
    <w:rsid w:val="00E83339"/>
    <w:rsid w:val="00E8344E"/>
    <w:rsid w:val="00E834D0"/>
    <w:rsid w:val="00E83AA5"/>
    <w:rsid w:val="00E845B7"/>
    <w:rsid w:val="00E84821"/>
    <w:rsid w:val="00E8540C"/>
    <w:rsid w:val="00E8577C"/>
    <w:rsid w:val="00E859F9"/>
    <w:rsid w:val="00E85A3A"/>
    <w:rsid w:val="00E85AA9"/>
    <w:rsid w:val="00E85B8E"/>
    <w:rsid w:val="00E85BBE"/>
    <w:rsid w:val="00E862B3"/>
    <w:rsid w:val="00E863A8"/>
    <w:rsid w:val="00E8653F"/>
    <w:rsid w:val="00E87042"/>
    <w:rsid w:val="00E873F7"/>
    <w:rsid w:val="00E875ED"/>
    <w:rsid w:val="00E875FC"/>
    <w:rsid w:val="00E8767D"/>
    <w:rsid w:val="00E87C7C"/>
    <w:rsid w:val="00E902C4"/>
    <w:rsid w:val="00E914F7"/>
    <w:rsid w:val="00E91D2D"/>
    <w:rsid w:val="00E91D98"/>
    <w:rsid w:val="00E91E6C"/>
    <w:rsid w:val="00E91EEA"/>
    <w:rsid w:val="00E91F33"/>
    <w:rsid w:val="00E925B7"/>
    <w:rsid w:val="00E92FEA"/>
    <w:rsid w:val="00E9330C"/>
    <w:rsid w:val="00E93538"/>
    <w:rsid w:val="00E9375B"/>
    <w:rsid w:val="00E937E0"/>
    <w:rsid w:val="00E93A63"/>
    <w:rsid w:val="00E93C13"/>
    <w:rsid w:val="00E93CC4"/>
    <w:rsid w:val="00E93D93"/>
    <w:rsid w:val="00E94105"/>
    <w:rsid w:val="00E94766"/>
    <w:rsid w:val="00E94A8B"/>
    <w:rsid w:val="00E95834"/>
    <w:rsid w:val="00E95873"/>
    <w:rsid w:val="00E9599E"/>
    <w:rsid w:val="00E95B1F"/>
    <w:rsid w:val="00E95D24"/>
    <w:rsid w:val="00E95EA8"/>
    <w:rsid w:val="00E960EE"/>
    <w:rsid w:val="00E96140"/>
    <w:rsid w:val="00E96190"/>
    <w:rsid w:val="00E96332"/>
    <w:rsid w:val="00E974B5"/>
    <w:rsid w:val="00E9760C"/>
    <w:rsid w:val="00E97624"/>
    <w:rsid w:val="00E97730"/>
    <w:rsid w:val="00E97ACB"/>
    <w:rsid w:val="00E97FAF"/>
    <w:rsid w:val="00EA0028"/>
    <w:rsid w:val="00EA06FF"/>
    <w:rsid w:val="00EA0821"/>
    <w:rsid w:val="00EA0CBB"/>
    <w:rsid w:val="00EA11CB"/>
    <w:rsid w:val="00EA254F"/>
    <w:rsid w:val="00EA2F1E"/>
    <w:rsid w:val="00EA35EF"/>
    <w:rsid w:val="00EA3DB0"/>
    <w:rsid w:val="00EA3E91"/>
    <w:rsid w:val="00EA426C"/>
    <w:rsid w:val="00EA48B2"/>
    <w:rsid w:val="00EA4D22"/>
    <w:rsid w:val="00EA4E2F"/>
    <w:rsid w:val="00EA4FB8"/>
    <w:rsid w:val="00EA558B"/>
    <w:rsid w:val="00EA5805"/>
    <w:rsid w:val="00EA58D0"/>
    <w:rsid w:val="00EA5D90"/>
    <w:rsid w:val="00EA5DF0"/>
    <w:rsid w:val="00EA5F07"/>
    <w:rsid w:val="00EA5FCD"/>
    <w:rsid w:val="00EA66C8"/>
    <w:rsid w:val="00EA69F1"/>
    <w:rsid w:val="00EA6C0B"/>
    <w:rsid w:val="00EA6C54"/>
    <w:rsid w:val="00EA76F3"/>
    <w:rsid w:val="00EA79B2"/>
    <w:rsid w:val="00EB0007"/>
    <w:rsid w:val="00EB0023"/>
    <w:rsid w:val="00EB0181"/>
    <w:rsid w:val="00EB08B1"/>
    <w:rsid w:val="00EB0B1F"/>
    <w:rsid w:val="00EB0C8E"/>
    <w:rsid w:val="00EB1405"/>
    <w:rsid w:val="00EB18D7"/>
    <w:rsid w:val="00EB194C"/>
    <w:rsid w:val="00EB1AEB"/>
    <w:rsid w:val="00EB2550"/>
    <w:rsid w:val="00EB3009"/>
    <w:rsid w:val="00EB3048"/>
    <w:rsid w:val="00EB3162"/>
    <w:rsid w:val="00EB340C"/>
    <w:rsid w:val="00EB388A"/>
    <w:rsid w:val="00EB3ADF"/>
    <w:rsid w:val="00EB3DBC"/>
    <w:rsid w:val="00EB405A"/>
    <w:rsid w:val="00EB4AB6"/>
    <w:rsid w:val="00EB510A"/>
    <w:rsid w:val="00EB53A6"/>
    <w:rsid w:val="00EB55A1"/>
    <w:rsid w:val="00EB5F5F"/>
    <w:rsid w:val="00EB604F"/>
    <w:rsid w:val="00EB6068"/>
    <w:rsid w:val="00EB6DDA"/>
    <w:rsid w:val="00EB6E5D"/>
    <w:rsid w:val="00EB709B"/>
    <w:rsid w:val="00EB7441"/>
    <w:rsid w:val="00EB78D1"/>
    <w:rsid w:val="00EB7C1D"/>
    <w:rsid w:val="00EB7C9C"/>
    <w:rsid w:val="00EC0057"/>
    <w:rsid w:val="00EC01F2"/>
    <w:rsid w:val="00EC05F5"/>
    <w:rsid w:val="00EC0875"/>
    <w:rsid w:val="00EC08AB"/>
    <w:rsid w:val="00EC0E99"/>
    <w:rsid w:val="00EC12B9"/>
    <w:rsid w:val="00EC12BD"/>
    <w:rsid w:val="00EC1769"/>
    <w:rsid w:val="00EC1AB5"/>
    <w:rsid w:val="00EC1B4F"/>
    <w:rsid w:val="00EC1DBD"/>
    <w:rsid w:val="00EC1E6B"/>
    <w:rsid w:val="00EC2876"/>
    <w:rsid w:val="00EC29C2"/>
    <w:rsid w:val="00EC2B5F"/>
    <w:rsid w:val="00EC2B82"/>
    <w:rsid w:val="00EC2DEA"/>
    <w:rsid w:val="00EC32B4"/>
    <w:rsid w:val="00EC34B9"/>
    <w:rsid w:val="00EC3AFA"/>
    <w:rsid w:val="00EC3B2F"/>
    <w:rsid w:val="00EC41B2"/>
    <w:rsid w:val="00EC41B9"/>
    <w:rsid w:val="00EC4233"/>
    <w:rsid w:val="00EC46D4"/>
    <w:rsid w:val="00EC4B97"/>
    <w:rsid w:val="00EC4C4D"/>
    <w:rsid w:val="00EC50FD"/>
    <w:rsid w:val="00EC52D4"/>
    <w:rsid w:val="00EC565D"/>
    <w:rsid w:val="00EC5B9A"/>
    <w:rsid w:val="00EC5F0F"/>
    <w:rsid w:val="00EC6144"/>
    <w:rsid w:val="00EC6D70"/>
    <w:rsid w:val="00EC722E"/>
    <w:rsid w:val="00EC7480"/>
    <w:rsid w:val="00EC77CD"/>
    <w:rsid w:val="00EC7912"/>
    <w:rsid w:val="00EC7946"/>
    <w:rsid w:val="00EC799D"/>
    <w:rsid w:val="00EC7F48"/>
    <w:rsid w:val="00ED04A8"/>
    <w:rsid w:val="00ED0EBD"/>
    <w:rsid w:val="00ED0F0B"/>
    <w:rsid w:val="00ED11FB"/>
    <w:rsid w:val="00ED128F"/>
    <w:rsid w:val="00ED1374"/>
    <w:rsid w:val="00ED148E"/>
    <w:rsid w:val="00ED166E"/>
    <w:rsid w:val="00ED1A03"/>
    <w:rsid w:val="00ED1A9A"/>
    <w:rsid w:val="00ED1C4C"/>
    <w:rsid w:val="00ED1F49"/>
    <w:rsid w:val="00ED2704"/>
    <w:rsid w:val="00ED2980"/>
    <w:rsid w:val="00ED2DA4"/>
    <w:rsid w:val="00ED38E9"/>
    <w:rsid w:val="00ED39B4"/>
    <w:rsid w:val="00ED3ADA"/>
    <w:rsid w:val="00ED3E80"/>
    <w:rsid w:val="00ED414C"/>
    <w:rsid w:val="00ED4195"/>
    <w:rsid w:val="00ED4470"/>
    <w:rsid w:val="00ED4579"/>
    <w:rsid w:val="00ED4D0F"/>
    <w:rsid w:val="00ED5754"/>
    <w:rsid w:val="00ED5F41"/>
    <w:rsid w:val="00ED5F52"/>
    <w:rsid w:val="00ED6393"/>
    <w:rsid w:val="00ED665C"/>
    <w:rsid w:val="00ED66F0"/>
    <w:rsid w:val="00ED6EC3"/>
    <w:rsid w:val="00ED6F89"/>
    <w:rsid w:val="00ED781B"/>
    <w:rsid w:val="00ED7D6D"/>
    <w:rsid w:val="00ED7F3B"/>
    <w:rsid w:val="00ED7F65"/>
    <w:rsid w:val="00EE00F2"/>
    <w:rsid w:val="00EE0167"/>
    <w:rsid w:val="00EE02A5"/>
    <w:rsid w:val="00EE079F"/>
    <w:rsid w:val="00EE07C5"/>
    <w:rsid w:val="00EE07D4"/>
    <w:rsid w:val="00EE0B11"/>
    <w:rsid w:val="00EE13EA"/>
    <w:rsid w:val="00EE16B8"/>
    <w:rsid w:val="00EE17DB"/>
    <w:rsid w:val="00EE18CC"/>
    <w:rsid w:val="00EE1DC6"/>
    <w:rsid w:val="00EE25BA"/>
    <w:rsid w:val="00EE25F3"/>
    <w:rsid w:val="00EE2749"/>
    <w:rsid w:val="00EE28D5"/>
    <w:rsid w:val="00EE2B4B"/>
    <w:rsid w:val="00EE2D22"/>
    <w:rsid w:val="00EE2DCB"/>
    <w:rsid w:val="00EE3164"/>
    <w:rsid w:val="00EE3420"/>
    <w:rsid w:val="00EE35ED"/>
    <w:rsid w:val="00EE3A5D"/>
    <w:rsid w:val="00EE3AF6"/>
    <w:rsid w:val="00EE3C93"/>
    <w:rsid w:val="00EE3C96"/>
    <w:rsid w:val="00EE3D5F"/>
    <w:rsid w:val="00EE3E27"/>
    <w:rsid w:val="00EE4353"/>
    <w:rsid w:val="00EE4A24"/>
    <w:rsid w:val="00EE4FA1"/>
    <w:rsid w:val="00EE53A0"/>
    <w:rsid w:val="00EE57D7"/>
    <w:rsid w:val="00EE5802"/>
    <w:rsid w:val="00EE5B72"/>
    <w:rsid w:val="00EE5C29"/>
    <w:rsid w:val="00EE5D52"/>
    <w:rsid w:val="00EE5F3C"/>
    <w:rsid w:val="00EE5FFE"/>
    <w:rsid w:val="00EE6006"/>
    <w:rsid w:val="00EE6700"/>
    <w:rsid w:val="00EE698A"/>
    <w:rsid w:val="00EE6FF1"/>
    <w:rsid w:val="00EE7C99"/>
    <w:rsid w:val="00EF0053"/>
    <w:rsid w:val="00EF089D"/>
    <w:rsid w:val="00EF0A41"/>
    <w:rsid w:val="00EF0AC0"/>
    <w:rsid w:val="00EF0EC1"/>
    <w:rsid w:val="00EF1080"/>
    <w:rsid w:val="00EF1DF3"/>
    <w:rsid w:val="00EF2067"/>
    <w:rsid w:val="00EF2356"/>
    <w:rsid w:val="00EF2384"/>
    <w:rsid w:val="00EF2BA9"/>
    <w:rsid w:val="00EF35BB"/>
    <w:rsid w:val="00EF3C22"/>
    <w:rsid w:val="00EF3CDB"/>
    <w:rsid w:val="00EF408A"/>
    <w:rsid w:val="00EF40D2"/>
    <w:rsid w:val="00EF4C38"/>
    <w:rsid w:val="00EF536B"/>
    <w:rsid w:val="00EF5765"/>
    <w:rsid w:val="00EF591F"/>
    <w:rsid w:val="00EF5A1F"/>
    <w:rsid w:val="00EF5A28"/>
    <w:rsid w:val="00EF5F2B"/>
    <w:rsid w:val="00EF629A"/>
    <w:rsid w:val="00EF6814"/>
    <w:rsid w:val="00EF6EE9"/>
    <w:rsid w:val="00EF74AF"/>
    <w:rsid w:val="00EF78E0"/>
    <w:rsid w:val="00EF7B4D"/>
    <w:rsid w:val="00EF7CAC"/>
    <w:rsid w:val="00EF7CB5"/>
    <w:rsid w:val="00EF7D12"/>
    <w:rsid w:val="00F00533"/>
    <w:rsid w:val="00F0085F"/>
    <w:rsid w:val="00F00F3C"/>
    <w:rsid w:val="00F01358"/>
    <w:rsid w:val="00F0142A"/>
    <w:rsid w:val="00F02B1A"/>
    <w:rsid w:val="00F02BD6"/>
    <w:rsid w:val="00F03622"/>
    <w:rsid w:val="00F03985"/>
    <w:rsid w:val="00F03D61"/>
    <w:rsid w:val="00F04825"/>
    <w:rsid w:val="00F04A29"/>
    <w:rsid w:val="00F04ACA"/>
    <w:rsid w:val="00F04CDF"/>
    <w:rsid w:val="00F050BA"/>
    <w:rsid w:val="00F05113"/>
    <w:rsid w:val="00F051F8"/>
    <w:rsid w:val="00F05749"/>
    <w:rsid w:val="00F05F1A"/>
    <w:rsid w:val="00F060A7"/>
    <w:rsid w:val="00F06276"/>
    <w:rsid w:val="00F065E9"/>
    <w:rsid w:val="00F06C01"/>
    <w:rsid w:val="00F06CF7"/>
    <w:rsid w:val="00F07394"/>
    <w:rsid w:val="00F076F7"/>
    <w:rsid w:val="00F07B97"/>
    <w:rsid w:val="00F07D6B"/>
    <w:rsid w:val="00F102B2"/>
    <w:rsid w:val="00F105C2"/>
    <w:rsid w:val="00F10743"/>
    <w:rsid w:val="00F1080F"/>
    <w:rsid w:val="00F10940"/>
    <w:rsid w:val="00F10960"/>
    <w:rsid w:val="00F10AB4"/>
    <w:rsid w:val="00F10CAB"/>
    <w:rsid w:val="00F10F4D"/>
    <w:rsid w:val="00F10FDB"/>
    <w:rsid w:val="00F11311"/>
    <w:rsid w:val="00F115B1"/>
    <w:rsid w:val="00F11714"/>
    <w:rsid w:val="00F119C5"/>
    <w:rsid w:val="00F1202E"/>
    <w:rsid w:val="00F124DA"/>
    <w:rsid w:val="00F12583"/>
    <w:rsid w:val="00F127C1"/>
    <w:rsid w:val="00F12D36"/>
    <w:rsid w:val="00F130F5"/>
    <w:rsid w:val="00F13C6F"/>
    <w:rsid w:val="00F13EBA"/>
    <w:rsid w:val="00F14873"/>
    <w:rsid w:val="00F14C96"/>
    <w:rsid w:val="00F14E68"/>
    <w:rsid w:val="00F156B7"/>
    <w:rsid w:val="00F15896"/>
    <w:rsid w:val="00F15B41"/>
    <w:rsid w:val="00F16694"/>
    <w:rsid w:val="00F16D3D"/>
    <w:rsid w:val="00F171CA"/>
    <w:rsid w:val="00F173E2"/>
    <w:rsid w:val="00F1745D"/>
    <w:rsid w:val="00F179BF"/>
    <w:rsid w:val="00F20170"/>
    <w:rsid w:val="00F20D82"/>
    <w:rsid w:val="00F20DD5"/>
    <w:rsid w:val="00F2174D"/>
    <w:rsid w:val="00F22153"/>
    <w:rsid w:val="00F22158"/>
    <w:rsid w:val="00F2223F"/>
    <w:rsid w:val="00F22297"/>
    <w:rsid w:val="00F227F8"/>
    <w:rsid w:val="00F22B15"/>
    <w:rsid w:val="00F22D93"/>
    <w:rsid w:val="00F234A6"/>
    <w:rsid w:val="00F2353F"/>
    <w:rsid w:val="00F2362F"/>
    <w:rsid w:val="00F2383B"/>
    <w:rsid w:val="00F23B0A"/>
    <w:rsid w:val="00F24E79"/>
    <w:rsid w:val="00F25049"/>
    <w:rsid w:val="00F251B1"/>
    <w:rsid w:val="00F251E8"/>
    <w:rsid w:val="00F2526E"/>
    <w:rsid w:val="00F25458"/>
    <w:rsid w:val="00F258FF"/>
    <w:rsid w:val="00F25D95"/>
    <w:rsid w:val="00F25DB6"/>
    <w:rsid w:val="00F25FB4"/>
    <w:rsid w:val="00F25FBC"/>
    <w:rsid w:val="00F2610E"/>
    <w:rsid w:val="00F26CA2"/>
    <w:rsid w:val="00F27661"/>
    <w:rsid w:val="00F27A39"/>
    <w:rsid w:val="00F27AA9"/>
    <w:rsid w:val="00F30D00"/>
    <w:rsid w:val="00F30F25"/>
    <w:rsid w:val="00F3132C"/>
    <w:rsid w:val="00F31689"/>
    <w:rsid w:val="00F31A6F"/>
    <w:rsid w:val="00F31ABB"/>
    <w:rsid w:val="00F326F5"/>
    <w:rsid w:val="00F32DEF"/>
    <w:rsid w:val="00F33A42"/>
    <w:rsid w:val="00F33B0C"/>
    <w:rsid w:val="00F345A0"/>
    <w:rsid w:val="00F345A2"/>
    <w:rsid w:val="00F3460C"/>
    <w:rsid w:val="00F34A7C"/>
    <w:rsid w:val="00F34E22"/>
    <w:rsid w:val="00F35020"/>
    <w:rsid w:val="00F35724"/>
    <w:rsid w:val="00F35FD4"/>
    <w:rsid w:val="00F361E9"/>
    <w:rsid w:val="00F3635A"/>
    <w:rsid w:val="00F365F9"/>
    <w:rsid w:val="00F36744"/>
    <w:rsid w:val="00F36921"/>
    <w:rsid w:val="00F36B38"/>
    <w:rsid w:val="00F371A7"/>
    <w:rsid w:val="00F37230"/>
    <w:rsid w:val="00F37581"/>
    <w:rsid w:val="00F375D7"/>
    <w:rsid w:val="00F379D9"/>
    <w:rsid w:val="00F37F87"/>
    <w:rsid w:val="00F37F8B"/>
    <w:rsid w:val="00F402D0"/>
    <w:rsid w:val="00F40FEC"/>
    <w:rsid w:val="00F41592"/>
    <w:rsid w:val="00F41663"/>
    <w:rsid w:val="00F41AF5"/>
    <w:rsid w:val="00F41E18"/>
    <w:rsid w:val="00F41F49"/>
    <w:rsid w:val="00F42176"/>
    <w:rsid w:val="00F42892"/>
    <w:rsid w:val="00F43199"/>
    <w:rsid w:val="00F4377D"/>
    <w:rsid w:val="00F43D25"/>
    <w:rsid w:val="00F43DA5"/>
    <w:rsid w:val="00F44457"/>
    <w:rsid w:val="00F44A8B"/>
    <w:rsid w:val="00F44B4E"/>
    <w:rsid w:val="00F44EE0"/>
    <w:rsid w:val="00F45348"/>
    <w:rsid w:val="00F45871"/>
    <w:rsid w:val="00F45EF2"/>
    <w:rsid w:val="00F46755"/>
    <w:rsid w:val="00F46761"/>
    <w:rsid w:val="00F46A0B"/>
    <w:rsid w:val="00F46ADE"/>
    <w:rsid w:val="00F46BD7"/>
    <w:rsid w:val="00F471C0"/>
    <w:rsid w:val="00F471FE"/>
    <w:rsid w:val="00F473BA"/>
    <w:rsid w:val="00F4768C"/>
    <w:rsid w:val="00F5016B"/>
    <w:rsid w:val="00F50624"/>
    <w:rsid w:val="00F506A0"/>
    <w:rsid w:val="00F50736"/>
    <w:rsid w:val="00F513C4"/>
    <w:rsid w:val="00F516A1"/>
    <w:rsid w:val="00F517AB"/>
    <w:rsid w:val="00F51B22"/>
    <w:rsid w:val="00F520A0"/>
    <w:rsid w:val="00F52D62"/>
    <w:rsid w:val="00F52FBA"/>
    <w:rsid w:val="00F53403"/>
    <w:rsid w:val="00F53A8A"/>
    <w:rsid w:val="00F546F8"/>
    <w:rsid w:val="00F54756"/>
    <w:rsid w:val="00F549F3"/>
    <w:rsid w:val="00F549FB"/>
    <w:rsid w:val="00F55149"/>
    <w:rsid w:val="00F553A5"/>
    <w:rsid w:val="00F55484"/>
    <w:rsid w:val="00F55FCE"/>
    <w:rsid w:val="00F56292"/>
    <w:rsid w:val="00F56835"/>
    <w:rsid w:val="00F569E4"/>
    <w:rsid w:val="00F56A05"/>
    <w:rsid w:val="00F5736A"/>
    <w:rsid w:val="00F5738B"/>
    <w:rsid w:val="00F574B2"/>
    <w:rsid w:val="00F57B72"/>
    <w:rsid w:val="00F57C1B"/>
    <w:rsid w:val="00F57FF9"/>
    <w:rsid w:val="00F603E8"/>
    <w:rsid w:val="00F604DF"/>
    <w:rsid w:val="00F60A62"/>
    <w:rsid w:val="00F60B83"/>
    <w:rsid w:val="00F61386"/>
    <w:rsid w:val="00F61593"/>
    <w:rsid w:val="00F622A8"/>
    <w:rsid w:val="00F62326"/>
    <w:rsid w:val="00F62376"/>
    <w:rsid w:val="00F62B97"/>
    <w:rsid w:val="00F62FA4"/>
    <w:rsid w:val="00F63C75"/>
    <w:rsid w:val="00F63EFF"/>
    <w:rsid w:val="00F63FCB"/>
    <w:rsid w:val="00F64E0D"/>
    <w:rsid w:val="00F65C50"/>
    <w:rsid w:val="00F65F8E"/>
    <w:rsid w:val="00F66102"/>
    <w:rsid w:val="00F661F0"/>
    <w:rsid w:val="00F6654D"/>
    <w:rsid w:val="00F668A0"/>
    <w:rsid w:val="00F66CDE"/>
    <w:rsid w:val="00F6704B"/>
    <w:rsid w:val="00F67625"/>
    <w:rsid w:val="00F6769B"/>
    <w:rsid w:val="00F67A28"/>
    <w:rsid w:val="00F67C86"/>
    <w:rsid w:val="00F67EFA"/>
    <w:rsid w:val="00F70093"/>
    <w:rsid w:val="00F7029F"/>
    <w:rsid w:val="00F70338"/>
    <w:rsid w:val="00F70800"/>
    <w:rsid w:val="00F70B97"/>
    <w:rsid w:val="00F70DF1"/>
    <w:rsid w:val="00F7123D"/>
    <w:rsid w:val="00F712DA"/>
    <w:rsid w:val="00F71AC8"/>
    <w:rsid w:val="00F71FD3"/>
    <w:rsid w:val="00F720C2"/>
    <w:rsid w:val="00F72203"/>
    <w:rsid w:val="00F72E01"/>
    <w:rsid w:val="00F74F47"/>
    <w:rsid w:val="00F7546C"/>
    <w:rsid w:val="00F755F1"/>
    <w:rsid w:val="00F75AFF"/>
    <w:rsid w:val="00F75DAF"/>
    <w:rsid w:val="00F76672"/>
    <w:rsid w:val="00F76921"/>
    <w:rsid w:val="00F77FE1"/>
    <w:rsid w:val="00F80059"/>
    <w:rsid w:val="00F80196"/>
    <w:rsid w:val="00F80869"/>
    <w:rsid w:val="00F811BA"/>
    <w:rsid w:val="00F81468"/>
    <w:rsid w:val="00F817BE"/>
    <w:rsid w:val="00F817DF"/>
    <w:rsid w:val="00F81E5D"/>
    <w:rsid w:val="00F82FC1"/>
    <w:rsid w:val="00F83C6D"/>
    <w:rsid w:val="00F83DEF"/>
    <w:rsid w:val="00F84271"/>
    <w:rsid w:val="00F84291"/>
    <w:rsid w:val="00F846FF"/>
    <w:rsid w:val="00F847C2"/>
    <w:rsid w:val="00F8480A"/>
    <w:rsid w:val="00F8489C"/>
    <w:rsid w:val="00F84C1A"/>
    <w:rsid w:val="00F84F7D"/>
    <w:rsid w:val="00F85B67"/>
    <w:rsid w:val="00F85D97"/>
    <w:rsid w:val="00F862DD"/>
    <w:rsid w:val="00F86DBF"/>
    <w:rsid w:val="00F8729E"/>
    <w:rsid w:val="00F872E2"/>
    <w:rsid w:val="00F87899"/>
    <w:rsid w:val="00F87932"/>
    <w:rsid w:val="00F87948"/>
    <w:rsid w:val="00F904AF"/>
    <w:rsid w:val="00F905CC"/>
    <w:rsid w:val="00F907FE"/>
    <w:rsid w:val="00F911B7"/>
    <w:rsid w:val="00F91509"/>
    <w:rsid w:val="00F91C2D"/>
    <w:rsid w:val="00F91E6B"/>
    <w:rsid w:val="00F9292B"/>
    <w:rsid w:val="00F9338C"/>
    <w:rsid w:val="00F936A8"/>
    <w:rsid w:val="00F94242"/>
    <w:rsid w:val="00F94539"/>
    <w:rsid w:val="00F94D7B"/>
    <w:rsid w:val="00F952D3"/>
    <w:rsid w:val="00F9564D"/>
    <w:rsid w:val="00F95E2C"/>
    <w:rsid w:val="00F9612A"/>
    <w:rsid w:val="00F96476"/>
    <w:rsid w:val="00F97268"/>
    <w:rsid w:val="00F97312"/>
    <w:rsid w:val="00FA0392"/>
    <w:rsid w:val="00FA0526"/>
    <w:rsid w:val="00FA056F"/>
    <w:rsid w:val="00FA0580"/>
    <w:rsid w:val="00FA0A6A"/>
    <w:rsid w:val="00FA0BE7"/>
    <w:rsid w:val="00FA0E03"/>
    <w:rsid w:val="00FA0EA6"/>
    <w:rsid w:val="00FA14A3"/>
    <w:rsid w:val="00FA169A"/>
    <w:rsid w:val="00FA242F"/>
    <w:rsid w:val="00FA24B9"/>
    <w:rsid w:val="00FA266C"/>
    <w:rsid w:val="00FA2A20"/>
    <w:rsid w:val="00FA2AEF"/>
    <w:rsid w:val="00FA2FBB"/>
    <w:rsid w:val="00FA3A54"/>
    <w:rsid w:val="00FA3E98"/>
    <w:rsid w:val="00FA4564"/>
    <w:rsid w:val="00FA45E6"/>
    <w:rsid w:val="00FA4AE9"/>
    <w:rsid w:val="00FA4BFD"/>
    <w:rsid w:val="00FA518A"/>
    <w:rsid w:val="00FA51B3"/>
    <w:rsid w:val="00FA6159"/>
    <w:rsid w:val="00FA624D"/>
    <w:rsid w:val="00FA69ED"/>
    <w:rsid w:val="00FA6D75"/>
    <w:rsid w:val="00FA6EAD"/>
    <w:rsid w:val="00FA70CC"/>
    <w:rsid w:val="00FA70F0"/>
    <w:rsid w:val="00FA723A"/>
    <w:rsid w:val="00FA7476"/>
    <w:rsid w:val="00FA7666"/>
    <w:rsid w:val="00FA77DE"/>
    <w:rsid w:val="00FA7838"/>
    <w:rsid w:val="00FA7C39"/>
    <w:rsid w:val="00FB07A2"/>
    <w:rsid w:val="00FB08E5"/>
    <w:rsid w:val="00FB0A53"/>
    <w:rsid w:val="00FB133A"/>
    <w:rsid w:val="00FB171B"/>
    <w:rsid w:val="00FB1957"/>
    <w:rsid w:val="00FB22E9"/>
    <w:rsid w:val="00FB2300"/>
    <w:rsid w:val="00FB2303"/>
    <w:rsid w:val="00FB237E"/>
    <w:rsid w:val="00FB305D"/>
    <w:rsid w:val="00FB33A1"/>
    <w:rsid w:val="00FB390B"/>
    <w:rsid w:val="00FB4522"/>
    <w:rsid w:val="00FB4637"/>
    <w:rsid w:val="00FB4933"/>
    <w:rsid w:val="00FB4EDD"/>
    <w:rsid w:val="00FB5942"/>
    <w:rsid w:val="00FB59EC"/>
    <w:rsid w:val="00FB6257"/>
    <w:rsid w:val="00FB6341"/>
    <w:rsid w:val="00FB69CB"/>
    <w:rsid w:val="00FB6A55"/>
    <w:rsid w:val="00FB7658"/>
    <w:rsid w:val="00FB7696"/>
    <w:rsid w:val="00FB7B7F"/>
    <w:rsid w:val="00FB7D65"/>
    <w:rsid w:val="00FC03D7"/>
    <w:rsid w:val="00FC0701"/>
    <w:rsid w:val="00FC1732"/>
    <w:rsid w:val="00FC1CEC"/>
    <w:rsid w:val="00FC1D1D"/>
    <w:rsid w:val="00FC1FB4"/>
    <w:rsid w:val="00FC20DA"/>
    <w:rsid w:val="00FC2292"/>
    <w:rsid w:val="00FC23B0"/>
    <w:rsid w:val="00FC26BE"/>
    <w:rsid w:val="00FC349C"/>
    <w:rsid w:val="00FC3A8D"/>
    <w:rsid w:val="00FC3F05"/>
    <w:rsid w:val="00FC49C4"/>
    <w:rsid w:val="00FC4C2B"/>
    <w:rsid w:val="00FC4DD6"/>
    <w:rsid w:val="00FC50A3"/>
    <w:rsid w:val="00FC581C"/>
    <w:rsid w:val="00FC5953"/>
    <w:rsid w:val="00FC5FCB"/>
    <w:rsid w:val="00FC6064"/>
    <w:rsid w:val="00FC62F9"/>
    <w:rsid w:val="00FC63A5"/>
    <w:rsid w:val="00FC647D"/>
    <w:rsid w:val="00FC655F"/>
    <w:rsid w:val="00FC65D1"/>
    <w:rsid w:val="00FC718B"/>
    <w:rsid w:val="00FC77C6"/>
    <w:rsid w:val="00FC796B"/>
    <w:rsid w:val="00FC7CCE"/>
    <w:rsid w:val="00FD0897"/>
    <w:rsid w:val="00FD0A87"/>
    <w:rsid w:val="00FD13CC"/>
    <w:rsid w:val="00FD1562"/>
    <w:rsid w:val="00FD228E"/>
    <w:rsid w:val="00FD22A1"/>
    <w:rsid w:val="00FD2DB0"/>
    <w:rsid w:val="00FD2F30"/>
    <w:rsid w:val="00FD356A"/>
    <w:rsid w:val="00FD3606"/>
    <w:rsid w:val="00FD39CB"/>
    <w:rsid w:val="00FD4096"/>
    <w:rsid w:val="00FD410D"/>
    <w:rsid w:val="00FD45BA"/>
    <w:rsid w:val="00FD4CD7"/>
    <w:rsid w:val="00FD54B0"/>
    <w:rsid w:val="00FD552F"/>
    <w:rsid w:val="00FD59AE"/>
    <w:rsid w:val="00FD5F89"/>
    <w:rsid w:val="00FD615E"/>
    <w:rsid w:val="00FD66E1"/>
    <w:rsid w:val="00FD67BA"/>
    <w:rsid w:val="00FD6B21"/>
    <w:rsid w:val="00FD6EF6"/>
    <w:rsid w:val="00FD70F3"/>
    <w:rsid w:val="00FD748D"/>
    <w:rsid w:val="00FD75EC"/>
    <w:rsid w:val="00FD7A2B"/>
    <w:rsid w:val="00FD7E43"/>
    <w:rsid w:val="00FE025D"/>
    <w:rsid w:val="00FE0529"/>
    <w:rsid w:val="00FE08DC"/>
    <w:rsid w:val="00FE0947"/>
    <w:rsid w:val="00FE09E4"/>
    <w:rsid w:val="00FE09F8"/>
    <w:rsid w:val="00FE0A4E"/>
    <w:rsid w:val="00FE0BA7"/>
    <w:rsid w:val="00FE1089"/>
    <w:rsid w:val="00FE1500"/>
    <w:rsid w:val="00FE177F"/>
    <w:rsid w:val="00FE2175"/>
    <w:rsid w:val="00FE229D"/>
    <w:rsid w:val="00FE248C"/>
    <w:rsid w:val="00FE24AF"/>
    <w:rsid w:val="00FE27EC"/>
    <w:rsid w:val="00FE2D23"/>
    <w:rsid w:val="00FE31EE"/>
    <w:rsid w:val="00FE32D9"/>
    <w:rsid w:val="00FE331C"/>
    <w:rsid w:val="00FE335B"/>
    <w:rsid w:val="00FE383B"/>
    <w:rsid w:val="00FE3850"/>
    <w:rsid w:val="00FE394E"/>
    <w:rsid w:val="00FE3D11"/>
    <w:rsid w:val="00FE3E15"/>
    <w:rsid w:val="00FE52F0"/>
    <w:rsid w:val="00FE530E"/>
    <w:rsid w:val="00FE57FD"/>
    <w:rsid w:val="00FE64E3"/>
    <w:rsid w:val="00FE6627"/>
    <w:rsid w:val="00FE662B"/>
    <w:rsid w:val="00FE6D8A"/>
    <w:rsid w:val="00FE711B"/>
    <w:rsid w:val="00FE713E"/>
    <w:rsid w:val="00FE72BE"/>
    <w:rsid w:val="00FE7359"/>
    <w:rsid w:val="00FE7A46"/>
    <w:rsid w:val="00FE7E94"/>
    <w:rsid w:val="00FF0349"/>
    <w:rsid w:val="00FF03DF"/>
    <w:rsid w:val="00FF0669"/>
    <w:rsid w:val="00FF0AE9"/>
    <w:rsid w:val="00FF0C81"/>
    <w:rsid w:val="00FF1124"/>
    <w:rsid w:val="00FF1276"/>
    <w:rsid w:val="00FF12D0"/>
    <w:rsid w:val="00FF1324"/>
    <w:rsid w:val="00FF156E"/>
    <w:rsid w:val="00FF15C8"/>
    <w:rsid w:val="00FF16C2"/>
    <w:rsid w:val="00FF2072"/>
    <w:rsid w:val="00FF26B4"/>
    <w:rsid w:val="00FF2CC8"/>
    <w:rsid w:val="00FF2E87"/>
    <w:rsid w:val="00FF30C8"/>
    <w:rsid w:val="00FF38C9"/>
    <w:rsid w:val="00FF3AE3"/>
    <w:rsid w:val="00FF3E1F"/>
    <w:rsid w:val="00FF42FA"/>
    <w:rsid w:val="00FF45D9"/>
    <w:rsid w:val="00FF4937"/>
    <w:rsid w:val="00FF4ABE"/>
    <w:rsid w:val="00FF4B42"/>
    <w:rsid w:val="00FF5174"/>
    <w:rsid w:val="00FF55D9"/>
    <w:rsid w:val="00FF56EA"/>
    <w:rsid w:val="00FF570A"/>
    <w:rsid w:val="00FF6272"/>
    <w:rsid w:val="00FF66F0"/>
    <w:rsid w:val="00FF6BE9"/>
    <w:rsid w:val="00FF6C24"/>
    <w:rsid w:val="00FF7002"/>
    <w:rsid w:val="00FF707F"/>
    <w:rsid w:val="00FF7251"/>
    <w:rsid w:val="00FF7C70"/>
    <w:rsid w:val="01DCBDE2"/>
    <w:rsid w:val="0C96888F"/>
    <w:rsid w:val="0F23B100"/>
    <w:rsid w:val="109B7665"/>
    <w:rsid w:val="14A73CF3"/>
    <w:rsid w:val="18339E4D"/>
    <w:rsid w:val="1C11D91C"/>
    <w:rsid w:val="1C6FBD4C"/>
    <w:rsid w:val="1F93A05C"/>
    <w:rsid w:val="29BD7D6C"/>
    <w:rsid w:val="2BEAEB4F"/>
    <w:rsid w:val="2EA3B49F"/>
    <w:rsid w:val="32B15569"/>
    <w:rsid w:val="350863A0"/>
    <w:rsid w:val="35A62002"/>
    <w:rsid w:val="367FA643"/>
    <w:rsid w:val="374050FE"/>
    <w:rsid w:val="3866A2B5"/>
    <w:rsid w:val="388A33CE"/>
    <w:rsid w:val="3B85949F"/>
    <w:rsid w:val="43C6AFD6"/>
    <w:rsid w:val="44A20123"/>
    <w:rsid w:val="4A921D58"/>
    <w:rsid w:val="4AD34508"/>
    <w:rsid w:val="4C069D62"/>
    <w:rsid w:val="4CAE6ECF"/>
    <w:rsid w:val="593E4313"/>
    <w:rsid w:val="5AE0CC6D"/>
    <w:rsid w:val="5E46C3AF"/>
    <w:rsid w:val="6579C34F"/>
    <w:rsid w:val="67AD899F"/>
    <w:rsid w:val="68930DE8"/>
    <w:rsid w:val="6BAD1972"/>
    <w:rsid w:val="6F852DC5"/>
    <w:rsid w:val="70C3FAF8"/>
    <w:rsid w:val="70F67A28"/>
    <w:rsid w:val="71E8B156"/>
    <w:rsid w:val="720140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C2BB"/>
  <w15:chartTrackingRefBased/>
  <w15:docId w15:val="{27411C21-8302-40DD-8DD1-4547253A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rsid w:val="005A350F"/>
    <w:pPr>
      <w:widowControl w:val="0"/>
      <w:jc w:val="both"/>
    </w:pPr>
    <w:rPr>
      <w:rFonts w:ascii="Times New Roman" w:hAnsi="Times New Roman"/>
      <w:kern w:val="2"/>
      <w:sz w:val="21"/>
      <w:szCs w:val="24"/>
    </w:rPr>
  </w:style>
  <w:style w:type="paragraph" w:styleId="1">
    <w:name w:val="heading 1"/>
    <w:basedOn w:val="a"/>
    <w:next w:val="a"/>
    <w:link w:val="10"/>
    <w:qFormat/>
    <w:rsid w:val="00E75E92"/>
    <w:pPr>
      <w:keepNext/>
      <w:keepLines/>
      <w:spacing w:before="340" w:after="330" w:line="578" w:lineRule="auto"/>
      <w:outlineLvl w:val="0"/>
    </w:pPr>
    <w:rPr>
      <w:b/>
      <w:bCs/>
      <w:kern w:val="44"/>
      <w:sz w:val="44"/>
      <w:szCs w:val="44"/>
      <w:lang w:val="x-none" w:eastAsia="x-none"/>
    </w:rPr>
  </w:style>
  <w:style w:type="paragraph" w:styleId="3">
    <w:name w:val="heading 3"/>
    <w:basedOn w:val="a"/>
    <w:next w:val="a"/>
    <w:link w:val="30"/>
    <w:qFormat/>
    <w:rsid w:val="00E75E92"/>
    <w:pPr>
      <w:keepNext/>
      <w:keepLines/>
      <w:spacing w:before="260" w:after="260" w:line="416" w:lineRule="auto"/>
      <w:outlineLvl w:val="2"/>
    </w:pPr>
    <w:rPr>
      <w:b/>
      <w:bCs/>
      <w:kern w:val="0"/>
      <w:sz w:val="32"/>
      <w:szCs w:val="32"/>
      <w:lang w:val="x-none" w:eastAsia="x-none"/>
    </w:rPr>
  </w:style>
  <w:style w:type="paragraph" w:styleId="4">
    <w:name w:val="heading 4"/>
    <w:basedOn w:val="a"/>
    <w:next w:val="a"/>
    <w:link w:val="40"/>
    <w:uiPriority w:val="9"/>
    <w:semiHidden/>
    <w:unhideWhenUsed/>
    <w:qFormat/>
    <w:rsid w:val="00EB744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E75E92"/>
    <w:rPr>
      <w:rFonts w:ascii="Times New Roman" w:eastAsia="宋体" w:hAnsi="Times New Roman" w:cs="Times New Roman"/>
      <w:b/>
      <w:bCs/>
      <w:kern w:val="44"/>
      <w:sz w:val="44"/>
      <w:szCs w:val="44"/>
    </w:rPr>
  </w:style>
  <w:style w:type="character" w:customStyle="1" w:styleId="30">
    <w:name w:val="标题 3 字符"/>
    <w:link w:val="3"/>
    <w:rsid w:val="00E75E92"/>
    <w:rPr>
      <w:rFonts w:ascii="Times New Roman" w:eastAsia="宋体" w:hAnsi="Times New Roman" w:cs="Times New Roman"/>
      <w:b/>
      <w:bCs/>
      <w:sz w:val="32"/>
      <w:szCs w:val="32"/>
    </w:rPr>
  </w:style>
  <w:style w:type="character" w:customStyle="1" w:styleId="40">
    <w:name w:val="标题 4 字符"/>
    <w:basedOn w:val="a0"/>
    <w:link w:val="4"/>
    <w:uiPriority w:val="9"/>
    <w:semiHidden/>
    <w:rsid w:val="00EB7441"/>
    <w:rPr>
      <w:rFonts w:asciiTheme="majorHAnsi" w:eastAsiaTheme="majorEastAsia" w:hAnsiTheme="majorHAnsi" w:cstheme="majorBidi"/>
      <w:b/>
      <w:bCs/>
      <w:kern w:val="2"/>
      <w:sz w:val="28"/>
      <w:szCs w:val="28"/>
    </w:rPr>
  </w:style>
  <w:style w:type="paragraph" w:styleId="a3">
    <w:name w:val="footer"/>
    <w:basedOn w:val="a"/>
    <w:link w:val="a4"/>
    <w:uiPriority w:val="99"/>
    <w:unhideWhenUsed/>
    <w:rsid w:val="00F84C1A"/>
    <w:pPr>
      <w:tabs>
        <w:tab w:val="center" w:pos="4680"/>
        <w:tab w:val="right" w:pos="9360"/>
      </w:tabs>
    </w:pPr>
  </w:style>
  <w:style w:type="character" w:customStyle="1" w:styleId="a4">
    <w:name w:val="页脚 字符"/>
    <w:basedOn w:val="a0"/>
    <w:link w:val="a3"/>
    <w:uiPriority w:val="99"/>
    <w:semiHidden/>
    <w:rsid w:val="00AC7FE6"/>
    <w:rPr>
      <w:rFonts w:ascii="Times New Roman" w:hAnsi="Times New Roman"/>
      <w:kern w:val="2"/>
      <w:sz w:val="21"/>
      <w:szCs w:val="24"/>
    </w:rPr>
  </w:style>
  <w:style w:type="character" w:customStyle="1" w:styleId="FooterChar">
    <w:name w:val="Footer Char"/>
    <w:uiPriority w:val="99"/>
    <w:rsid w:val="00E75E92"/>
    <w:rPr>
      <w:rFonts w:ascii="Times New Roman" w:eastAsia="宋体" w:hAnsi="Times New Roman" w:cs="Times New Roman"/>
      <w:sz w:val="18"/>
      <w:szCs w:val="18"/>
    </w:rPr>
  </w:style>
  <w:style w:type="character" w:styleId="a5">
    <w:name w:val="Hyperlink"/>
    <w:uiPriority w:val="99"/>
    <w:rsid w:val="00E75E92"/>
    <w:rPr>
      <w:color w:val="0000FF"/>
      <w:u w:val="single"/>
    </w:rPr>
  </w:style>
  <w:style w:type="table" w:styleId="a6">
    <w:name w:val="Table Grid"/>
    <w:basedOn w:val="a1"/>
    <w:rsid w:val="00E75E9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rsid w:val="00E75E92"/>
    <w:pPr>
      <w:widowControl/>
      <w:spacing w:before="100" w:beforeAutospacing="1" w:after="100" w:afterAutospacing="1"/>
      <w:jc w:val="left"/>
    </w:pPr>
    <w:rPr>
      <w:rFonts w:ascii="宋体" w:hAnsi="宋体" w:cs="宋体"/>
      <w:kern w:val="0"/>
      <w:sz w:val="24"/>
    </w:rPr>
  </w:style>
  <w:style w:type="paragraph" w:styleId="a8">
    <w:name w:val="header"/>
    <w:basedOn w:val="a"/>
    <w:link w:val="a9"/>
    <w:uiPriority w:val="99"/>
    <w:unhideWhenUsed/>
    <w:rsid w:val="00F84C1A"/>
    <w:pPr>
      <w:tabs>
        <w:tab w:val="center" w:pos="4680"/>
        <w:tab w:val="right" w:pos="9360"/>
      </w:tabs>
    </w:pPr>
  </w:style>
  <w:style w:type="character" w:customStyle="1" w:styleId="a9">
    <w:name w:val="页眉 字符"/>
    <w:basedOn w:val="a0"/>
    <w:link w:val="a8"/>
    <w:uiPriority w:val="99"/>
    <w:semiHidden/>
    <w:rsid w:val="00AC7FE6"/>
    <w:rPr>
      <w:rFonts w:ascii="Times New Roman" w:hAnsi="Times New Roman"/>
      <w:kern w:val="2"/>
      <w:sz w:val="21"/>
      <w:szCs w:val="24"/>
    </w:rPr>
  </w:style>
  <w:style w:type="character" w:customStyle="1" w:styleId="HeaderChar">
    <w:name w:val="Header Char"/>
    <w:uiPriority w:val="99"/>
    <w:rsid w:val="00E75E92"/>
    <w:rPr>
      <w:rFonts w:ascii="Times New Roman" w:eastAsia="宋体" w:hAnsi="Times New Roman" w:cs="Times New Roman"/>
      <w:sz w:val="18"/>
      <w:szCs w:val="18"/>
    </w:rPr>
  </w:style>
  <w:style w:type="paragraph" w:customStyle="1" w:styleId="aa">
    <w:name w:val="列出段落"/>
    <w:basedOn w:val="a"/>
    <w:uiPriority w:val="34"/>
    <w:qFormat/>
    <w:rsid w:val="00E75E92"/>
    <w:pPr>
      <w:ind w:firstLineChars="200" w:firstLine="420"/>
    </w:pPr>
  </w:style>
  <w:style w:type="paragraph" w:styleId="TOC">
    <w:name w:val="TOC Heading"/>
    <w:basedOn w:val="1"/>
    <w:next w:val="a"/>
    <w:uiPriority w:val="39"/>
    <w:qFormat/>
    <w:rsid w:val="00E75E92"/>
    <w:pPr>
      <w:widowControl/>
      <w:spacing w:before="480" w:after="0" w:line="276" w:lineRule="auto"/>
      <w:jc w:val="left"/>
      <w:outlineLvl w:val="9"/>
    </w:pPr>
    <w:rPr>
      <w:rFonts w:ascii="Cambria" w:hAnsi="Cambria"/>
      <w:color w:val="365F91"/>
      <w:kern w:val="0"/>
      <w:sz w:val="28"/>
      <w:szCs w:val="28"/>
      <w:lang w:eastAsia="en-US"/>
    </w:rPr>
  </w:style>
  <w:style w:type="paragraph" w:customStyle="1" w:styleId="11">
    <w:name w:val="目录 1"/>
    <w:basedOn w:val="a"/>
    <w:next w:val="a"/>
    <w:autoRedefine/>
    <w:uiPriority w:val="39"/>
    <w:unhideWhenUsed/>
    <w:rsid w:val="00E75E92"/>
    <w:pPr>
      <w:tabs>
        <w:tab w:val="right" w:leader="dot" w:pos="8302"/>
      </w:tabs>
      <w:spacing w:line="360" w:lineRule="auto"/>
    </w:pPr>
  </w:style>
  <w:style w:type="paragraph" w:customStyle="1" w:styleId="31">
    <w:name w:val="目录 3"/>
    <w:basedOn w:val="a"/>
    <w:next w:val="a"/>
    <w:autoRedefine/>
    <w:uiPriority w:val="39"/>
    <w:unhideWhenUsed/>
    <w:rsid w:val="00E75E92"/>
    <w:pPr>
      <w:ind w:leftChars="400" w:left="840"/>
    </w:pPr>
  </w:style>
  <w:style w:type="character" w:styleId="ab">
    <w:name w:val="Strong"/>
    <w:uiPriority w:val="22"/>
    <w:qFormat/>
    <w:rsid w:val="001C41C0"/>
    <w:rPr>
      <w:b/>
      <w:bCs/>
    </w:rPr>
  </w:style>
  <w:style w:type="character" w:customStyle="1" w:styleId="apple-style-span">
    <w:name w:val="apple-style-span"/>
    <w:basedOn w:val="a0"/>
    <w:rsid w:val="001C41C0"/>
  </w:style>
  <w:style w:type="character" w:styleId="ac">
    <w:name w:val="annotation reference"/>
    <w:uiPriority w:val="99"/>
    <w:rsid w:val="00F35FD4"/>
    <w:rPr>
      <w:sz w:val="21"/>
      <w:szCs w:val="21"/>
    </w:rPr>
  </w:style>
  <w:style w:type="paragraph" w:styleId="ad">
    <w:name w:val="annotation text"/>
    <w:basedOn w:val="a"/>
    <w:link w:val="ae"/>
    <w:uiPriority w:val="99"/>
    <w:rsid w:val="00F35FD4"/>
    <w:pPr>
      <w:jc w:val="left"/>
    </w:pPr>
  </w:style>
  <w:style w:type="paragraph" w:styleId="af">
    <w:name w:val="annotation subject"/>
    <w:basedOn w:val="ad"/>
    <w:next w:val="ad"/>
    <w:semiHidden/>
    <w:rsid w:val="00F35FD4"/>
    <w:rPr>
      <w:b/>
      <w:bCs/>
    </w:rPr>
  </w:style>
  <w:style w:type="character" w:styleId="af0">
    <w:name w:val="FollowedHyperlink"/>
    <w:aliases w:val="已访问的超链接"/>
    <w:rsid w:val="0056108E"/>
    <w:rPr>
      <w:color w:val="800080"/>
      <w:u w:val="single"/>
    </w:rPr>
  </w:style>
  <w:style w:type="paragraph" w:styleId="af1">
    <w:name w:val="Body Text"/>
    <w:basedOn w:val="a"/>
    <w:rsid w:val="00E2502A"/>
    <w:pPr>
      <w:spacing w:after="120"/>
    </w:pPr>
  </w:style>
  <w:style w:type="character" w:styleId="af2">
    <w:name w:val="page number"/>
    <w:basedOn w:val="a0"/>
    <w:rsid w:val="00EB0181"/>
  </w:style>
  <w:style w:type="paragraph" w:styleId="af3">
    <w:name w:val="Revision"/>
    <w:hidden/>
    <w:uiPriority w:val="99"/>
    <w:semiHidden/>
    <w:rsid w:val="00783479"/>
    <w:rPr>
      <w:rFonts w:ascii="Times New Roman" w:hAnsi="Times New Roman"/>
      <w:kern w:val="2"/>
      <w:sz w:val="21"/>
      <w:szCs w:val="24"/>
    </w:rPr>
  </w:style>
  <w:style w:type="paragraph" w:customStyle="1" w:styleId="Default">
    <w:name w:val="Default"/>
    <w:rsid w:val="00FA51B3"/>
    <w:pPr>
      <w:widowControl w:val="0"/>
      <w:autoSpaceDE w:val="0"/>
      <w:autoSpaceDN w:val="0"/>
      <w:adjustRightInd w:val="0"/>
    </w:pPr>
    <w:rPr>
      <w:rFonts w:ascii="宋体" w:cs="宋体"/>
      <w:color w:val="000000"/>
      <w:sz w:val="24"/>
      <w:szCs w:val="24"/>
    </w:rPr>
  </w:style>
  <w:style w:type="character" w:customStyle="1" w:styleId="005Char">
    <w:name w:val="005正文 Char"/>
    <w:link w:val="005"/>
    <w:qFormat/>
    <w:rsid w:val="003C4302"/>
    <w:rPr>
      <w:kern w:val="2"/>
      <w:sz w:val="24"/>
      <w:szCs w:val="22"/>
    </w:rPr>
  </w:style>
  <w:style w:type="paragraph" w:customStyle="1" w:styleId="005">
    <w:name w:val="005正文"/>
    <w:basedOn w:val="a"/>
    <w:link w:val="005Char"/>
    <w:rsid w:val="003C4302"/>
    <w:pPr>
      <w:spacing w:beforeLines="50" w:line="360" w:lineRule="auto"/>
      <w:ind w:firstLineChars="200" w:firstLine="200"/>
    </w:pPr>
    <w:rPr>
      <w:rFonts w:ascii="Calibri" w:hAnsi="Calibri"/>
      <w:sz w:val="24"/>
      <w:szCs w:val="22"/>
    </w:rPr>
  </w:style>
  <w:style w:type="character" w:customStyle="1" w:styleId="apple-converted-space">
    <w:name w:val="apple-converted-space"/>
    <w:rsid w:val="000737D7"/>
  </w:style>
  <w:style w:type="paragraph" w:styleId="af4">
    <w:name w:val="List Paragraph"/>
    <w:basedOn w:val="a"/>
    <w:uiPriority w:val="34"/>
    <w:qFormat/>
    <w:rsid w:val="00E8344E"/>
    <w:pPr>
      <w:ind w:firstLineChars="200" w:firstLine="420"/>
    </w:pPr>
  </w:style>
  <w:style w:type="character" w:styleId="af5">
    <w:name w:val="Mention"/>
    <w:basedOn w:val="a0"/>
    <w:uiPriority w:val="99"/>
    <w:unhideWhenUsed/>
    <w:rsid w:val="00BF2D76"/>
    <w:rPr>
      <w:color w:val="2B579A"/>
      <w:shd w:val="clear" w:color="auto" w:fill="E1DFDD"/>
    </w:rPr>
  </w:style>
  <w:style w:type="character" w:styleId="af6">
    <w:name w:val="Unresolved Mention"/>
    <w:basedOn w:val="a0"/>
    <w:uiPriority w:val="99"/>
    <w:semiHidden/>
    <w:unhideWhenUsed/>
    <w:rsid w:val="004B1EEE"/>
    <w:rPr>
      <w:color w:val="605E5C"/>
      <w:shd w:val="clear" w:color="auto" w:fill="E1DFDD"/>
    </w:rPr>
  </w:style>
  <w:style w:type="character" w:customStyle="1" w:styleId="af7">
    <w:name w:val="正文文本_"/>
    <w:basedOn w:val="a0"/>
    <w:link w:val="12"/>
    <w:rsid w:val="000418CC"/>
    <w:rPr>
      <w:rFonts w:ascii="Arial" w:eastAsia="Arial" w:hAnsi="Arial" w:cs="Arial"/>
    </w:rPr>
  </w:style>
  <w:style w:type="paragraph" w:customStyle="1" w:styleId="12">
    <w:name w:val="正文文本1"/>
    <w:basedOn w:val="a"/>
    <w:link w:val="af7"/>
    <w:rsid w:val="000418CC"/>
    <w:pPr>
      <w:spacing w:after="260" w:line="276" w:lineRule="auto"/>
      <w:jc w:val="left"/>
    </w:pPr>
    <w:rPr>
      <w:rFonts w:ascii="Arial" w:eastAsia="Arial" w:hAnsi="Arial" w:cs="Arial"/>
      <w:kern w:val="0"/>
      <w:sz w:val="20"/>
      <w:szCs w:val="20"/>
    </w:rPr>
  </w:style>
  <w:style w:type="character" w:customStyle="1" w:styleId="6">
    <w:name w:val="正文文本 (6)_"/>
    <w:basedOn w:val="a0"/>
    <w:link w:val="60"/>
    <w:rsid w:val="00457543"/>
    <w:rPr>
      <w:rFonts w:ascii="Times New Roman" w:eastAsia="Times New Roman" w:hAnsi="Times New Roman"/>
      <w:color w:val="A6A6A6"/>
      <w:sz w:val="16"/>
      <w:szCs w:val="16"/>
    </w:rPr>
  </w:style>
  <w:style w:type="paragraph" w:customStyle="1" w:styleId="60">
    <w:name w:val="正文文本 (6)"/>
    <w:basedOn w:val="a"/>
    <w:link w:val="6"/>
    <w:rsid w:val="00457543"/>
    <w:pPr>
      <w:spacing w:after="820"/>
      <w:jc w:val="left"/>
    </w:pPr>
    <w:rPr>
      <w:rFonts w:eastAsia="Times New Roman"/>
      <w:color w:val="A6A6A6"/>
      <w:kern w:val="0"/>
      <w:sz w:val="16"/>
      <w:szCs w:val="16"/>
    </w:rPr>
  </w:style>
  <w:style w:type="character" w:customStyle="1" w:styleId="DateChar1">
    <w:name w:val="Date Char1"/>
    <w:basedOn w:val="a0"/>
    <w:semiHidden/>
    <w:rsid w:val="00AC7FE6"/>
    <w:rPr>
      <w:rFonts w:ascii="Times New Roman" w:hAnsi="Times New Roman"/>
      <w:kern w:val="2"/>
      <w:sz w:val="21"/>
      <w:szCs w:val="24"/>
    </w:rPr>
  </w:style>
  <w:style w:type="character" w:customStyle="1" w:styleId="BodyTextIndent2Char1">
    <w:name w:val="Body Text Indent 2 Char1"/>
    <w:basedOn w:val="a0"/>
    <w:semiHidden/>
    <w:rsid w:val="00AC7FE6"/>
    <w:rPr>
      <w:rFonts w:ascii="Times New Roman" w:hAnsi="Times New Roman"/>
      <w:kern w:val="2"/>
      <w:sz w:val="21"/>
      <w:szCs w:val="24"/>
    </w:rPr>
  </w:style>
  <w:style w:type="character" w:customStyle="1" w:styleId="BodyTextIndentChar1">
    <w:name w:val="Body Text Indent Char1"/>
    <w:basedOn w:val="a0"/>
    <w:semiHidden/>
    <w:rsid w:val="00AC7FE6"/>
    <w:rPr>
      <w:rFonts w:ascii="Times New Roman" w:hAnsi="Times New Roman"/>
      <w:kern w:val="2"/>
      <w:sz w:val="21"/>
      <w:szCs w:val="24"/>
    </w:rPr>
  </w:style>
  <w:style w:type="character" w:customStyle="1" w:styleId="BodyTextIndent3Char1">
    <w:name w:val="Body Text Indent 3 Char1"/>
    <w:basedOn w:val="a0"/>
    <w:semiHidden/>
    <w:rsid w:val="00AC7FE6"/>
    <w:rPr>
      <w:rFonts w:ascii="Times New Roman" w:hAnsi="Times New Roman"/>
      <w:kern w:val="2"/>
      <w:sz w:val="16"/>
      <w:szCs w:val="16"/>
    </w:rPr>
  </w:style>
  <w:style w:type="character" w:customStyle="1" w:styleId="HTMLPreformattedChar1">
    <w:name w:val="HTML Preformatted Char1"/>
    <w:basedOn w:val="a0"/>
    <w:semiHidden/>
    <w:rsid w:val="00AC7FE6"/>
    <w:rPr>
      <w:rFonts w:ascii="Consolas" w:hAnsi="Consolas"/>
      <w:kern w:val="2"/>
    </w:rPr>
  </w:style>
  <w:style w:type="character" w:customStyle="1" w:styleId="BalloonTextChar1">
    <w:name w:val="Balloon Text Char1"/>
    <w:basedOn w:val="a0"/>
    <w:semiHidden/>
    <w:rsid w:val="00AC7FE6"/>
    <w:rPr>
      <w:rFonts w:ascii="Segoe UI" w:hAnsi="Segoe UI" w:cs="Segoe UI"/>
      <w:kern w:val="2"/>
      <w:sz w:val="18"/>
      <w:szCs w:val="18"/>
    </w:rPr>
  </w:style>
  <w:style w:type="character" w:customStyle="1" w:styleId="DocumentMapChar1">
    <w:name w:val="Document Map Char1"/>
    <w:basedOn w:val="a0"/>
    <w:uiPriority w:val="99"/>
    <w:semiHidden/>
    <w:rsid w:val="00AC7FE6"/>
    <w:rPr>
      <w:rFonts w:ascii="Segoe UI" w:hAnsi="Segoe UI" w:cs="Segoe UI"/>
      <w:kern w:val="2"/>
      <w:sz w:val="16"/>
      <w:szCs w:val="16"/>
    </w:rPr>
  </w:style>
  <w:style w:type="character" w:customStyle="1" w:styleId="ae">
    <w:name w:val="批注文字 字符"/>
    <w:basedOn w:val="a0"/>
    <w:link w:val="ad"/>
    <w:uiPriority w:val="99"/>
    <w:rsid w:val="004823D1"/>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2282</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上海证券交易所</vt:lpstr>
    </vt:vector>
  </TitlesOfParts>
  <Company>Hewlett-Packard Company</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上海证券交易所</dc:title>
  <dc:subject/>
  <dc:creator>user</dc:creator>
  <cp:keywords/>
  <cp:lastModifiedBy>Xiangkun Wang</cp:lastModifiedBy>
  <cp:revision>2</cp:revision>
  <cp:lastPrinted>2012-11-24T09:56:00Z</cp:lastPrinted>
  <dcterms:created xsi:type="dcterms:W3CDTF">2026-08-07T07:13:00Z</dcterms:created>
  <dcterms:modified xsi:type="dcterms:W3CDTF">2026-08-07T07:13:00Z</dcterms:modified>
</cp:coreProperties>
</file>