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E2" w:rsidRDefault="00FD75B6">
      <w:pPr>
        <w:keepNext/>
        <w:keepLines/>
        <w:spacing w:before="260" w:after="260" w:line="360" w:lineRule="auto"/>
        <w:jc w:val="center"/>
        <w:outlineLvl w:val="1"/>
        <w:rPr>
          <w:rFonts w:ascii="宋体" w:eastAsia="宋体" w:hAnsi="宋体" w:cs="Times New Roman"/>
          <w:b/>
          <w:bCs/>
          <w:iCs/>
          <w:sz w:val="24"/>
          <w:szCs w:val="24"/>
        </w:rPr>
      </w:pPr>
      <w:r>
        <w:rPr>
          <w:rFonts w:ascii="宋体" w:eastAsia="宋体" w:hAnsi="宋体" w:cs="Times New Roman" w:hint="eastAsia"/>
          <w:b/>
          <w:bCs/>
          <w:iCs/>
          <w:sz w:val="24"/>
          <w:szCs w:val="24"/>
        </w:rPr>
        <w:t>证券代码：688</w:t>
      </w:r>
      <w:r>
        <w:rPr>
          <w:rFonts w:ascii="宋体" w:eastAsia="宋体" w:hAnsi="宋体" w:cs="Times New Roman"/>
          <w:b/>
          <w:bCs/>
          <w:iCs/>
          <w:sz w:val="24"/>
          <w:szCs w:val="24"/>
        </w:rPr>
        <w:t>577</w:t>
      </w:r>
      <w:r>
        <w:rPr>
          <w:rFonts w:ascii="宋体" w:eastAsia="宋体" w:hAnsi="宋体" w:cs="Times New Roman" w:hint="eastAsia"/>
          <w:b/>
          <w:bCs/>
          <w:iCs/>
          <w:sz w:val="24"/>
          <w:szCs w:val="24"/>
        </w:rPr>
        <w:t xml:space="preserve">            </w:t>
      </w:r>
      <w:r>
        <w:rPr>
          <w:rFonts w:ascii="宋体" w:eastAsia="宋体" w:hAnsi="宋体" w:cs="Times New Roman"/>
          <w:b/>
          <w:bCs/>
          <w:iCs/>
          <w:sz w:val="24"/>
          <w:szCs w:val="24"/>
        </w:rPr>
        <w:t xml:space="preserve">  </w:t>
      </w:r>
      <w:r>
        <w:rPr>
          <w:rFonts w:ascii="宋体" w:eastAsia="宋体" w:hAnsi="宋体" w:cs="Times New Roman" w:hint="eastAsia"/>
          <w:b/>
          <w:bCs/>
          <w:iCs/>
          <w:sz w:val="24"/>
          <w:szCs w:val="24"/>
        </w:rPr>
        <w:t xml:space="preserve">             证券简称：浙海德曼</w:t>
      </w:r>
    </w:p>
    <w:p w:rsidR="00DB0BE2" w:rsidRDefault="00FD75B6">
      <w:pPr>
        <w:keepNext/>
        <w:keepLines/>
        <w:spacing w:before="260" w:after="260" w:line="360" w:lineRule="auto"/>
        <w:jc w:val="center"/>
        <w:outlineLvl w:val="1"/>
        <w:rPr>
          <w:rFonts w:ascii="宋体" w:eastAsia="宋体" w:hAnsi="宋体" w:cs="Times New Roman"/>
          <w:b/>
          <w:bCs/>
          <w:iCs/>
          <w:sz w:val="24"/>
          <w:szCs w:val="24"/>
        </w:rPr>
      </w:pPr>
      <w:r>
        <w:rPr>
          <w:b/>
          <w:bCs/>
          <w:noProof/>
          <w:sz w:val="30"/>
          <w:szCs w:val="30"/>
        </w:rPr>
        <w:drawing>
          <wp:inline distT="0" distB="0" distL="0" distR="0">
            <wp:extent cx="2790825" cy="596265"/>
            <wp:effectExtent l="19050" t="0" r="9158" b="0"/>
            <wp:docPr id="1" name="图片 1" descr="7c469db35eacef598dc68b5cef8a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c469db35eacef598dc68b5cef8a9d6"/>
                    <pic:cNvPicPr>
                      <a:picLocks noChangeAspect="1" noChangeArrowheads="1"/>
                    </pic:cNvPicPr>
                  </pic:nvPicPr>
                  <pic:blipFill>
                    <a:blip r:embed="rId7" cstate="print"/>
                    <a:srcRect/>
                    <a:stretch>
                      <a:fillRect/>
                    </a:stretch>
                  </pic:blipFill>
                  <pic:spPr>
                    <a:xfrm>
                      <a:off x="0" y="0"/>
                      <a:ext cx="2809900" cy="600345"/>
                    </a:xfrm>
                    <a:prstGeom prst="rect">
                      <a:avLst/>
                    </a:prstGeom>
                    <a:noFill/>
                    <a:ln w="9525">
                      <a:noFill/>
                      <a:miter lim="800000"/>
                      <a:headEnd/>
                      <a:tailEnd/>
                    </a:ln>
                  </pic:spPr>
                </pic:pic>
              </a:graphicData>
            </a:graphic>
          </wp:inline>
        </w:drawing>
      </w:r>
    </w:p>
    <w:p w:rsidR="00DB0BE2" w:rsidRDefault="00FD75B6">
      <w:pPr>
        <w:keepNext/>
        <w:keepLines/>
        <w:spacing w:before="260" w:after="260" w:line="360" w:lineRule="auto"/>
        <w:jc w:val="center"/>
        <w:outlineLvl w:val="1"/>
        <w:rPr>
          <w:rFonts w:ascii="宋体" w:eastAsia="宋体" w:hAnsi="宋体" w:cs="Times New Roman"/>
          <w:b/>
          <w:bCs/>
          <w:sz w:val="30"/>
          <w:szCs w:val="30"/>
        </w:rPr>
      </w:pPr>
      <w:r>
        <w:rPr>
          <w:rFonts w:ascii="宋体" w:eastAsia="宋体" w:hAnsi="宋体" w:cs="Times New Roman" w:hint="eastAsia"/>
          <w:b/>
          <w:bCs/>
          <w:sz w:val="30"/>
          <w:szCs w:val="30"/>
        </w:rPr>
        <w:t>浙江海德曼智能装备股份有限公司投资者关系活动记录表</w:t>
      </w:r>
    </w:p>
    <w:p w:rsidR="00DB0BE2" w:rsidRDefault="00FD75B6">
      <w:pPr>
        <w:keepNext/>
        <w:keepLines/>
        <w:spacing w:before="260" w:after="260" w:line="360" w:lineRule="auto"/>
        <w:jc w:val="right"/>
        <w:outlineLvl w:val="1"/>
        <w:rPr>
          <w:rFonts w:ascii="宋体" w:eastAsia="宋体" w:hAnsi="宋体" w:cs="Times New Roman"/>
          <w:b/>
          <w:bCs/>
          <w:sz w:val="24"/>
          <w:szCs w:val="24"/>
        </w:rPr>
      </w:pPr>
      <w:r>
        <w:rPr>
          <w:rFonts w:ascii="宋体" w:eastAsia="宋体" w:hAnsi="宋体" w:cs="Times New Roman" w:hint="eastAsia"/>
          <w:b/>
          <w:bCs/>
          <w:sz w:val="24"/>
          <w:szCs w:val="24"/>
        </w:rPr>
        <w:t>编号：202</w:t>
      </w:r>
      <w:r w:rsidR="000C2571">
        <w:rPr>
          <w:rFonts w:ascii="宋体" w:eastAsia="宋体" w:hAnsi="宋体" w:cs="Times New Roman"/>
          <w:b/>
          <w:bCs/>
          <w:sz w:val="24"/>
          <w:szCs w:val="24"/>
        </w:rPr>
        <w:t>6</w:t>
      </w:r>
      <w:r>
        <w:rPr>
          <w:rFonts w:ascii="宋体" w:eastAsia="宋体" w:hAnsi="宋体" w:cs="Times New Roman" w:hint="eastAsia"/>
          <w:b/>
          <w:bCs/>
          <w:sz w:val="24"/>
          <w:szCs w:val="24"/>
        </w:rPr>
        <w:t>-0</w:t>
      </w:r>
      <w:r>
        <w:rPr>
          <w:rFonts w:ascii="宋体" w:eastAsia="宋体" w:hAnsi="宋体" w:cs="Times New Roman"/>
          <w:b/>
          <w:bCs/>
          <w:sz w:val="24"/>
          <w:szCs w:val="24"/>
        </w:rPr>
        <w:t>0</w:t>
      </w:r>
      <w:r w:rsidR="00C63F61">
        <w:rPr>
          <w:rFonts w:ascii="宋体" w:eastAsia="宋体" w:hAnsi="宋体" w:cs="Times New Roman"/>
          <w:b/>
          <w:bCs/>
          <w:sz w:val="24"/>
          <w:szCs w:val="24"/>
        </w:rPr>
        <w:t>3</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371"/>
      </w:tblGrid>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投资者关系活动类别</w:t>
            </w:r>
          </w:p>
        </w:tc>
        <w:tc>
          <w:tcPr>
            <w:tcW w:w="7371" w:type="dxa"/>
            <w:shd w:val="clear" w:color="auto" w:fill="auto"/>
          </w:tcPr>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sz w:val="24"/>
                <w:szCs w:val="24"/>
              </w:rPr>
              <w:t xml:space="preserve">■特定对象调研                 </w:t>
            </w:r>
            <w:r>
              <w:rPr>
                <w:rFonts w:ascii="宋体" w:eastAsia="宋体" w:hAnsi="宋体" w:cs="Times New Roman" w:hint="eastAsia"/>
                <w:bCs/>
                <w:iCs/>
                <w:sz w:val="24"/>
                <w:szCs w:val="24"/>
              </w:rPr>
              <w:t>□</w:t>
            </w:r>
            <w:r>
              <w:rPr>
                <w:rFonts w:ascii="宋体" w:eastAsia="宋体" w:hAnsi="宋体" w:cs="Times New Roman" w:hint="eastAsia"/>
                <w:sz w:val="24"/>
                <w:szCs w:val="24"/>
              </w:rPr>
              <w:t>分析师会议</w:t>
            </w:r>
          </w:p>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媒体采访                     </w:t>
            </w:r>
            <w:r>
              <w:rPr>
                <w:rFonts w:ascii="宋体" w:eastAsia="宋体" w:hAnsi="宋体" w:cs="Times New Roman" w:hint="eastAsia"/>
                <w:bCs/>
                <w:iCs/>
                <w:sz w:val="24"/>
                <w:szCs w:val="24"/>
              </w:rPr>
              <w:t>□</w:t>
            </w:r>
            <w:r>
              <w:rPr>
                <w:rFonts w:ascii="宋体" w:eastAsia="宋体" w:hAnsi="宋体" w:cs="Times New Roman" w:hint="eastAsia"/>
                <w:sz w:val="24"/>
                <w:szCs w:val="24"/>
              </w:rPr>
              <w:t>业绩说明会</w:t>
            </w:r>
          </w:p>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 xml:space="preserve">新闻发布会                   </w:t>
            </w:r>
            <w:r>
              <w:rPr>
                <w:rFonts w:ascii="宋体" w:eastAsia="宋体" w:hAnsi="宋体" w:cs="Times New Roman" w:hint="eastAsia"/>
                <w:bCs/>
                <w:iCs/>
                <w:sz w:val="24"/>
                <w:szCs w:val="24"/>
              </w:rPr>
              <w:t>□</w:t>
            </w:r>
            <w:r>
              <w:rPr>
                <w:rFonts w:ascii="宋体" w:eastAsia="宋体" w:hAnsi="宋体" w:cs="Times New Roman" w:hint="eastAsia"/>
                <w:sz w:val="24"/>
                <w:szCs w:val="24"/>
              </w:rPr>
              <w:t>路演活动</w:t>
            </w:r>
          </w:p>
          <w:p w:rsidR="00DB0BE2" w:rsidRDefault="002537EC">
            <w:pPr>
              <w:tabs>
                <w:tab w:val="left" w:pos="2690"/>
                <w:tab w:val="center" w:pos="3199"/>
              </w:tabs>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sidR="00FD75B6">
              <w:rPr>
                <w:rFonts w:ascii="宋体" w:eastAsia="宋体" w:hAnsi="宋体" w:cs="Times New Roman" w:hint="eastAsia"/>
                <w:sz w:val="24"/>
                <w:szCs w:val="24"/>
              </w:rPr>
              <w:t xml:space="preserve">现场参观                     </w:t>
            </w:r>
            <w:r w:rsidR="00C32C69">
              <w:rPr>
                <w:rFonts w:ascii="宋体" w:eastAsia="宋体" w:hAnsi="宋体" w:cs="Times New Roman" w:hint="eastAsia"/>
                <w:sz w:val="24"/>
                <w:szCs w:val="24"/>
              </w:rPr>
              <w:t>■</w:t>
            </w:r>
            <w:r w:rsidR="00FD75B6">
              <w:rPr>
                <w:rFonts w:ascii="宋体" w:eastAsia="宋体" w:hAnsi="宋体" w:cs="Times New Roman" w:hint="eastAsia"/>
                <w:sz w:val="24"/>
                <w:szCs w:val="24"/>
              </w:rPr>
              <w:t>电话会议</w:t>
            </w:r>
          </w:p>
          <w:p w:rsidR="00DB0BE2" w:rsidRDefault="00FD75B6">
            <w:pPr>
              <w:tabs>
                <w:tab w:val="center" w:pos="3199"/>
              </w:tabs>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w:t>
            </w:r>
            <w:r>
              <w:rPr>
                <w:rFonts w:ascii="宋体" w:eastAsia="宋体" w:hAnsi="宋体" w:cs="Times New Roman" w:hint="eastAsia"/>
                <w:sz w:val="24"/>
                <w:szCs w:val="24"/>
              </w:rPr>
              <w:t>其他 （</w:t>
            </w:r>
            <w:r>
              <w:rPr>
                <w:rFonts w:ascii="宋体" w:eastAsia="宋体" w:hAnsi="宋体" w:cs="Times New Roman" w:hint="eastAsia"/>
                <w:sz w:val="24"/>
                <w:szCs w:val="24"/>
                <w:u w:val="single"/>
              </w:rPr>
              <w:t>请文字说明其他活动内容）</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参与单位名称及人员姓名</w:t>
            </w:r>
          </w:p>
        </w:tc>
        <w:tc>
          <w:tcPr>
            <w:tcW w:w="7371" w:type="dxa"/>
            <w:shd w:val="clear" w:color="auto" w:fill="auto"/>
            <w:vAlign w:val="center"/>
          </w:tcPr>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台州市海盛产业投资有限公司</w:t>
            </w:r>
            <w:r w:rsidR="00CB6D7D">
              <w:rPr>
                <w:rFonts w:asciiTheme="minorEastAsia" w:hAnsiTheme="minorEastAsia" w:hint="eastAsia"/>
                <w:szCs w:val="21"/>
              </w:rPr>
              <w:t xml:space="preserve">  </w:t>
            </w:r>
            <w:r w:rsidRPr="00CB6D7D">
              <w:rPr>
                <w:rFonts w:asciiTheme="minorEastAsia" w:hAnsiTheme="minorEastAsia" w:hint="eastAsia"/>
                <w:szCs w:val="21"/>
              </w:rPr>
              <w:t>国海创新资本投资管理有限公司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南方天辰（北京）投资管理有限公司</w:t>
            </w:r>
            <w:r w:rsidR="00CB6D7D">
              <w:rPr>
                <w:rFonts w:asciiTheme="minorEastAsia" w:hAnsiTheme="minorEastAsia" w:hint="eastAsia"/>
                <w:szCs w:val="21"/>
              </w:rPr>
              <w:t xml:space="preserve">  </w:t>
            </w:r>
            <w:r w:rsidRPr="00CB6D7D">
              <w:rPr>
                <w:rFonts w:asciiTheme="minorEastAsia" w:hAnsiTheme="minorEastAsia" w:hint="eastAsia"/>
                <w:szCs w:val="21"/>
              </w:rPr>
              <w:t>湖南轻盐创业投资管理有限公司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青岛城投城金控股集团有限公司</w:t>
            </w:r>
            <w:r w:rsidR="00CB6D7D">
              <w:rPr>
                <w:rFonts w:asciiTheme="minorEastAsia" w:hAnsiTheme="minorEastAsia" w:hint="eastAsia"/>
                <w:szCs w:val="21"/>
              </w:rPr>
              <w:t xml:space="preserve"> </w:t>
            </w:r>
            <w:r w:rsidRPr="00CB6D7D">
              <w:rPr>
                <w:rFonts w:asciiTheme="minorEastAsia" w:hAnsiTheme="minorEastAsia" w:hint="eastAsia"/>
                <w:szCs w:val="21"/>
              </w:rPr>
              <w:t>前海中船（深圳）私募股权基金管理有限公司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四川璞信产融投资有限责任公司</w:t>
            </w:r>
            <w:r w:rsidR="00CB6D7D">
              <w:rPr>
                <w:rFonts w:asciiTheme="minorEastAsia" w:hAnsiTheme="minorEastAsia" w:hint="eastAsia"/>
                <w:szCs w:val="21"/>
              </w:rPr>
              <w:t xml:space="preserve">  </w:t>
            </w:r>
            <w:r w:rsidRPr="00CB6D7D">
              <w:rPr>
                <w:rFonts w:asciiTheme="minorEastAsia" w:hAnsiTheme="minorEastAsia" w:hint="eastAsia"/>
                <w:szCs w:val="21"/>
              </w:rPr>
              <w:t>浙江农发产业投资有限公司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南昌市国金产业投资有限公司</w:t>
            </w:r>
            <w:r w:rsidR="00CB6D7D">
              <w:rPr>
                <w:rFonts w:asciiTheme="minorEastAsia" w:hAnsiTheme="minorEastAsia" w:hint="eastAsia"/>
                <w:szCs w:val="21"/>
              </w:rPr>
              <w:t xml:space="preserve">  </w:t>
            </w:r>
            <w:r w:rsidRPr="00CB6D7D">
              <w:rPr>
                <w:rFonts w:asciiTheme="minorEastAsia" w:hAnsiTheme="minorEastAsia" w:hint="eastAsia"/>
                <w:szCs w:val="21"/>
              </w:rPr>
              <w:t>浙江省发展资产经营有限公司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湖北省铁路发展基金有限责任公司</w:t>
            </w:r>
            <w:r w:rsidR="00CB6D7D">
              <w:rPr>
                <w:rFonts w:asciiTheme="minorEastAsia" w:hAnsiTheme="minorEastAsia" w:hint="eastAsia"/>
                <w:szCs w:val="21"/>
              </w:rPr>
              <w:t xml:space="preserve">  </w:t>
            </w:r>
            <w:r w:rsidRPr="00CB6D7D">
              <w:rPr>
                <w:rFonts w:asciiTheme="minorEastAsia" w:hAnsiTheme="minorEastAsia" w:hint="eastAsia"/>
                <w:szCs w:val="21"/>
              </w:rPr>
              <w:t>惠州市创新投资有限公司</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台州市创收股权投资有限公司</w:t>
            </w:r>
            <w:r w:rsidR="00CB6D7D">
              <w:rPr>
                <w:rFonts w:asciiTheme="minorEastAsia" w:hAnsiTheme="minorEastAsia" w:hint="eastAsia"/>
                <w:szCs w:val="21"/>
              </w:rPr>
              <w:t xml:space="preserve">  </w:t>
            </w:r>
            <w:r w:rsidRPr="00CB6D7D">
              <w:rPr>
                <w:rFonts w:asciiTheme="minorEastAsia" w:hAnsiTheme="minorEastAsia" w:hint="eastAsia"/>
                <w:szCs w:val="21"/>
              </w:rPr>
              <w:t>四川振兴嘉杰私募证券投资基金管理有限公司</w:t>
            </w:r>
          </w:p>
          <w:p w:rsid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台州市国有资产投资集团有限公司</w:t>
            </w:r>
            <w:r w:rsidR="00CB6D7D">
              <w:rPr>
                <w:rFonts w:asciiTheme="minorEastAsia" w:hAnsiTheme="minorEastAsia" w:hint="eastAsia"/>
                <w:szCs w:val="21"/>
              </w:rPr>
              <w:t xml:space="preserve">  </w:t>
            </w:r>
            <w:r w:rsidRPr="00CB6D7D">
              <w:rPr>
                <w:rFonts w:asciiTheme="minorEastAsia" w:hAnsiTheme="minorEastAsia" w:hint="eastAsia"/>
                <w:szCs w:val="21"/>
              </w:rPr>
              <w:t>江西金投私募基金管理有限公司</w:t>
            </w:r>
            <w:r w:rsidR="00CB6D7D">
              <w:rPr>
                <w:rFonts w:asciiTheme="minorEastAsia" w:hAnsiTheme="minorEastAsia" w:hint="eastAsia"/>
                <w:szCs w:val="21"/>
              </w:rPr>
              <w:t xml:space="preserve">  </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广东恒健投资控股有限公司</w:t>
            </w:r>
            <w:r w:rsidR="00CB6D7D">
              <w:rPr>
                <w:rFonts w:asciiTheme="minorEastAsia" w:hAnsiTheme="minorEastAsia" w:hint="eastAsia"/>
                <w:szCs w:val="21"/>
              </w:rPr>
              <w:t xml:space="preserve">  </w:t>
            </w:r>
            <w:r w:rsidRPr="00CB6D7D">
              <w:rPr>
                <w:rFonts w:asciiTheme="minorEastAsia" w:hAnsiTheme="minorEastAsia" w:hint="eastAsia"/>
                <w:szCs w:val="21"/>
              </w:rPr>
              <w:t>信银金融资产投资有限公司</w:t>
            </w:r>
            <w:r w:rsidR="00CB6D7D">
              <w:rPr>
                <w:rFonts w:asciiTheme="minorEastAsia" w:hAnsiTheme="minorEastAsia" w:hint="eastAsia"/>
                <w:szCs w:val="21"/>
              </w:rPr>
              <w:t xml:space="preserve">  </w:t>
            </w:r>
          </w:p>
          <w:p w:rsidR="00C63F61"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台州市资管股权投资有限公司</w:t>
            </w:r>
            <w:r w:rsidR="00CB6D7D">
              <w:rPr>
                <w:rFonts w:asciiTheme="minorEastAsia" w:hAnsiTheme="minorEastAsia" w:hint="eastAsia"/>
                <w:szCs w:val="21"/>
              </w:rPr>
              <w:t xml:space="preserve">  </w:t>
            </w:r>
            <w:r w:rsidRPr="00CB6D7D">
              <w:rPr>
                <w:rFonts w:asciiTheme="minorEastAsia" w:hAnsiTheme="minorEastAsia" w:hint="eastAsia"/>
                <w:szCs w:val="21"/>
              </w:rPr>
              <w:t>苏州高新创业投资集团有限公司</w:t>
            </w:r>
          </w:p>
          <w:p w:rsidR="00DB0BE2" w:rsidRPr="00CB6D7D" w:rsidRDefault="00C63F61" w:rsidP="00C63F61">
            <w:pPr>
              <w:spacing w:line="360" w:lineRule="auto"/>
              <w:rPr>
                <w:rFonts w:asciiTheme="minorEastAsia" w:hAnsiTheme="minorEastAsia"/>
                <w:szCs w:val="21"/>
              </w:rPr>
            </w:pPr>
            <w:r w:rsidRPr="00CB6D7D">
              <w:rPr>
                <w:rFonts w:asciiTheme="minorEastAsia" w:hAnsiTheme="minorEastAsia" w:hint="eastAsia"/>
                <w:szCs w:val="21"/>
              </w:rPr>
              <w:t>台州市交投交通产业发展有限公司</w:t>
            </w:r>
            <w:r w:rsidR="00CB6D7D">
              <w:rPr>
                <w:rFonts w:asciiTheme="minorEastAsia" w:hAnsiTheme="minorEastAsia" w:hint="eastAsia"/>
                <w:szCs w:val="21"/>
              </w:rPr>
              <w:t xml:space="preserve"> </w:t>
            </w:r>
          </w:p>
          <w:p w:rsidR="00C63F61" w:rsidRPr="00C63F61" w:rsidRDefault="00C63F61" w:rsidP="00C63F61">
            <w:pPr>
              <w:spacing w:line="360" w:lineRule="auto"/>
              <w:rPr>
                <w:rFonts w:asciiTheme="minorEastAsia" w:hAnsiTheme="minorEastAsia"/>
                <w:sz w:val="24"/>
                <w:szCs w:val="24"/>
              </w:rPr>
            </w:pP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会议时间</w:t>
            </w:r>
          </w:p>
        </w:tc>
        <w:tc>
          <w:tcPr>
            <w:tcW w:w="7371" w:type="dxa"/>
            <w:shd w:val="clear" w:color="auto" w:fill="auto"/>
            <w:vAlign w:val="center"/>
          </w:tcPr>
          <w:p w:rsidR="00DB0BE2" w:rsidRDefault="00FD75B6" w:rsidP="000C2571">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202</w:t>
            </w:r>
            <w:r w:rsidR="000C2571">
              <w:rPr>
                <w:rFonts w:ascii="宋体" w:eastAsia="宋体" w:hAnsi="宋体" w:cs="Times New Roman"/>
                <w:bCs/>
                <w:iCs/>
                <w:sz w:val="24"/>
                <w:szCs w:val="24"/>
              </w:rPr>
              <w:t>6</w:t>
            </w:r>
            <w:r>
              <w:rPr>
                <w:rFonts w:ascii="宋体" w:eastAsia="宋体" w:hAnsi="宋体" w:cs="Times New Roman" w:hint="eastAsia"/>
                <w:bCs/>
                <w:iCs/>
                <w:sz w:val="24"/>
                <w:szCs w:val="24"/>
              </w:rPr>
              <w:t>年</w:t>
            </w:r>
            <w:r w:rsidR="00C63F61">
              <w:rPr>
                <w:rFonts w:ascii="宋体" w:eastAsia="宋体" w:hAnsi="宋体" w:cs="Times New Roman"/>
                <w:bCs/>
                <w:iCs/>
                <w:sz w:val="24"/>
                <w:szCs w:val="24"/>
              </w:rPr>
              <w:t>8</w:t>
            </w:r>
            <w:r>
              <w:rPr>
                <w:rFonts w:ascii="宋体" w:eastAsia="宋体" w:hAnsi="宋体" w:cs="Times New Roman" w:hint="eastAsia"/>
                <w:bCs/>
                <w:iCs/>
                <w:sz w:val="24"/>
                <w:szCs w:val="24"/>
              </w:rPr>
              <w:t>月</w:t>
            </w:r>
            <w:r w:rsidR="00C63F61">
              <w:rPr>
                <w:rFonts w:ascii="宋体" w:eastAsia="宋体" w:hAnsi="宋体" w:cs="Times New Roman"/>
                <w:bCs/>
                <w:iCs/>
                <w:sz w:val="24"/>
                <w:szCs w:val="24"/>
              </w:rPr>
              <w:t>4-5</w:t>
            </w:r>
            <w:r>
              <w:rPr>
                <w:rFonts w:ascii="宋体" w:eastAsia="宋体" w:hAnsi="宋体" w:cs="Times New Roman" w:hint="eastAsia"/>
                <w:bCs/>
                <w:iCs/>
                <w:sz w:val="24"/>
                <w:szCs w:val="24"/>
              </w:rPr>
              <w:t>日</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会议地点</w:t>
            </w:r>
          </w:p>
        </w:tc>
        <w:tc>
          <w:tcPr>
            <w:tcW w:w="7371" w:type="dxa"/>
            <w:shd w:val="clear" w:color="auto" w:fill="auto"/>
            <w:vAlign w:val="center"/>
          </w:tcPr>
          <w:p w:rsidR="00DB0BE2" w:rsidRDefault="00FD75B6">
            <w:pPr>
              <w:spacing w:line="360" w:lineRule="auto"/>
              <w:rPr>
                <w:rFonts w:asciiTheme="minorEastAsia" w:hAnsiTheme="minorEastAsia" w:cs="Times New Roman"/>
                <w:bCs/>
                <w:iCs/>
                <w:sz w:val="24"/>
                <w:szCs w:val="24"/>
              </w:rPr>
            </w:pPr>
            <w:r>
              <w:rPr>
                <w:rFonts w:asciiTheme="minorEastAsia" w:hAnsiTheme="minorEastAsia" w:hint="eastAsia"/>
                <w:color w:val="000000"/>
                <w:sz w:val="24"/>
                <w:szCs w:val="24"/>
              </w:rPr>
              <w:t>公司会议室</w:t>
            </w:r>
          </w:p>
        </w:tc>
      </w:tr>
      <w:tr w:rsidR="00DB0BE2">
        <w:tc>
          <w:tcPr>
            <w:tcW w:w="1702" w:type="dxa"/>
            <w:shd w:val="clear" w:color="auto" w:fill="auto"/>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上市公司接待人员姓名</w:t>
            </w:r>
          </w:p>
        </w:tc>
        <w:tc>
          <w:tcPr>
            <w:tcW w:w="7371" w:type="dxa"/>
            <w:shd w:val="clear" w:color="auto" w:fill="auto"/>
            <w:vAlign w:val="center"/>
          </w:tcPr>
          <w:p w:rsidR="00DB0BE2" w:rsidRDefault="00C63F61">
            <w:pPr>
              <w:spacing w:line="360" w:lineRule="auto"/>
              <w:rPr>
                <w:rFonts w:ascii="宋体" w:hAnsi="宋体"/>
                <w:sz w:val="24"/>
                <w:szCs w:val="24"/>
              </w:rPr>
            </w:pPr>
            <w:r w:rsidRPr="00EC71A1">
              <w:rPr>
                <w:rFonts w:ascii="宋体" w:hAnsi="宋体" w:cs="宋体" w:hint="eastAsia"/>
                <w:sz w:val="24"/>
                <w:szCs w:val="24"/>
              </w:rPr>
              <w:t>副总经理、董事会秘书：林素君</w:t>
            </w:r>
          </w:p>
        </w:tc>
      </w:tr>
      <w:tr w:rsidR="00DB0BE2">
        <w:trPr>
          <w:trHeight w:val="841"/>
        </w:trPr>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lastRenderedPageBreak/>
              <w:t>投资者关系活动主要内容介绍</w:t>
            </w:r>
          </w:p>
        </w:tc>
        <w:tc>
          <w:tcPr>
            <w:tcW w:w="7371" w:type="dxa"/>
            <w:shd w:val="clear" w:color="auto" w:fill="auto"/>
          </w:tcPr>
          <w:p w:rsidR="008E7BEB" w:rsidRDefault="008E7BEB" w:rsidP="008E7BEB">
            <w:pPr>
              <w:spacing w:line="360" w:lineRule="auto"/>
              <w:ind w:firstLineChars="200" w:firstLine="480"/>
              <w:rPr>
                <w:rFonts w:ascii="宋体" w:hAnsi="宋体"/>
                <w:sz w:val="24"/>
                <w:szCs w:val="24"/>
              </w:rPr>
            </w:pPr>
            <w:r>
              <w:rPr>
                <w:rFonts w:ascii="宋体" w:hAnsi="宋体" w:hint="eastAsia"/>
                <w:sz w:val="24"/>
                <w:szCs w:val="24"/>
              </w:rPr>
              <w:t>公司董事会秘书林总通过PPT介绍了公司经营情况、科技创新情况、本次定增项目情况及投资亮点。</w:t>
            </w:r>
          </w:p>
          <w:p w:rsidR="008E7BEB" w:rsidRDefault="008E7BEB" w:rsidP="008E7BEB">
            <w:pPr>
              <w:spacing w:line="360" w:lineRule="auto"/>
              <w:rPr>
                <w:rFonts w:ascii="宋体" w:hAnsi="宋体"/>
                <w:b/>
                <w:sz w:val="24"/>
                <w:szCs w:val="24"/>
              </w:rPr>
            </w:pPr>
            <w:r>
              <w:rPr>
                <w:rFonts w:ascii="宋体" w:hAnsi="宋体" w:hint="eastAsia"/>
                <w:b/>
                <w:sz w:val="24"/>
                <w:szCs w:val="24"/>
              </w:rPr>
              <w:t>Q</w:t>
            </w:r>
            <w:r>
              <w:rPr>
                <w:rFonts w:ascii="宋体" w:hAnsi="宋体"/>
                <w:b/>
                <w:sz w:val="24"/>
                <w:szCs w:val="24"/>
              </w:rPr>
              <w:t>1</w:t>
            </w:r>
            <w:r>
              <w:rPr>
                <w:rFonts w:ascii="宋体" w:hAnsi="宋体" w:hint="eastAsia"/>
                <w:b/>
                <w:sz w:val="24"/>
                <w:szCs w:val="24"/>
              </w:rPr>
              <w:t>: 各生厂基地产值的情况以及未来芦浦的产值？</w:t>
            </w:r>
          </w:p>
          <w:p w:rsidR="008E7BEB" w:rsidRDefault="008E7BEB" w:rsidP="008E7BEB">
            <w:pPr>
              <w:spacing w:line="360" w:lineRule="auto"/>
              <w:rPr>
                <w:rFonts w:ascii="宋体" w:hAnsi="宋体"/>
                <w:b/>
                <w:sz w:val="24"/>
                <w:szCs w:val="24"/>
              </w:rPr>
            </w:pPr>
            <w:r>
              <w:rPr>
                <w:rFonts w:ascii="宋体" w:hAnsi="宋体" w:hint="eastAsia"/>
                <w:sz w:val="24"/>
                <w:szCs w:val="24"/>
              </w:rPr>
              <w:t>目前公司共有三个生产基地，分别是玉环普青基地、玉环沙门基地、上海临港基地。沙门基地自2</w:t>
            </w:r>
            <w:r>
              <w:rPr>
                <w:rFonts w:ascii="宋体" w:hAnsi="宋体"/>
                <w:sz w:val="24"/>
                <w:szCs w:val="24"/>
              </w:rPr>
              <w:t>021年</w:t>
            </w:r>
            <w:r>
              <w:rPr>
                <w:rFonts w:ascii="宋体" w:hAnsi="宋体" w:hint="eastAsia"/>
                <w:sz w:val="24"/>
                <w:szCs w:val="24"/>
              </w:rPr>
              <w:t>9月投产以来，已经成为公司实现可持续增长的重要支撑。该基地主要生产中大规格数控车床以及新产品开发，目前已经形成了中大规格卧式数控车床、V系列（V</w:t>
            </w:r>
            <w:r>
              <w:rPr>
                <w:rFonts w:ascii="宋体" w:hAnsi="宋体"/>
                <w:sz w:val="24"/>
                <w:szCs w:val="24"/>
              </w:rPr>
              <w:t>D、</w:t>
            </w:r>
            <w:r>
              <w:rPr>
                <w:rFonts w:ascii="宋体" w:hAnsi="宋体" w:hint="eastAsia"/>
                <w:sz w:val="24"/>
                <w:szCs w:val="24"/>
              </w:rPr>
              <w:t>V</w:t>
            </w:r>
            <w:r>
              <w:rPr>
                <w:rFonts w:ascii="宋体" w:hAnsi="宋体"/>
                <w:sz w:val="24"/>
                <w:szCs w:val="24"/>
              </w:rPr>
              <w:t>Z、</w:t>
            </w:r>
            <w:r>
              <w:rPr>
                <w:rFonts w:ascii="宋体" w:hAnsi="宋体" w:hint="eastAsia"/>
                <w:sz w:val="24"/>
                <w:szCs w:val="24"/>
              </w:rPr>
              <w:t>V</w:t>
            </w:r>
            <w:r>
              <w:rPr>
                <w:rFonts w:ascii="宋体" w:hAnsi="宋体"/>
                <w:sz w:val="24"/>
                <w:szCs w:val="24"/>
              </w:rPr>
              <w:t>i</w:t>
            </w:r>
            <w:r>
              <w:rPr>
                <w:rFonts w:ascii="宋体" w:hAnsi="宋体" w:hint="eastAsia"/>
                <w:sz w:val="24"/>
                <w:szCs w:val="24"/>
              </w:rPr>
              <w:t>）立式数控车床系列、H</w:t>
            </w:r>
            <w:r>
              <w:rPr>
                <w:rFonts w:ascii="宋体" w:hAnsi="宋体"/>
                <w:sz w:val="24"/>
                <w:szCs w:val="24"/>
              </w:rPr>
              <w:t>i系列并行复合加工中心稳定产能。</w:t>
            </w:r>
            <w:r>
              <w:rPr>
                <w:rFonts w:ascii="宋体" w:hAnsi="宋体" w:hint="eastAsia"/>
                <w:sz w:val="24"/>
                <w:szCs w:val="24"/>
              </w:rPr>
              <w:t>公司的</w:t>
            </w:r>
            <w:r>
              <w:rPr>
                <w:rFonts w:ascii="宋体" w:hAnsi="宋体"/>
                <w:sz w:val="24"/>
                <w:szCs w:val="24"/>
              </w:rPr>
              <w:t>普青基地主要生产中小规格数控车床，</w:t>
            </w:r>
            <w:r>
              <w:rPr>
                <w:rFonts w:ascii="宋体" w:hAnsi="宋体" w:hint="eastAsia"/>
                <w:bCs/>
                <w:sz w:val="24"/>
                <w:szCs w:val="24"/>
              </w:rPr>
              <w:t xml:space="preserve"> 2</w:t>
            </w:r>
            <w:r>
              <w:rPr>
                <w:rFonts w:ascii="宋体" w:hAnsi="宋体"/>
                <w:bCs/>
                <w:sz w:val="24"/>
                <w:szCs w:val="24"/>
              </w:rPr>
              <w:t>026</w:t>
            </w:r>
            <w:r>
              <w:rPr>
                <w:rFonts w:ascii="宋体" w:hAnsi="宋体" w:hint="eastAsia"/>
                <w:bCs/>
                <w:sz w:val="24"/>
                <w:szCs w:val="24"/>
              </w:rPr>
              <w:t>年上半年年产1000台中小型精密数控车床及车削中心生产线技改项目全面投入使用。</w:t>
            </w:r>
            <w:r>
              <w:rPr>
                <w:rFonts w:ascii="宋体" w:hAnsi="宋体"/>
                <w:sz w:val="24"/>
                <w:szCs w:val="24"/>
              </w:rPr>
              <w:t>上海基地已经完成搬迁工作，</w:t>
            </w:r>
            <w:r>
              <w:rPr>
                <w:rFonts w:ascii="宋体" w:hAnsi="宋体" w:hint="eastAsia"/>
                <w:sz w:val="24"/>
                <w:szCs w:val="24"/>
              </w:rPr>
              <w:t>主要是自动化生产线产品的安装和调试工作。</w:t>
            </w:r>
            <w:r>
              <w:rPr>
                <w:rFonts w:ascii="宋体" w:hAnsi="宋体"/>
                <w:b/>
                <w:sz w:val="24"/>
                <w:szCs w:val="24"/>
              </w:rPr>
              <w:t xml:space="preserve"> </w:t>
            </w:r>
          </w:p>
          <w:p w:rsidR="008E7BEB" w:rsidRDefault="008E7BEB" w:rsidP="008E7BEB">
            <w:pPr>
              <w:spacing w:line="360" w:lineRule="auto"/>
              <w:rPr>
                <w:rFonts w:ascii="宋体" w:hAnsi="宋体"/>
                <w:b/>
                <w:sz w:val="24"/>
                <w:szCs w:val="24"/>
              </w:rPr>
            </w:pPr>
            <w:r>
              <w:rPr>
                <w:rFonts w:ascii="宋体" w:hAnsi="宋体" w:hint="eastAsia"/>
                <w:sz w:val="24"/>
                <w:szCs w:val="24"/>
              </w:rPr>
              <w:t>芦浦生产基地占地面积291亩，</w:t>
            </w:r>
            <w:r>
              <w:rPr>
                <w:rFonts w:hint="eastAsia"/>
                <w:sz w:val="24"/>
                <w:szCs w:val="24"/>
              </w:rPr>
              <w:t>充分依托我国机床产业</w:t>
            </w:r>
            <w:r>
              <w:rPr>
                <w:sz w:val="24"/>
                <w:szCs w:val="24"/>
              </w:rPr>
              <w:t>高端化、精密化、复合化、智能化转型</w:t>
            </w:r>
            <w:r>
              <w:rPr>
                <w:rFonts w:hint="eastAsia"/>
                <w:sz w:val="24"/>
                <w:szCs w:val="24"/>
              </w:rPr>
              <w:t>趋势</w:t>
            </w:r>
            <w:r>
              <w:rPr>
                <w:sz w:val="24"/>
                <w:szCs w:val="24"/>
              </w:rPr>
              <w:t>，持续深耕车削主业，不断夯实基础技术与核心技术壁垒，优化生产制造体系、提升产品制造品质，以智能制造赋能全产业链升级。</w:t>
            </w:r>
            <w:r>
              <w:rPr>
                <w:rFonts w:ascii="宋体" w:hAnsi="宋体" w:hint="eastAsia"/>
                <w:sz w:val="24"/>
                <w:szCs w:val="24"/>
              </w:rPr>
              <w:t>项目建设完成达产后，预计年新增产值</w:t>
            </w:r>
            <w:r>
              <w:rPr>
                <w:rFonts w:ascii="宋体" w:hAnsi="宋体"/>
                <w:sz w:val="24"/>
                <w:szCs w:val="24"/>
              </w:rPr>
              <w:t>107,500.00</w:t>
            </w:r>
            <w:r>
              <w:rPr>
                <w:rFonts w:ascii="宋体" w:hAnsi="宋体" w:hint="eastAsia"/>
                <w:sz w:val="24"/>
                <w:szCs w:val="24"/>
              </w:rPr>
              <w:t>万元。</w:t>
            </w:r>
          </w:p>
          <w:p w:rsidR="008E7BEB" w:rsidRDefault="008E7BEB" w:rsidP="008E7BEB">
            <w:pPr>
              <w:spacing w:line="360" w:lineRule="auto"/>
              <w:rPr>
                <w:rFonts w:ascii="宋体" w:hAnsi="宋体"/>
                <w:b/>
                <w:sz w:val="24"/>
                <w:szCs w:val="24"/>
              </w:rPr>
            </w:pPr>
            <w:r>
              <w:rPr>
                <w:rFonts w:ascii="宋体" w:hAnsi="宋体" w:hint="eastAsia"/>
                <w:b/>
                <w:sz w:val="24"/>
                <w:szCs w:val="24"/>
              </w:rPr>
              <w:t>Q</w:t>
            </w:r>
            <w:r>
              <w:rPr>
                <w:rFonts w:ascii="宋体" w:hAnsi="宋体"/>
                <w:b/>
                <w:sz w:val="24"/>
                <w:szCs w:val="24"/>
              </w:rPr>
              <w:t>2</w:t>
            </w:r>
            <w:r>
              <w:rPr>
                <w:rFonts w:ascii="宋体" w:hAnsi="宋体" w:hint="eastAsia"/>
                <w:b/>
                <w:sz w:val="24"/>
                <w:szCs w:val="24"/>
              </w:rPr>
              <w:t>：现有产能的情况，产销率的情况？</w:t>
            </w:r>
          </w:p>
          <w:p w:rsidR="008E7BEB" w:rsidRDefault="008E7BEB" w:rsidP="008E7BEB">
            <w:pPr>
              <w:spacing w:line="360" w:lineRule="auto"/>
              <w:rPr>
                <w:rFonts w:ascii="宋体" w:hAnsi="宋体"/>
                <w:sz w:val="24"/>
                <w:szCs w:val="24"/>
              </w:rPr>
            </w:pPr>
            <w:r>
              <w:rPr>
                <w:rFonts w:ascii="宋体" w:hAnsi="宋体" w:hint="eastAsia"/>
                <w:sz w:val="24"/>
                <w:szCs w:val="24"/>
              </w:rPr>
              <w:t>2025年公司高端数控车床产能利用率和产销率均较高，产能较为饱和，2026年以来公司新签订单增长较多，带动一季度公司营业收入同比增长47.25%，预计2026年产能利用率仍将保持较高水平。</w:t>
            </w:r>
          </w:p>
          <w:p w:rsidR="008E7BEB" w:rsidRDefault="008E7BEB" w:rsidP="008E7BEB">
            <w:pPr>
              <w:spacing w:line="360" w:lineRule="auto"/>
              <w:rPr>
                <w:rFonts w:ascii="宋体" w:hAnsi="宋体"/>
                <w:b/>
                <w:sz w:val="24"/>
                <w:szCs w:val="24"/>
              </w:rPr>
            </w:pPr>
            <w:r>
              <w:rPr>
                <w:rFonts w:ascii="宋体" w:hAnsi="宋体" w:hint="eastAsia"/>
                <w:b/>
                <w:sz w:val="24"/>
                <w:szCs w:val="24"/>
              </w:rPr>
              <w:t>Q</w:t>
            </w:r>
            <w:r>
              <w:rPr>
                <w:rFonts w:ascii="宋体" w:hAnsi="宋体"/>
                <w:b/>
                <w:sz w:val="24"/>
                <w:szCs w:val="24"/>
              </w:rPr>
              <w:t>3</w:t>
            </w:r>
            <w:r>
              <w:rPr>
                <w:rFonts w:ascii="宋体" w:hAnsi="宋体" w:hint="eastAsia"/>
                <w:b/>
                <w:sz w:val="24"/>
                <w:szCs w:val="24"/>
              </w:rPr>
              <w:t>：加工中心以及五轴产品的订单情况？</w:t>
            </w:r>
          </w:p>
          <w:p w:rsidR="008E7BEB" w:rsidRDefault="008E7BEB" w:rsidP="008E7BEB">
            <w:pPr>
              <w:spacing w:line="360" w:lineRule="auto"/>
              <w:rPr>
                <w:rFonts w:ascii="宋体" w:hAnsi="宋体"/>
                <w:b/>
                <w:sz w:val="24"/>
                <w:szCs w:val="24"/>
              </w:rPr>
            </w:pPr>
            <w:r>
              <w:rPr>
                <w:rFonts w:ascii="宋体" w:hAnsi="宋体" w:hint="eastAsia"/>
                <w:sz w:val="24"/>
                <w:szCs w:val="24"/>
              </w:rPr>
              <w:t>目前公司加工中心以及五轴产品，部分规格试制工作已顺利完成，目前进入小批量生产阶段。</w:t>
            </w:r>
            <w:r w:rsidR="00432FDD">
              <w:rPr>
                <w:rFonts w:ascii="宋体" w:hAnsi="宋体"/>
                <w:sz w:val="24"/>
                <w:szCs w:val="24"/>
              </w:rPr>
              <w:t>该类</w:t>
            </w:r>
            <w:r>
              <w:rPr>
                <w:rFonts w:ascii="宋体" w:hAnsi="宋体"/>
                <w:sz w:val="24"/>
                <w:szCs w:val="24"/>
              </w:rPr>
              <w:t>产品切入到新的市场需求，目前</w:t>
            </w:r>
            <w:r>
              <w:rPr>
                <w:rFonts w:ascii="宋体" w:hAnsi="宋体" w:hint="eastAsia"/>
                <w:sz w:val="24"/>
                <w:szCs w:val="24"/>
              </w:rPr>
              <w:t>已接到部分订单和意向订单</w:t>
            </w:r>
            <w:r>
              <w:rPr>
                <w:rFonts w:ascii="宋体" w:hAnsi="宋体"/>
                <w:sz w:val="24"/>
                <w:szCs w:val="24"/>
              </w:rPr>
              <w:t>，未来会快速拉动业绩增长。</w:t>
            </w:r>
            <w:bookmarkStart w:id="0" w:name="_GoBack"/>
            <w:bookmarkEnd w:id="0"/>
          </w:p>
          <w:p w:rsidR="008E7BEB" w:rsidRDefault="008E7BEB" w:rsidP="008E7BEB">
            <w:pPr>
              <w:spacing w:line="360" w:lineRule="auto"/>
              <w:rPr>
                <w:rFonts w:ascii="宋体" w:hAnsi="宋体"/>
                <w:b/>
                <w:sz w:val="24"/>
                <w:szCs w:val="24"/>
              </w:rPr>
            </w:pPr>
            <w:r>
              <w:rPr>
                <w:rFonts w:ascii="宋体" w:hAnsi="宋体" w:hint="eastAsia"/>
                <w:b/>
                <w:sz w:val="24"/>
                <w:szCs w:val="24"/>
              </w:rPr>
              <w:t>Q</w:t>
            </w:r>
            <w:r>
              <w:rPr>
                <w:rFonts w:ascii="宋体" w:hAnsi="宋体"/>
                <w:b/>
                <w:sz w:val="24"/>
                <w:szCs w:val="24"/>
              </w:rPr>
              <w:t>4</w:t>
            </w:r>
            <w:r>
              <w:rPr>
                <w:rFonts w:ascii="宋体" w:hAnsi="宋体" w:hint="eastAsia"/>
                <w:b/>
                <w:sz w:val="24"/>
                <w:szCs w:val="24"/>
              </w:rPr>
              <w:t>：高端机床的定义？</w:t>
            </w:r>
          </w:p>
          <w:p w:rsidR="008E7BEB" w:rsidRDefault="008E7BEB" w:rsidP="008E7BEB">
            <w:pPr>
              <w:spacing w:line="360" w:lineRule="auto"/>
              <w:rPr>
                <w:rFonts w:ascii="宋体" w:hAnsi="宋体"/>
                <w:b/>
                <w:sz w:val="24"/>
                <w:szCs w:val="24"/>
              </w:rPr>
            </w:pPr>
            <w:r>
              <w:rPr>
                <w:rFonts w:ascii="宋体" w:hAnsi="宋体" w:hint="eastAsia"/>
                <w:sz w:val="24"/>
                <w:szCs w:val="24"/>
              </w:rPr>
              <w:t>“高档”或“高端”数控机床是指具有高速、精密、智能、复合、多轴联动、网络通信等功能的数控机床。随着先进生产技术的发展，要求现代数控机床向高速度、高精度、高可靠性、智能化和更完善的功能方向发展</w:t>
            </w:r>
            <w:r>
              <w:rPr>
                <w:rFonts w:ascii="宋体" w:hAnsi="宋体"/>
                <w:sz w:val="24"/>
                <w:szCs w:val="24"/>
              </w:rPr>
              <w:t>，公司已列入</w:t>
            </w:r>
            <w:r>
              <w:rPr>
                <w:rFonts w:hAnsi="宋体"/>
                <w:sz w:val="24"/>
                <w:szCs w:val="24"/>
              </w:rPr>
              <w:t>“国产</w:t>
            </w:r>
            <w:r>
              <w:rPr>
                <w:rFonts w:ascii="宋体" w:hAnsi="宋体"/>
                <w:sz w:val="24"/>
                <w:szCs w:val="24"/>
              </w:rPr>
              <w:t>高档数控机床供应目录</w:t>
            </w:r>
            <w:r>
              <w:rPr>
                <w:rFonts w:hAnsi="宋体"/>
                <w:sz w:val="24"/>
                <w:szCs w:val="24"/>
              </w:rPr>
              <w:t>”，也是浙江制造“精密数控车床与车削中心制造标准”的起草单位。</w:t>
            </w:r>
          </w:p>
          <w:p w:rsidR="008E7BEB" w:rsidRDefault="008E7BEB" w:rsidP="008E7BEB">
            <w:pPr>
              <w:spacing w:line="360" w:lineRule="auto"/>
              <w:rPr>
                <w:rFonts w:ascii="宋体" w:hAnsi="宋体"/>
                <w:b/>
                <w:sz w:val="24"/>
                <w:szCs w:val="24"/>
              </w:rPr>
            </w:pPr>
            <w:r>
              <w:rPr>
                <w:rFonts w:ascii="宋体" w:hAnsi="宋体" w:hint="eastAsia"/>
                <w:b/>
                <w:sz w:val="24"/>
                <w:szCs w:val="24"/>
              </w:rPr>
              <w:lastRenderedPageBreak/>
              <w:t>Q</w:t>
            </w:r>
            <w:r>
              <w:rPr>
                <w:rFonts w:ascii="宋体" w:hAnsi="宋体"/>
                <w:b/>
                <w:sz w:val="24"/>
                <w:szCs w:val="24"/>
              </w:rPr>
              <w:t>5</w:t>
            </w:r>
            <w:r>
              <w:rPr>
                <w:rFonts w:ascii="宋体" w:hAnsi="宋体" w:hint="eastAsia"/>
                <w:b/>
                <w:sz w:val="24"/>
                <w:szCs w:val="24"/>
              </w:rPr>
              <w:t>：金雨跃公司对企业的未来的业绩影响？</w:t>
            </w:r>
          </w:p>
          <w:p w:rsidR="008E7BEB" w:rsidRDefault="008E7BEB" w:rsidP="008E7BEB">
            <w:pPr>
              <w:spacing w:line="360" w:lineRule="auto"/>
              <w:rPr>
                <w:rFonts w:ascii="宋体" w:hAnsi="宋体"/>
                <w:sz w:val="24"/>
                <w:szCs w:val="24"/>
              </w:rPr>
            </w:pPr>
            <w:r>
              <w:rPr>
                <w:rFonts w:ascii="宋体" w:hAnsi="宋体" w:hint="eastAsia"/>
                <w:sz w:val="24"/>
                <w:szCs w:val="24"/>
              </w:rPr>
              <w:t>公司控股子公司成都金雨跃机械有限公司是一家具有军工资质的高新技术企业。2023年-2025年，受军工行业市场需求波动等因素影响，成都金雨跃呈亏损状态，叠加计提的商誉减值损失，成都金雨跃拖累了公司整体业绩。2025年四季度以来，公司持续推动该子公司进行业务转型，目前经营状况已有</w:t>
            </w:r>
            <w:r>
              <w:rPr>
                <w:rFonts w:ascii="宋体" w:hAnsi="宋体"/>
                <w:sz w:val="24"/>
                <w:szCs w:val="24"/>
              </w:rPr>
              <w:t>明显</w:t>
            </w:r>
            <w:r>
              <w:rPr>
                <w:rFonts w:ascii="宋体" w:hAnsi="宋体" w:hint="eastAsia"/>
                <w:sz w:val="24"/>
                <w:szCs w:val="24"/>
              </w:rPr>
              <w:t>改善</w:t>
            </w:r>
            <w:r>
              <w:rPr>
                <w:rFonts w:ascii="宋体" w:hAnsi="宋体"/>
                <w:sz w:val="24"/>
                <w:szCs w:val="24"/>
              </w:rPr>
              <w:t>，</w:t>
            </w:r>
            <w:r w:rsidR="00432FDD">
              <w:rPr>
                <w:rFonts w:ascii="宋体" w:hAnsi="宋体" w:hint="eastAsia"/>
                <w:sz w:val="24"/>
                <w:szCs w:val="24"/>
              </w:rPr>
              <w:t>未来一</w:t>
            </w:r>
            <w:r>
              <w:rPr>
                <w:rFonts w:ascii="宋体" w:hAnsi="宋体"/>
                <w:sz w:val="24"/>
                <w:szCs w:val="24"/>
              </w:rPr>
              <w:t>年有望止亏为盈</w:t>
            </w:r>
            <w:r>
              <w:rPr>
                <w:rFonts w:ascii="宋体" w:hAnsi="宋体" w:hint="eastAsia"/>
                <w:sz w:val="24"/>
                <w:szCs w:val="24"/>
              </w:rPr>
              <w:t>。</w:t>
            </w:r>
          </w:p>
          <w:p w:rsidR="008E7BEB" w:rsidRDefault="008E7BEB" w:rsidP="008E7BEB">
            <w:pPr>
              <w:spacing w:line="360" w:lineRule="auto"/>
              <w:rPr>
                <w:rFonts w:ascii="宋体" w:hAnsi="宋体"/>
                <w:b/>
                <w:sz w:val="24"/>
                <w:szCs w:val="24"/>
              </w:rPr>
            </w:pPr>
            <w:r>
              <w:rPr>
                <w:rFonts w:ascii="宋体" w:hAnsi="宋体" w:hint="eastAsia"/>
                <w:b/>
                <w:sz w:val="24"/>
                <w:szCs w:val="24"/>
              </w:rPr>
              <w:t>Q</w:t>
            </w:r>
            <w:r>
              <w:rPr>
                <w:rFonts w:ascii="宋体" w:hAnsi="宋体"/>
                <w:b/>
                <w:sz w:val="24"/>
                <w:szCs w:val="24"/>
              </w:rPr>
              <w:t>6</w:t>
            </w:r>
            <w:r>
              <w:rPr>
                <w:rFonts w:ascii="宋体" w:hAnsi="宋体" w:hint="eastAsia"/>
                <w:b/>
                <w:sz w:val="24"/>
                <w:szCs w:val="24"/>
              </w:rPr>
              <w:t>：本次定增项目增加的产值以及利润？</w:t>
            </w:r>
          </w:p>
          <w:p w:rsidR="008E7BEB" w:rsidRDefault="008E7BEB" w:rsidP="008E7BEB">
            <w:pPr>
              <w:pStyle w:val="005"/>
              <w:spacing w:before="156" w:after="156"/>
              <w:ind w:firstLine="480"/>
            </w:pPr>
            <w:r>
              <w:rPr>
                <w:rFonts w:hint="eastAsia"/>
              </w:rPr>
              <w:t>本次向特定对象发行股票项目实施地点位于浙江省玉环市玉环新城（漩门二期）</w:t>
            </w:r>
            <w:r>
              <w:rPr>
                <w:rFonts w:hint="eastAsia"/>
              </w:rPr>
              <w:t>BXE031-0214a</w:t>
            </w:r>
            <w:r>
              <w:rPr>
                <w:rFonts w:hint="eastAsia"/>
              </w:rPr>
              <w:t>地块。拟募集资金总额不超过</w:t>
            </w:r>
            <w:r>
              <w:rPr>
                <w:rFonts w:hint="eastAsia"/>
              </w:rPr>
              <w:t>151,700.00</w:t>
            </w:r>
            <w:r>
              <w:rPr>
                <w:rFonts w:hint="eastAsia"/>
              </w:rPr>
              <w:t>万元（含本数），募集资金在扣除相关发行费用后的募集资金净额将全部用于以下项目：</w:t>
            </w:r>
          </w:p>
          <w:p w:rsidR="008E7BEB" w:rsidRDefault="008E7BEB" w:rsidP="008E7BEB">
            <w:pPr>
              <w:pStyle w:val="009"/>
            </w:pPr>
            <w:r>
              <w:t>单位：万元</w:t>
            </w:r>
          </w:p>
          <w:tbl>
            <w:tblPr>
              <w:tblStyle w:val="Style1123"/>
              <w:tblW w:w="4878" w:type="pct"/>
              <w:jc w:val="center"/>
              <w:tblBorders>
                <w:insideH w:val="single" w:sz="4" w:space="0" w:color="auto"/>
                <w:insideV w:val="single" w:sz="4" w:space="0" w:color="auto"/>
              </w:tblBorders>
              <w:tblLayout w:type="fixed"/>
              <w:tblLook w:val="04A0" w:firstRow="1" w:lastRow="0" w:firstColumn="1" w:lastColumn="0" w:noHBand="0" w:noVBand="1"/>
            </w:tblPr>
            <w:tblGrid>
              <w:gridCol w:w="556"/>
              <w:gridCol w:w="2881"/>
              <w:gridCol w:w="1417"/>
              <w:gridCol w:w="2126"/>
            </w:tblGrid>
            <w:tr w:rsidR="008E7BEB" w:rsidTr="0083150D">
              <w:trPr>
                <w:cnfStyle w:val="100000000000" w:firstRow="1" w:lastRow="0" w:firstColumn="0" w:lastColumn="0" w:oddVBand="0" w:evenVBand="0" w:oddHBand="0" w:evenHBand="0" w:firstRowFirstColumn="0" w:firstRowLastColumn="0" w:lastRowFirstColumn="0" w:lastRowLastColumn="0"/>
                <w:trHeight w:val="397"/>
                <w:jc w:val="center"/>
              </w:trPr>
              <w:tc>
                <w:tcPr>
                  <w:tcW w:w="398" w:type="pct"/>
                  <w:shd w:val="clear" w:color="auto" w:fill="D8D8D8"/>
                </w:tcPr>
                <w:p w:rsidR="008E7BEB" w:rsidRDefault="008E7BEB" w:rsidP="008E7BEB">
                  <w:pPr>
                    <w:adjustRightInd w:val="0"/>
                    <w:snapToGrid w:val="0"/>
                    <w:jc w:val="center"/>
                    <w:rPr>
                      <w:b/>
                      <w:kern w:val="0"/>
                      <w:szCs w:val="21"/>
                    </w:rPr>
                  </w:pPr>
                  <w:r>
                    <w:rPr>
                      <w:b/>
                      <w:kern w:val="0"/>
                      <w:szCs w:val="21"/>
                    </w:rPr>
                    <w:t>序号</w:t>
                  </w:r>
                </w:p>
              </w:tc>
              <w:tc>
                <w:tcPr>
                  <w:tcW w:w="2064" w:type="pct"/>
                  <w:shd w:val="clear" w:color="auto" w:fill="D8D8D8"/>
                </w:tcPr>
                <w:p w:rsidR="008E7BEB" w:rsidRDefault="008E7BEB" w:rsidP="008E7BEB">
                  <w:pPr>
                    <w:adjustRightInd w:val="0"/>
                    <w:snapToGrid w:val="0"/>
                    <w:jc w:val="center"/>
                    <w:rPr>
                      <w:b/>
                      <w:kern w:val="0"/>
                      <w:szCs w:val="21"/>
                    </w:rPr>
                  </w:pPr>
                  <w:r>
                    <w:rPr>
                      <w:b/>
                      <w:kern w:val="0"/>
                      <w:szCs w:val="21"/>
                    </w:rPr>
                    <w:t>项目名称</w:t>
                  </w:r>
                </w:p>
              </w:tc>
              <w:tc>
                <w:tcPr>
                  <w:tcW w:w="1015" w:type="pct"/>
                  <w:shd w:val="clear" w:color="auto" w:fill="D8D8D8"/>
                </w:tcPr>
                <w:p w:rsidR="008E7BEB" w:rsidRDefault="008E7BEB" w:rsidP="008E7BEB">
                  <w:pPr>
                    <w:adjustRightInd w:val="0"/>
                    <w:snapToGrid w:val="0"/>
                    <w:jc w:val="center"/>
                    <w:rPr>
                      <w:b/>
                      <w:kern w:val="0"/>
                      <w:szCs w:val="21"/>
                    </w:rPr>
                  </w:pPr>
                  <w:r>
                    <w:rPr>
                      <w:b/>
                      <w:kern w:val="0"/>
                      <w:szCs w:val="21"/>
                    </w:rPr>
                    <w:t>拟投资总额</w:t>
                  </w:r>
                </w:p>
              </w:tc>
              <w:tc>
                <w:tcPr>
                  <w:tcW w:w="1524" w:type="pct"/>
                  <w:shd w:val="clear" w:color="auto" w:fill="D8D8D8"/>
                </w:tcPr>
                <w:p w:rsidR="008E7BEB" w:rsidRDefault="008E7BEB" w:rsidP="008E7BEB">
                  <w:pPr>
                    <w:adjustRightInd w:val="0"/>
                    <w:snapToGrid w:val="0"/>
                    <w:jc w:val="center"/>
                    <w:rPr>
                      <w:b/>
                      <w:kern w:val="0"/>
                      <w:szCs w:val="21"/>
                    </w:rPr>
                  </w:pPr>
                  <w:r>
                    <w:rPr>
                      <w:b/>
                      <w:kern w:val="0"/>
                      <w:szCs w:val="21"/>
                    </w:rPr>
                    <w:t>拟使用募集资金金额</w:t>
                  </w:r>
                </w:p>
              </w:tc>
            </w:tr>
            <w:tr w:rsidR="008E7BEB" w:rsidTr="0083150D">
              <w:trPr>
                <w:trHeight w:val="397"/>
                <w:jc w:val="center"/>
              </w:trPr>
              <w:tc>
                <w:tcPr>
                  <w:tcW w:w="398" w:type="pct"/>
                </w:tcPr>
                <w:p w:rsidR="008E7BEB" w:rsidRDefault="008E7BEB" w:rsidP="008E7BEB">
                  <w:pPr>
                    <w:adjustRightInd w:val="0"/>
                    <w:snapToGrid w:val="0"/>
                    <w:jc w:val="center"/>
                    <w:rPr>
                      <w:bCs/>
                      <w:kern w:val="0"/>
                      <w:szCs w:val="21"/>
                    </w:rPr>
                  </w:pPr>
                  <w:r>
                    <w:rPr>
                      <w:bCs/>
                      <w:kern w:val="0"/>
                      <w:szCs w:val="21"/>
                    </w:rPr>
                    <w:t>1</w:t>
                  </w:r>
                </w:p>
              </w:tc>
              <w:tc>
                <w:tcPr>
                  <w:tcW w:w="2064" w:type="pct"/>
                </w:tcPr>
                <w:p w:rsidR="008E7BEB" w:rsidRDefault="008E7BEB" w:rsidP="008E7BEB">
                  <w:pPr>
                    <w:adjustRightInd w:val="0"/>
                    <w:snapToGrid w:val="0"/>
                    <w:jc w:val="center"/>
                    <w:rPr>
                      <w:bCs/>
                      <w:kern w:val="0"/>
                      <w:szCs w:val="21"/>
                      <w:lang w:eastAsia="zh-CN"/>
                    </w:rPr>
                  </w:pPr>
                  <w:r>
                    <w:rPr>
                      <w:bCs/>
                      <w:kern w:val="0"/>
                      <w:szCs w:val="21"/>
                      <w:lang w:eastAsia="zh-CN"/>
                    </w:rPr>
                    <w:t>高端复合化机床产业化项目</w:t>
                  </w:r>
                </w:p>
              </w:tc>
              <w:tc>
                <w:tcPr>
                  <w:tcW w:w="1015" w:type="pct"/>
                </w:tcPr>
                <w:p w:rsidR="008E7BEB" w:rsidRDefault="008E7BEB" w:rsidP="008E7BEB">
                  <w:pPr>
                    <w:adjustRightInd w:val="0"/>
                    <w:snapToGrid w:val="0"/>
                    <w:jc w:val="right"/>
                    <w:rPr>
                      <w:bCs/>
                      <w:kern w:val="0"/>
                      <w:szCs w:val="21"/>
                    </w:rPr>
                  </w:pPr>
                  <w:r>
                    <w:rPr>
                      <w:bCs/>
                      <w:kern w:val="0"/>
                      <w:szCs w:val="21"/>
                    </w:rPr>
                    <w:t>91,739.95</w:t>
                  </w:r>
                </w:p>
              </w:tc>
              <w:tc>
                <w:tcPr>
                  <w:tcW w:w="1524" w:type="pct"/>
                </w:tcPr>
                <w:p w:rsidR="008E7BEB" w:rsidRDefault="008E7BEB" w:rsidP="008E7BEB">
                  <w:pPr>
                    <w:adjustRightInd w:val="0"/>
                    <w:snapToGrid w:val="0"/>
                    <w:jc w:val="right"/>
                    <w:rPr>
                      <w:bCs/>
                      <w:kern w:val="0"/>
                      <w:szCs w:val="21"/>
                    </w:rPr>
                  </w:pPr>
                  <w:r>
                    <w:rPr>
                      <w:bCs/>
                      <w:kern w:val="0"/>
                      <w:szCs w:val="21"/>
                    </w:rPr>
                    <w:t>91,739.95</w:t>
                  </w:r>
                </w:p>
              </w:tc>
            </w:tr>
            <w:tr w:rsidR="008E7BEB" w:rsidTr="0083150D">
              <w:trPr>
                <w:trHeight w:val="397"/>
                <w:jc w:val="center"/>
              </w:trPr>
              <w:tc>
                <w:tcPr>
                  <w:tcW w:w="398" w:type="pct"/>
                </w:tcPr>
                <w:p w:rsidR="008E7BEB" w:rsidRDefault="008E7BEB" w:rsidP="008E7BEB">
                  <w:pPr>
                    <w:adjustRightInd w:val="0"/>
                    <w:snapToGrid w:val="0"/>
                    <w:jc w:val="center"/>
                    <w:rPr>
                      <w:bCs/>
                      <w:kern w:val="0"/>
                      <w:szCs w:val="21"/>
                    </w:rPr>
                  </w:pPr>
                  <w:r>
                    <w:rPr>
                      <w:bCs/>
                      <w:kern w:val="0"/>
                      <w:szCs w:val="21"/>
                    </w:rPr>
                    <w:t>2</w:t>
                  </w:r>
                </w:p>
              </w:tc>
              <w:tc>
                <w:tcPr>
                  <w:tcW w:w="2064" w:type="pct"/>
                </w:tcPr>
                <w:p w:rsidR="008E7BEB" w:rsidRDefault="008E7BEB" w:rsidP="008E7BEB">
                  <w:pPr>
                    <w:adjustRightInd w:val="0"/>
                    <w:snapToGrid w:val="0"/>
                    <w:jc w:val="center"/>
                    <w:rPr>
                      <w:bCs/>
                      <w:kern w:val="0"/>
                      <w:szCs w:val="21"/>
                      <w:lang w:eastAsia="zh-CN"/>
                    </w:rPr>
                  </w:pPr>
                  <w:r>
                    <w:rPr>
                      <w:bCs/>
                      <w:kern w:val="0"/>
                      <w:szCs w:val="21"/>
                      <w:lang w:eastAsia="zh-CN"/>
                    </w:rPr>
                    <w:t>高端精密机床与机器人硬件智造研发项目</w:t>
                  </w:r>
                </w:p>
              </w:tc>
              <w:tc>
                <w:tcPr>
                  <w:tcW w:w="1015" w:type="pct"/>
                </w:tcPr>
                <w:p w:rsidR="008E7BEB" w:rsidRDefault="008E7BEB" w:rsidP="008E7BEB">
                  <w:pPr>
                    <w:adjustRightInd w:val="0"/>
                    <w:snapToGrid w:val="0"/>
                    <w:jc w:val="right"/>
                    <w:rPr>
                      <w:bCs/>
                      <w:kern w:val="0"/>
                      <w:szCs w:val="21"/>
                      <w:lang w:eastAsia="zh-CN"/>
                    </w:rPr>
                  </w:pPr>
                  <w:r>
                    <w:rPr>
                      <w:bCs/>
                      <w:kern w:val="0"/>
                      <w:szCs w:val="21"/>
                      <w:lang w:eastAsia="zh-CN"/>
                    </w:rPr>
                    <w:t>24,960.05</w:t>
                  </w:r>
                </w:p>
              </w:tc>
              <w:tc>
                <w:tcPr>
                  <w:tcW w:w="1524" w:type="pct"/>
                </w:tcPr>
                <w:p w:rsidR="008E7BEB" w:rsidRDefault="008E7BEB" w:rsidP="008E7BEB">
                  <w:pPr>
                    <w:adjustRightInd w:val="0"/>
                    <w:snapToGrid w:val="0"/>
                    <w:jc w:val="right"/>
                    <w:rPr>
                      <w:bCs/>
                      <w:kern w:val="0"/>
                      <w:szCs w:val="21"/>
                      <w:lang w:eastAsia="zh-CN"/>
                    </w:rPr>
                  </w:pPr>
                  <w:r>
                    <w:rPr>
                      <w:bCs/>
                      <w:kern w:val="0"/>
                      <w:szCs w:val="21"/>
                      <w:lang w:eastAsia="zh-CN"/>
                    </w:rPr>
                    <w:t>24,960.05</w:t>
                  </w:r>
                </w:p>
              </w:tc>
            </w:tr>
            <w:tr w:rsidR="008E7BEB" w:rsidTr="0083150D">
              <w:trPr>
                <w:trHeight w:val="397"/>
                <w:jc w:val="center"/>
              </w:trPr>
              <w:tc>
                <w:tcPr>
                  <w:tcW w:w="398" w:type="pct"/>
                </w:tcPr>
                <w:p w:rsidR="008E7BEB" w:rsidRDefault="008E7BEB" w:rsidP="008E7BEB">
                  <w:pPr>
                    <w:adjustRightInd w:val="0"/>
                    <w:snapToGrid w:val="0"/>
                    <w:jc w:val="center"/>
                    <w:rPr>
                      <w:bCs/>
                      <w:kern w:val="0"/>
                      <w:szCs w:val="21"/>
                      <w:lang w:eastAsia="zh-CN"/>
                    </w:rPr>
                  </w:pPr>
                  <w:r>
                    <w:rPr>
                      <w:bCs/>
                      <w:kern w:val="0"/>
                      <w:szCs w:val="21"/>
                      <w:lang w:eastAsia="zh-CN"/>
                    </w:rPr>
                    <w:t>3</w:t>
                  </w:r>
                </w:p>
              </w:tc>
              <w:tc>
                <w:tcPr>
                  <w:tcW w:w="2064" w:type="pct"/>
                </w:tcPr>
                <w:p w:rsidR="008E7BEB" w:rsidRDefault="008E7BEB" w:rsidP="008E7BEB">
                  <w:pPr>
                    <w:adjustRightInd w:val="0"/>
                    <w:snapToGrid w:val="0"/>
                    <w:jc w:val="center"/>
                    <w:rPr>
                      <w:bCs/>
                      <w:kern w:val="0"/>
                      <w:szCs w:val="21"/>
                      <w:lang w:eastAsia="zh-CN"/>
                    </w:rPr>
                  </w:pPr>
                  <w:r>
                    <w:rPr>
                      <w:bCs/>
                      <w:kern w:val="0"/>
                      <w:szCs w:val="21"/>
                      <w:lang w:eastAsia="zh-CN"/>
                    </w:rPr>
                    <w:t>补充流动资金</w:t>
                  </w:r>
                </w:p>
              </w:tc>
              <w:tc>
                <w:tcPr>
                  <w:tcW w:w="1015" w:type="pct"/>
                </w:tcPr>
                <w:p w:rsidR="008E7BEB" w:rsidRDefault="008E7BEB" w:rsidP="008E7BEB">
                  <w:pPr>
                    <w:adjustRightInd w:val="0"/>
                    <w:snapToGrid w:val="0"/>
                    <w:jc w:val="right"/>
                    <w:rPr>
                      <w:bCs/>
                      <w:kern w:val="0"/>
                      <w:szCs w:val="21"/>
                      <w:lang w:eastAsia="zh-CN"/>
                    </w:rPr>
                  </w:pPr>
                  <w:r>
                    <w:rPr>
                      <w:bCs/>
                      <w:kern w:val="0"/>
                      <w:szCs w:val="21"/>
                      <w:lang w:eastAsia="zh-CN"/>
                    </w:rPr>
                    <w:t>35,000.00</w:t>
                  </w:r>
                </w:p>
              </w:tc>
              <w:tc>
                <w:tcPr>
                  <w:tcW w:w="1524" w:type="pct"/>
                </w:tcPr>
                <w:p w:rsidR="008E7BEB" w:rsidRDefault="008E7BEB" w:rsidP="008E7BEB">
                  <w:pPr>
                    <w:adjustRightInd w:val="0"/>
                    <w:snapToGrid w:val="0"/>
                    <w:jc w:val="right"/>
                    <w:rPr>
                      <w:bCs/>
                      <w:kern w:val="0"/>
                      <w:szCs w:val="21"/>
                      <w:lang w:eastAsia="zh-CN"/>
                    </w:rPr>
                  </w:pPr>
                  <w:r>
                    <w:rPr>
                      <w:bCs/>
                      <w:kern w:val="0"/>
                      <w:szCs w:val="21"/>
                      <w:lang w:eastAsia="zh-CN"/>
                    </w:rPr>
                    <w:t>35,000.00</w:t>
                  </w:r>
                </w:p>
              </w:tc>
            </w:tr>
            <w:tr w:rsidR="008E7BEB" w:rsidTr="0083150D">
              <w:trPr>
                <w:trHeight w:val="397"/>
                <w:jc w:val="center"/>
              </w:trPr>
              <w:tc>
                <w:tcPr>
                  <w:tcW w:w="2461" w:type="pct"/>
                  <w:gridSpan w:val="2"/>
                </w:tcPr>
                <w:p w:rsidR="008E7BEB" w:rsidRDefault="008E7BEB" w:rsidP="008E7BEB">
                  <w:pPr>
                    <w:adjustRightInd w:val="0"/>
                    <w:snapToGrid w:val="0"/>
                    <w:jc w:val="center"/>
                    <w:rPr>
                      <w:b/>
                      <w:kern w:val="0"/>
                      <w:szCs w:val="21"/>
                      <w:lang w:eastAsia="zh-CN"/>
                    </w:rPr>
                  </w:pPr>
                  <w:r>
                    <w:rPr>
                      <w:b/>
                      <w:kern w:val="0"/>
                      <w:szCs w:val="21"/>
                      <w:lang w:eastAsia="zh-CN"/>
                    </w:rPr>
                    <w:t>合计</w:t>
                  </w:r>
                </w:p>
              </w:tc>
              <w:tc>
                <w:tcPr>
                  <w:tcW w:w="1015" w:type="pct"/>
                </w:tcPr>
                <w:p w:rsidR="008E7BEB" w:rsidRDefault="008E7BEB" w:rsidP="008E7BEB">
                  <w:pPr>
                    <w:adjustRightInd w:val="0"/>
                    <w:snapToGrid w:val="0"/>
                    <w:jc w:val="right"/>
                    <w:rPr>
                      <w:b/>
                      <w:kern w:val="0"/>
                      <w:szCs w:val="21"/>
                      <w:lang w:eastAsia="zh-CN"/>
                    </w:rPr>
                  </w:pPr>
                  <w:r>
                    <w:rPr>
                      <w:b/>
                      <w:kern w:val="0"/>
                      <w:szCs w:val="21"/>
                      <w:lang w:eastAsia="zh-CN"/>
                    </w:rPr>
                    <w:t>151,700.00</w:t>
                  </w:r>
                </w:p>
              </w:tc>
              <w:tc>
                <w:tcPr>
                  <w:tcW w:w="1524" w:type="pct"/>
                </w:tcPr>
                <w:p w:rsidR="008E7BEB" w:rsidRDefault="008E7BEB" w:rsidP="008E7BEB">
                  <w:pPr>
                    <w:adjustRightInd w:val="0"/>
                    <w:snapToGrid w:val="0"/>
                    <w:jc w:val="right"/>
                    <w:rPr>
                      <w:b/>
                      <w:kern w:val="0"/>
                      <w:szCs w:val="21"/>
                      <w:lang w:eastAsia="zh-CN"/>
                    </w:rPr>
                  </w:pPr>
                  <w:r>
                    <w:rPr>
                      <w:b/>
                      <w:kern w:val="0"/>
                      <w:szCs w:val="21"/>
                      <w:lang w:eastAsia="zh-CN"/>
                    </w:rPr>
                    <w:t>151,700.00</w:t>
                  </w:r>
                </w:p>
              </w:tc>
            </w:tr>
          </w:tbl>
          <w:p w:rsidR="008E7BEB" w:rsidRDefault="008E7BEB" w:rsidP="008E7BEB">
            <w:pPr>
              <w:spacing w:line="360" w:lineRule="auto"/>
              <w:rPr>
                <w:rFonts w:ascii="宋体" w:hAnsi="宋体"/>
                <w:b/>
                <w:sz w:val="24"/>
                <w:szCs w:val="24"/>
              </w:rPr>
            </w:pPr>
            <w:r>
              <w:rPr>
                <w:rFonts w:ascii="宋体" w:hAnsi="宋体" w:hint="eastAsia"/>
                <w:sz w:val="24"/>
                <w:szCs w:val="24"/>
              </w:rPr>
              <w:t>项目建设完成达产后，预计年新增产值</w:t>
            </w:r>
            <w:r>
              <w:rPr>
                <w:rFonts w:ascii="宋体" w:hAnsi="宋体"/>
                <w:sz w:val="24"/>
                <w:szCs w:val="24"/>
              </w:rPr>
              <w:t>107,500.00</w:t>
            </w:r>
            <w:r>
              <w:rPr>
                <w:rFonts w:ascii="宋体" w:hAnsi="宋体" w:hint="eastAsia"/>
                <w:sz w:val="24"/>
                <w:szCs w:val="24"/>
              </w:rPr>
              <w:t>万元、净利润13,912.01万元。</w:t>
            </w:r>
          </w:p>
          <w:p w:rsidR="00DB0BE2" w:rsidRPr="0073564B" w:rsidRDefault="008E7BEB" w:rsidP="008E7BEB">
            <w:pPr>
              <w:pStyle w:val="HTML"/>
              <w:shd w:val="clear" w:color="auto" w:fill="ECF0FB"/>
              <w:spacing w:line="360" w:lineRule="auto"/>
              <w:ind w:firstLineChars="200" w:firstLine="480"/>
              <w:jc w:val="both"/>
              <w:rPr>
                <w:rFonts w:asciiTheme="minorEastAsia" w:eastAsiaTheme="minorEastAsia" w:hAnsiTheme="minorEastAsia" w:cstheme="minorBidi"/>
                <w:kern w:val="2"/>
              </w:rPr>
            </w:pPr>
            <w:r>
              <w:rPr>
                <w:rFonts w:hint="eastAsia"/>
              </w:rPr>
              <w:t>本次发行募集资金投资项目均围绕公司主营业务及未来战略布局展开，</w:t>
            </w:r>
            <w:r>
              <w:t>公司全面布局机器人硬件所需的全系列高端机床，旨在全面替代各类进口机床，为机器人产业的爆发做好加工母机的全面支撑，海德曼争取成为主要机器人硬件制造企业的核心机床供应商。</w:t>
            </w:r>
            <w:r>
              <w:rPr>
                <w:rFonts w:hint="eastAsia"/>
              </w:rPr>
              <w:t>公司有望通过实施本次募投项目进一步提高盈利水平，扩大经营规模，增强核心竞争力，为</w:t>
            </w:r>
            <w:r>
              <w:t>顺利实现上述发展战略和经营目标具有重要的促进作用。</w:t>
            </w:r>
          </w:p>
        </w:tc>
      </w:tr>
      <w:tr w:rsidR="00DB0BE2">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lastRenderedPageBreak/>
              <w:t>附件清单（如有）</w:t>
            </w:r>
          </w:p>
        </w:tc>
        <w:tc>
          <w:tcPr>
            <w:tcW w:w="7371" w:type="dxa"/>
            <w:shd w:val="clear" w:color="auto" w:fill="auto"/>
            <w:vAlign w:val="center"/>
          </w:tcPr>
          <w:p w:rsidR="00DB0BE2" w:rsidRDefault="00FD75B6">
            <w:pPr>
              <w:spacing w:line="360" w:lineRule="auto"/>
              <w:rPr>
                <w:rFonts w:ascii="宋体" w:eastAsia="宋体" w:hAnsi="宋体" w:cs="Times New Roman"/>
                <w:bCs/>
                <w:iCs/>
                <w:sz w:val="24"/>
                <w:szCs w:val="24"/>
              </w:rPr>
            </w:pPr>
            <w:r>
              <w:rPr>
                <w:rFonts w:ascii="宋体" w:eastAsia="宋体" w:hAnsi="宋体" w:cs="Times New Roman" w:hint="eastAsia"/>
                <w:bCs/>
                <w:iCs/>
                <w:sz w:val="24"/>
                <w:szCs w:val="24"/>
              </w:rPr>
              <w:t>无</w:t>
            </w:r>
          </w:p>
        </w:tc>
      </w:tr>
      <w:tr w:rsidR="00DB0BE2">
        <w:tc>
          <w:tcPr>
            <w:tcW w:w="1702" w:type="dxa"/>
            <w:shd w:val="clear" w:color="auto" w:fill="auto"/>
            <w:vAlign w:val="center"/>
          </w:tcPr>
          <w:p w:rsidR="00DB0BE2" w:rsidRDefault="00FD75B6">
            <w:pPr>
              <w:spacing w:line="360" w:lineRule="auto"/>
              <w:rPr>
                <w:rFonts w:ascii="宋体" w:eastAsia="宋体" w:hAnsi="宋体" w:cs="Times New Roman"/>
                <w:b/>
                <w:bCs/>
                <w:iCs/>
                <w:sz w:val="24"/>
                <w:szCs w:val="24"/>
              </w:rPr>
            </w:pPr>
            <w:r>
              <w:rPr>
                <w:rFonts w:ascii="宋体" w:eastAsia="宋体" w:hAnsi="宋体" w:cs="Times New Roman" w:hint="eastAsia"/>
                <w:b/>
                <w:bCs/>
                <w:iCs/>
                <w:sz w:val="24"/>
                <w:szCs w:val="24"/>
              </w:rPr>
              <w:t>日期</w:t>
            </w:r>
          </w:p>
        </w:tc>
        <w:tc>
          <w:tcPr>
            <w:tcW w:w="7371" w:type="dxa"/>
            <w:shd w:val="clear" w:color="auto" w:fill="auto"/>
            <w:vAlign w:val="center"/>
          </w:tcPr>
          <w:p w:rsidR="00DB0BE2" w:rsidRDefault="00FD75B6" w:rsidP="000C2571">
            <w:pPr>
              <w:spacing w:line="360" w:lineRule="auto"/>
              <w:rPr>
                <w:rFonts w:ascii="宋体" w:eastAsia="宋体" w:hAnsi="宋体" w:cs="Times New Roman"/>
                <w:iCs/>
                <w:sz w:val="24"/>
                <w:szCs w:val="24"/>
              </w:rPr>
            </w:pPr>
            <w:r>
              <w:rPr>
                <w:rFonts w:ascii="宋体" w:eastAsia="宋体" w:hAnsi="宋体" w:cs="Times New Roman" w:hint="eastAsia"/>
                <w:iCs/>
                <w:sz w:val="24"/>
                <w:szCs w:val="24"/>
              </w:rPr>
              <w:t>202</w:t>
            </w:r>
            <w:r w:rsidR="000C2571">
              <w:rPr>
                <w:rFonts w:ascii="宋体" w:eastAsia="宋体" w:hAnsi="宋体" w:cs="Times New Roman"/>
                <w:iCs/>
                <w:sz w:val="24"/>
                <w:szCs w:val="24"/>
              </w:rPr>
              <w:t>6</w:t>
            </w:r>
            <w:r>
              <w:rPr>
                <w:rFonts w:ascii="宋体" w:eastAsia="宋体" w:hAnsi="宋体" w:cs="Times New Roman" w:hint="eastAsia"/>
                <w:iCs/>
                <w:sz w:val="24"/>
                <w:szCs w:val="24"/>
              </w:rPr>
              <w:t>年</w:t>
            </w:r>
            <w:r w:rsidR="00C63F61">
              <w:rPr>
                <w:rFonts w:ascii="宋体" w:eastAsia="宋体" w:hAnsi="宋体" w:cs="Times New Roman"/>
                <w:iCs/>
                <w:sz w:val="24"/>
                <w:szCs w:val="24"/>
              </w:rPr>
              <w:t>8</w:t>
            </w:r>
            <w:r>
              <w:rPr>
                <w:rFonts w:ascii="宋体" w:eastAsia="宋体" w:hAnsi="宋体" w:cs="Times New Roman" w:hint="eastAsia"/>
                <w:iCs/>
                <w:sz w:val="24"/>
                <w:szCs w:val="24"/>
              </w:rPr>
              <w:t>月</w:t>
            </w:r>
            <w:r w:rsidR="0007657C">
              <w:rPr>
                <w:rFonts w:ascii="宋体" w:eastAsia="宋体" w:hAnsi="宋体" w:cs="Times New Roman" w:hint="eastAsia"/>
                <w:iCs/>
                <w:sz w:val="24"/>
                <w:szCs w:val="24"/>
              </w:rPr>
              <w:t>7</w:t>
            </w:r>
            <w:r>
              <w:rPr>
                <w:rFonts w:ascii="宋体" w:eastAsia="宋体" w:hAnsi="宋体" w:cs="Times New Roman" w:hint="eastAsia"/>
                <w:iCs/>
                <w:sz w:val="24"/>
                <w:szCs w:val="24"/>
              </w:rPr>
              <w:t>日</w:t>
            </w:r>
          </w:p>
        </w:tc>
      </w:tr>
    </w:tbl>
    <w:p w:rsidR="00DB0BE2" w:rsidRDefault="00DB0BE2">
      <w:pPr>
        <w:keepNext/>
        <w:keepLines/>
        <w:spacing w:before="260" w:after="260" w:line="360" w:lineRule="auto"/>
        <w:outlineLvl w:val="1"/>
      </w:pPr>
    </w:p>
    <w:sectPr w:rsidR="00DB0BE2">
      <w:footerReference w:type="default" r:id="rId8"/>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622" w:rsidRDefault="00984622">
      <w:r>
        <w:separator/>
      </w:r>
    </w:p>
  </w:endnote>
  <w:endnote w:type="continuationSeparator" w:id="0">
    <w:p w:rsidR="00984622" w:rsidRDefault="0098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微软雅黑"/>
    <w:charset w:val="86"/>
    <w:family w:val="swiss"/>
    <w:pitch w:val="default"/>
    <w:sig w:usb0="00000000" w:usb1="00000000" w:usb2="00000016" w:usb3="00000000" w:csb0="002E01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132165"/>
      <w:docPartObj>
        <w:docPartGallery w:val="AutoText"/>
      </w:docPartObj>
    </w:sdtPr>
    <w:sdtEndPr/>
    <w:sdtContent>
      <w:p w:rsidR="00DB0BE2" w:rsidRDefault="00FD75B6">
        <w:pPr>
          <w:pStyle w:val="a7"/>
          <w:jc w:val="center"/>
        </w:pPr>
        <w:r>
          <w:fldChar w:fldCharType="begin"/>
        </w:r>
        <w:r>
          <w:instrText>PAGE   \* MERGEFORMAT</w:instrText>
        </w:r>
        <w:r>
          <w:fldChar w:fldCharType="separate"/>
        </w:r>
        <w:r w:rsidR="00432FDD" w:rsidRPr="00432FDD">
          <w:rPr>
            <w:noProof/>
            <w:lang w:val="zh-CN"/>
          </w:rPr>
          <w:t>1</w:t>
        </w:r>
        <w:r>
          <w:fldChar w:fldCharType="end"/>
        </w:r>
      </w:p>
    </w:sdtContent>
  </w:sdt>
  <w:p w:rsidR="00DB0BE2" w:rsidRDefault="00DB0BE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622" w:rsidRDefault="00984622">
      <w:r>
        <w:separator/>
      </w:r>
    </w:p>
  </w:footnote>
  <w:footnote w:type="continuationSeparator" w:id="0">
    <w:p w:rsidR="00984622" w:rsidRDefault="009846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6CD"/>
    <w:rsid w:val="0000466C"/>
    <w:rsid w:val="00007952"/>
    <w:rsid w:val="000114D7"/>
    <w:rsid w:val="00014EDC"/>
    <w:rsid w:val="00014F2A"/>
    <w:rsid w:val="000206B3"/>
    <w:rsid w:val="00020D30"/>
    <w:rsid w:val="00021F69"/>
    <w:rsid w:val="00022E9B"/>
    <w:rsid w:val="000231C2"/>
    <w:rsid w:val="00023F7B"/>
    <w:rsid w:val="00025853"/>
    <w:rsid w:val="000269F1"/>
    <w:rsid w:val="00026CD7"/>
    <w:rsid w:val="00026E2B"/>
    <w:rsid w:val="000270E5"/>
    <w:rsid w:val="000333DF"/>
    <w:rsid w:val="00035C3F"/>
    <w:rsid w:val="00042C46"/>
    <w:rsid w:val="000444E5"/>
    <w:rsid w:val="0004566B"/>
    <w:rsid w:val="000521F8"/>
    <w:rsid w:val="00052470"/>
    <w:rsid w:val="000528A8"/>
    <w:rsid w:val="0005377F"/>
    <w:rsid w:val="00053BB8"/>
    <w:rsid w:val="0005452E"/>
    <w:rsid w:val="0005465B"/>
    <w:rsid w:val="00056412"/>
    <w:rsid w:val="00056F25"/>
    <w:rsid w:val="00057754"/>
    <w:rsid w:val="00063DB5"/>
    <w:rsid w:val="0006434F"/>
    <w:rsid w:val="00067C4C"/>
    <w:rsid w:val="00070593"/>
    <w:rsid w:val="00070C3B"/>
    <w:rsid w:val="00071B11"/>
    <w:rsid w:val="00072AA0"/>
    <w:rsid w:val="000737A9"/>
    <w:rsid w:val="0007657C"/>
    <w:rsid w:val="00081B36"/>
    <w:rsid w:val="000828F8"/>
    <w:rsid w:val="00082ABB"/>
    <w:rsid w:val="000840A7"/>
    <w:rsid w:val="00086C90"/>
    <w:rsid w:val="000A65EF"/>
    <w:rsid w:val="000A7A6E"/>
    <w:rsid w:val="000B4CD5"/>
    <w:rsid w:val="000B6FFD"/>
    <w:rsid w:val="000B7A41"/>
    <w:rsid w:val="000C0D0B"/>
    <w:rsid w:val="000C2571"/>
    <w:rsid w:val="000C2F52"/>
    <w:rsid w:val="000C3D1F"/>
    <w:rsid w:val="000F051A"/>
    <w:rsid w:val="000F6BEB"/>
    <w:rsid w:val="00103C4E"/>
    <w:rsid w:val="001048F6"/>
    <w:rsid w:val="0010705D"/>
    <w:rsid w:val="001110D1"/>
    <w:rsid w:val="00111EF4"/>
    <w:rsid w:val="00113C72"/>
    <w:rsid w:val="00114CEA"/>
    <w:rsid w:val="001221B8"/>
    <w:rsid w:val="00124694"/>
    <w:rsid w:val="001304EB"/>
    <w:rsid w:val="001319D9"/>
    <w:rsid w:val="001334C1"/>
    <w:rsid w:val="001354C7"/>
    <w:rsid w:val="00136BC5"/>
    <w:rsid w:val="001420C4"/>
    <w:rsid w:val="00142C7D"/>
    <w:rsid w:val="00143A57"/>
    <w:rsid w:val="00143F14"/>
    <w:rsid w:val="00145DD1"/>
    <w:rsid w:val="0014615C"/>
    <w:rsid w:val="00146F6A"/>
    <w:rsid w:val="00150334"/>
    <w:rsid w:val="00151B55"/>
    <w:rsid w:val="00155053"/>
    <w:rsid w:val="00164712"/>
    <w:rsid w:val="001672FF"/>
    <w:rsid w:val="001725E3"/>
    <w:rsid w:val="001819EF"/>
    <w:rsid w:val="00182ED0"/>
    <w:rsid w:val="00186DBB"/>
    <w:rsid w:val="00190CED"/>
    <w:rsid w:val="0019367F"/>
    <w:rsid w:val="00195535"/>
    <w:rsid w:val="00195D37"/>
    <w:rsid w:val="001965A6"/>
    <w:rsid w:val="0019718B"/>
    <w:rsid w:val="001A125C"/>
    <w:rsid w:val="001A20E2"/>
    <w:rsid w:val="001B00D8"/>
    <w:rsid w:val="001B011E"/>
    <w:rsid w:val="001B1598"/>
    <w:rsid w:val="001B4177"/>
    <w:rsid w:val="001B508F"/>
    <w:rsid w:val="001B7B58"/>
    <w:rsid w:val="001B7CE6"/>
    <w:rsid w:val="001D4AAA"/>
    <w:rsid w:val="001D5222"/>
    <w:rsid w:val="001D7A5D"/>
    <w:rsid w:val="001E14D1"/>
    <w:rsid w:val="001E2BC5"/>
    <w:rsid w:val="001E5E64"/>
    <w:rsid w:val="001E7F7C"/>
    <w:rsid w:val="001F2572"/>
    <w:rsid w:val="001F437E"/>
    <w:rsid w:val="001F5B62"/>
    <w:rsid w:val="001F7172"/>
    <w:rsid w:val="002007CE"/>
    <w:rsid w:val="002037F8"/>
    <w:rsid w:val="002118DC"/>
    <w:rsid w:val="002124B0"/>
    <w:rsid w:val="002128C9"/>
    <w:rsid w:val="0021482D"/>
    <w:rsid w:val="00214C8F"/>
    <w:rsid w:val="002163AC"/>
    <w:rsid w:val="0022280F"/>
    <w:rsid w:val="002256EF"/>
    <w:rsid w:val="002278FB"/>
    <w:rsid w:val="00232813"/>
    <w:rsid w:val="00234237"/>
    <w:rsid w:val="00234D03"/>
    <w:rsid w:val="00241ADA"/>
    <w:rsid w:val="002441E8"/>
    <w:rsid w:val="00251EF8"/>
    <w:rsid w:val="002525E9"/>
    <w:rsid w:val="0025271B"/>
    <w:rsid w:val="002537EC"/>
    <w:rsid w:val="0025489E"/>
    <w:rsid w:val="00255B4A"/>
    <w:rsid w:val="00256250"/>
    <w:rsid w:val="00256AA9"/>
    <w:rsid w:val="00263DBF"/>
    <w:rsid w:val="002650F9"/>
    <w:rsid w:val="00265493"/>
    <w:rsid w:val="00267056"/>
    <w:rsid w:val="002703F5"/>
    <w:rsid w:val="00272C27"/>
    <w:rsid w:val="002739C7"/>
    <w:rsid w:val="00273BE7"/>
    <w:rsid w:val="00273D9E"/>
    <w:rsid w:val="00280CF9"/>
    <w:rsid w:val="0028148B"/>
    <w:rsid w:val="002845C7"/>
    <w:rsid w:val="00285C6E"/>
    <w:rsid w:val="0028651D"/>
    <w:rsid w:val="00286F7B"/>
    <w:rsid w:val="00287001"/>
    <w:rsid w:val="0029158A"/>
    <w:rsid w:val="0029285E"/>
    <w:rsid w:val="00293FBB"/>
    <w:rsid w:val="00295236"/>
    <w:rsid w:val="002A15B6"/>
    <w:rsid w:val="002A5452"/>
    <w:rsid w:val="002B0AD4"/>
    <w:rsid w:val="002B3E34"/>
    <w:rsid w:val="002B6352"/>
    <w:rsid w:val="002B75F5"/>
    <w:rsid w:val="002C0B14"/>
    <w:rsid w:val="002C1886"/>
    <w:rsid w:val="002C1C3B"/>
    <w:rsid w:val="002C23DD"/>
    <w:rsid w:val="002C3664"/>
    <w:rsid w:val="002C3773"/>
    <w:rsid w:val="002C3AD1"/>
    <w:rsid w:val="002C5368"/>
    <w:rsid w:val="002D15D1"/>
    <w:rsid w:val="002D3578"/>
    <w:rsid w:val="002D3753"/>
    <w:rsid w:val="002E1832"/>
    <w:rsid w:val="002E4187"/>
    <w:rsid w:val="002F19BA"/>
    <w:rsid w:val="002F1B04"/>
    <w:rsid w:val="002F380E"/>
    <w:rsid w:val="002F4C46"/>
    <w:rsid w:val="002F6EAD"/>
    <w:rsid w:val="00301F48"/>
    <w:rsid w:val="00302A1F"/>
    <w:rsid w:val="00302E46"/>
    <w:rsid w:val="003063B2"/>
    <w:rsid w:val="00307607"/>
    <w:rsid w:val="00307EC1"/>
    <w:rsid w:val="0031032E"/>
    <w:rsid w:val="003131C3"/>
    <w:rsid w:val="003134D4"/>
    <w:rsid w:val="0031371B"/>
    <w:rsid w:val="003148A1"/>
    <w:rsid w:val="00320D9D"/>
    <w:rsid w:val="00320EA7"/>
    <w:rsid w:val="00322B7F"/>
    <w:rsid w:val="0032400F"/>
    <w:rsid w:val="00327CE4"/>
    <w:rsid w:val="003330DA"/>
    <w:rsid w:val="00336191"/>
    <w:rsid w:val="00340A0E"/>
    <w:rsid w:val="003413FD"/>
    <w:rsid w:val="00341DFF"/>
    <w:rsid w:val="003463DB"/>
    <w:rsid w:val="00347B43"/>
    <w:rsid w:val="003508D5"/>
    <w:rsid w:val="003524BC"/>
    <w:rsid w:val="00352BAE"/>
    <w:rsid w:val="0035572A"/>
    <w:rsid w:val="00355CC6"/>
    <w:rsid w:val="00357C40"/>
    <w:rsid w:val="003626E4"/>
    <w:rsid w:val="00362CD0"/>
    <w:rsid w:val="00363384"/>
    <w:rsid w:val="0036477E"/>
    <w:rsid w:val="00367B2E"/>
    <w:rsid w:val="0037038A"/>
    <w:rsid w:val="003722F1"/>
    <w:rsid w:val="0037245D"/>
    <w:rsid w:val="003755C6"/>
    <w:rsid w:val="00376EB2"/>
    <w:rsid w:val="0038034C"/>
    <w:rsid w:val="00380666"/>
    <w:rsid w:val="003843E3"/>
    <w:rsid w:val="00384AA1"/>
    <w:rsid w:val="00385D44"/>
    <w:rsid w:val="00386F86"/>
    <w:rsid w:val="0039703B"/>
    <w:rsid w:val="00397642"/>
    <w:rsid w:val="003A2EB2"/>
    <w:rsid w:val="003A5BDA"/>
    <w:rsid w:val="003B13A4"/>
    <w:rsid w:val="003B1A94"/>
    <w:rsid w:val="003B447F"/>
    <w:rsid w:val="003C0892"/>
    <w:rsid w:val="003C1AEC"/>
    <w:rsid w:val="003D2A88"/>
    <w:rsid w:val="003D2F73"/>
    <w:rsid w:val="003D3FDE"/>
    <w:rsid w:val="003D40E0"/>
    <w:rsid w:val="003D56AF"/>
    <w:rsid w:val="003D617B"/>
    <w:rsid w:val="003D6EFE"/>
    <w:rsid w:val="003E11FC"/>
    <w:rsid w:val="003E5A11"/>
    <w:rsid w:val="003F2A5A"/>
    <w:rsid w:val="003F469D"/>
    <w:rsid w:val="003F63E3"/>
    <w:rsid w:val="003F6D0B"/>
    <w:rsid w:val="00400128"/>
    <w:rsid w:val="004005E7"/>
    <w:rsid w:val="00400B90"/>
    <w:rsid w:val="0040142B"/>
    <w:rsid w:val="00404723"/>
    <w:rsid w:val="004106EC"/>
    <w:rsid w:val="00411262"/>
    <w:rsid w:val="00412CBC"/>
    <w:rsid w:val="00413D7B"/>
    <w:rsid w:val="00415FC4"/>
    <w:rsid w:val="00420071"/>
    <w:rsid w:val="0042182D"/>
    <w:rsid w:val="00425BB1"/>
    <w:rsid w:val="00432964"/>
    <w:rsid w:val="00432FDD"/>
    <w:rsid w:val="00433835"/>
    <w:rsid w:val="00433A76"/>
    <w:rsid w:val="00433E91"/>
    <w:rsid w:val="00435A78"/>
    <w:rsid w:val="00437A33"/>
    <w:rsid w:val="004448A2"/>
    <w:rsid w:val="00454D0E"/>
    <w:rsid w:val="00456546"/>
    <w:rsid w:val="00461D2F"/>
    <w:rsid w:val="004679E4"/>
    <w:rsid w:val="00467B9C"/>
    <w:rsid w:val="00470346"/>
    <w:rsid w:val="00470E79"/>
    <w:rsid w:val="00472F77"/>
    <w:rsid w:val="00473F91"/>
    <w:rsid w:val="0047797D"/>
    <w:rsid w:val="00480517"/>
    <w:rsid w:val="004811C8"/>
    <w:rsid w:val="00482D5D"/>
    <w:rsid w:val="00482D8F"/>
    <w:rsid w:val="00484E51"/>
    <w:rsid w:val="004852E3"/>
    <w:rsid w:val="004859A7"/>
    <w:rsid w:val="00491803"/>
    <w:rsid w:val="004932F9"/>
    <w:rsid w:val="00493994"/>
    <w:rsid w:val="00495655"/>
    <w:rsid w:val="004A0B05"/>
    <w:rsid w:val="004A0DEE"/>
    <w:rsid w:val="004A2928"/>
    <w:rsid w:val="004A58CB"/>
    <w:rsid w:val="004A5D23"/>
    <w:rsid w:val="004A5F3C"/>
    <w:rsid w:val="004B1804"/>
    <w:rsid w:val="004B291F"/>
    <w:rsid w:val="004B500C"/>
    <w:rsid w:val="004B6501"/>
    <w:rsid w:val="004B7060"/>
    <w:rsid w:val="004C04DD"/>
    <w:rsid w:val="004C3E41"/>
    <w:rsid w:val="004C6956"/>
    <w:rsid w:val="004C7DA5"/>
    <w:rsid w:val="004D4156"/>
    <w:rsid w:val="004D4C08"/>
    <w:rsid w:val="004D5EE0"/>
    <w:rsid w:val="004D614E"/>
    <w:rsid w:val="004E0830"/>
    <w:rsid w:val="004E25DD"/>
    <w:rsid w:val="004E4CBB"/>
    <w:rsid w:val="004F5C3F"/>
    <w:rsid w:val="004F7CEC"/>
    <w:rsid w:val="0050233E"/>
    <w:rsid w:val="00504DF9"/>
    <w:rsid w:val="00506B34"/>
    <w:rsid w:val="00507071"/>
    <w:rsid w:val="00510286"/>
    <w:rsid w:val="00513D5E"/>
    <w:rsid w:val="00524D04"/>
    <w:rsid w:val="00534BB8"/>
    <w:rsid w:val="00534D66"/>
    <w:rsid w:val="0053581D"/>
    <w:rsid w:val="0054404C"/>
    <w:rsid w:val="00545C51"/>
    <w:rsid w:val="0055292A"/>
    <w:rsid w:val="00557944"/>
    <w:rsid w:val="00561718"/>
    <w:rsid w:val="005623FE"/>
    <w:rsid w:val="00562786"/>
    <w:rsid w:val="00566471"/>
    <w:rsid w:val="00572A6D"/>
    <w:rsid w:val="00574021"/>
    <w:rsid w:val="00581932"/>
    <w:rsid w:val="00582D78"/>
    <w:rsid w:val="005843CC"/>
    <w:rsid w:val="00584526"/>
    <w:rsid w:val="00584CC7"/>
    <w:rsid w:val="00584D8F"/>
    <w:rsid w:val="00586CDE"/>
    <w:rsid w:val="00586ED6"/>
    <w:rsid w:val="00587C31"/>
    <w:rsid w:val="00587DAB"/>
    <w:rsid w:val="0059049C"/>
    <w:rsid w:val="00590A79"/>
    <w:rsid w:val="00590B8E"/>
    <w:rsid w:val="00590DC4"/>
    <w:rsid w:val="005917EA"/>
    <w:rsid w:val="005953E9"/>
    <w:rsid w:val="00595953"/>
    <w:rsid w:val="00596D45"/>
    <w:rsid w:val="005A0CBE"/>
    <w:rsid w:val="005A17E4"/>
    <w:rsid w:val="005A3C90"/>
    <w:rsid w:val="005A3CFE"/>
    <w:rsid w:val="005A4D77"/>
    <w:rsid w:val="005A7D59"/>
    <w:rsid w:val="005B17EF"/>
    <w:rsid w:val="005B3A47"/>
    <w:rsid w:val="005B3D04"/>
    <w:rsid w:val="005B44FE"/>
    <w:rsid w:val="005B628F"/>
    <w:rsid w:val="005C19C5"/>
    <w:rsid w:val="005C6678"/>
    <w:rsid w:val="005D087C"/>
    <w:rsid w:val="005D18CD"/>
    <w:rsid w:val="005D20DD"/>
    <w:rsid w:val="005D689E"/>
    <w:rsid w:val="005E06B6"/>
    <w:rsid w:val="005E2E02"/>
    <w:rsid w:val="005E3617"/>
    <w:rsid w:val="005E4F20"/>
    <w:rsid w:val="005E5F7A"/>
    <w:rsid w:val="005F2C62"/>
    <w:rsid w:val="005F4DC0"/>
    <w:rsid w:val="005F725C"/>
    <w:rsid w:val="005F7318"/>
    <w:rsid w:val="00605119"/>
    <w:rsid w:val="00606A42"/>
    <w:rsid w:val="00611A1A"/>
    <w:rsid w:val="00611BE6"/>
    <w:rsid w:val="00613D10"/>
    <w:rsid w:val="00622BC7"/>
    <w:rsid w:val="00623855"/>
    <w:rsid w:val="0062496F"/>
    <w:rsid w:val="00626FB3"/>
    <w:rsid w:val="0063129A"/>
    <w:rsid w:val="006323B5"/>
    <w:rsid w:val="006400C3"/>
    <w:rsid w:val="00642382"/>
    <w:rsid w:val="00643744"/>
    <w:rsid w:val="00643F90"/>
    <w:rsid w:val="0064637F"/>
    <w:rsid w:val="00653A71"/>
    <w:rsid w:val="00654B02"/>
    <w:rsid w:val="00655394"/>
    <w:rsid w:val="00655835"/>
    <w:rsid w:val="006607F7"/>
    <w:rsid w:val="00666C87"/>
    <w:rsid w:val="00667FB5"/>
    <w:rsid w:val="00672C00"/>
    <w:rsid w:val="00672CD0"/>
    <w:rsid w:val="00673190"/>
    <w:rsid w:val="00676DE7"/>
    <w:rsid w:val="00686E4C"/>
    <w:rsid w:val="00687FE0"/>
    <w:rsid w:val="0069022E"/>
    <w:rsid w:val="0069619A"/>
    <w:rsid w:val="006A2E11"/>
    <w:rsid w:val="006A3184"/>
    <w:rsid w:val="006B3907"/>
    <w:rsid w:val="006B4C6D"/>
    <w:rsid w:val="006B7B33"/>
    <w:rsid w:val="006E2781"/>
    <w:rsid w:val="006E3B82"/>
    <w:rsid w:val="006E48D1"/>
    <w:rsid w:val="006E652F"/>
    <w:rsid w:val="006E7372"/>
    <w:rsid w:val="006F32A2"/>
    <w:rsid w:val="006F438E"/>
    <w:rsid w:val="00701E34"/>
    <w:rsid w:val="007071E7"/>
    <w:rsid w:val="007118F2"/>
    <w:rsid w:val="00712776"/>
    <w:rsid w:val="00713A75"/>
    <w:rsid w:val="00715D15"/>
    <w:rsid w:val="0071783E"/>
    <w:rsid w:val="0072251E"/>
    <w:rsid w:val="00733488"/>
    <w:rsid w:val="00733699"/>
    <w:rsid w:val="0073564B"/>
    <w:rsid w:val="00735F4D"/>
    <w:rsid w:val="0074048C"/>
    <w:rsid w:val="00746249"/>
    <w:rsid w:val="00751592"/>
    <w:rsid w:val="007562E2"/>
    <w:rsid w:val="00756A97"/>
    <w:rsid w:val="00757362"/>
    <w:rsid w:val="007574E4"/>
    <w:rsid w:val="0076183F"/>
    <w:rsid w:val="007666C8"/>
    <w:rsid w:val="00770B3F"/>
    <w:rsid w:val="007711DE"/>
    <w:rsid w:val="00771A91"/>
    <w:rsid w:val="00772D04"/>
    <w:rsid w:val="00773213"/>
    <w:rsid w:val="00782504"/>
    <w:rsid w:val="00785284"/>
    <w:rsid w:val="007903AE"/>
    <w:rsid w:val="00791342"/>
    <w:rsid w:val="0079430A"/>
    <w:rsid w:val="00794C8B"/>
    <w:rsid w:val="00795940"/>
    <w:rsid w:val="007A4905"/>
    <w:rsid w:val="007A7DA8"/>
    <w:rsid w:val="007B196F"/>
    <w:rsid w:val="007C11F9"/>
    <w:rsid w:val="007C39F3"/>
    <w:rsid w:val="007C4B24"/>
    <w:rsid w:val="007C630E"/>
    <w:rsid w:val="007C7447"/>
    <w:rsid w:val="007C7D09"/>
    <w:rsid w:val="007D360C"/>
    <w:rsid w:val="007D49A3"/>
    <w:rsid w:val="007D6D8F"/>
    <w:rsid w:val="007E1F58"/>
    <w:rsid w:val="007E2163"/>
    <w:rsid w:val="007E25A8"/>
    <w:rsid w:val="007E4538"/>
    <w:rsid w:val="007E6541"/>
    <w:rsid w:val="007E6C0E"/>
    <w:rsid w:val="007F0549"/>
    <w:rsid w:val="007F0774"/>
    <w:rsid w:val="007F2176"/>
    <w:rsid w:val="007F314E"/>
    <w:rsid w:val="007F5093"/>
    <w:rsid w:val="007F5C7A"/>
    <w:rsid w:val="00800C86"/>
    <w:rsid w:val="008061D7"/>
    <w:rsid w:val="00806573"/>
    <w:rsid w:val="008135CB"/>
    <w:rsid w:val="00813CF6"/>
    <w:rsid w:val="00814484"/>
    <w:rsid w:val="008160A1"/>
    <w:rsid w:val="0081659D"/>
    <w:rsid w:val="00816CED"/>
    <w:rsid w:val="00821670"/>
    <w:rsid w:val="00821685"/>
    <w:rsid w:val="00823487"/>
    <w:rsid w:val="0082413F"/>
    <w:rsid w:val="00824EC7"/>
    <w:rsid w:val="00827C6C"/>
    <w:rsid w:val="00831BF9"/>
    <w:rsid w:val="00832523"/>
    <w:rsid w:val="00832EC3"/>
    <w:rsid w:val="00834A94"/>
    <w:rsid w:val="00836E8C"/>
    <w:rsid w:val="008453D5"/>
    <w:rsid w:val="00850440"/>
    <w:rsid w:val="00857E84"/>
    <w:rsid w:val="00860427"/>
    <w:rsid w:val="008621A4"/>
    <w:rsid w:val="008629B1"/>
    <w:rsid w:val="00873293"/>
    <w:rsid w:val="00875E95"/>
    <w:rsid w:val="00877FCC"/>
    <w:rsid w:val="00881DD5"/>
    <w:rsid w:val="008820C4"/>
    <w:rsid w:val="00884D7C"/>
    <w:rsid w:val="00886FE4"/>
    <w:rsid w:val="0088717C"/>
    <w:rsid w:val="008914C8"/>
    <w:rsid w:val="00892B0E"/>
    <w:rsid w:val="00894406"/>
    <w:rsid w:val="008957A1"/>
    <w:rsid w:val="0089695C"/>
    <w:rsid w:val="008A120E"/>
    <w:rsid w:val="008A55ED"/>
    <w:rsid w:val="008A61CA"/>
    <w:rsid w:val="008B28F2"/>
    <w:rsid w:val="008B4886"/>
    <w:rsid w:val="008C0331"/>
    <w:rsid w:val="008C04C9"/>
    <w:rsid w:val="008C4D32"/>
    <w:rsid w:val="008C6B72"/>
    <w:rsid w:val="008C7588"/>
    <w:rsid w:val="008D2B96"/>
    <w:rsid w:val="008D3726"/>
    <w:rsid w:val="008D5A4E"/>
    <w:rsid w:val="008D5AC1"/>
    <w:rsid w:val="008E245B"/>
    <w:rsid w:val="008E7BEB"/>
    <w:rsid w:val="008F2710"/>
    <w:rsid w:val="008F5F3A"/>
    <w:rsid w:val="00900BAF"/>
    <w:rsid w:val="00904658"/>
    <w:rsid w:val="009108F5"/>
    <w:rsid w:val="0091400E"/>
    <w:rsid w:val="009157EF"/>
    <w:rsid w:val="00915920"/>
    <w:rsid w:val="009224F5"/>
    <w:rsid w:val="00924412"/>
    <w:rsid w:val="0092574C"/>
    <w:rsid w:val="00925BB9"/>
    <w:rsid w:val="009268D0"/>
    <w:rsid w:val="009305FB"/>
    <w:rsid w:val="009373EE"/>
    <w:rsid w:val="00941808"/>
    <w:rsid w:val="00941C72"/>
    <w:rsid w:val="00942951"/>
    <w:rsid w:val="00942BE8"/>
    <w:rsid w:val="0094366F"/>
    <w:rsid w:val="00945112"/>
    <w:rsid w:val="009457DF"/>
    <w:rsid w:val="0095035C"/>
    <w:rsid w:val="009553B1"/>
    <w:rsid w:val="0096018C"/>
    <w:rsid w:val="00961F3D"/>
    <w:rsid w:val="00963E33"/>
    <w:rsid w:val="00964E37"/>
    <w:rsid w:val="009665B5"/>
    <w:rsid w:val="00966C22"/>
    <w:rsid w:val="009678BF"/>
    <w:rsid w:val="009776A7"/>
    <w:rsid w:val="00980694"/>
    <w:rsid w:val="00984622"/>
    <w:rsid w:val="009868C0"/>
    <w:rsid w:val="00991961"/>
    <w:rsid w:val="009952B6"/>
    <w:rsid w:val="009A0069"/>
    <w:rsid w:val="009A2475"/>
    <w:rsid w:val="009A3457"/>
    <w:rsid w:val="009B1A8C"/>
    <w:rsid w:val="009B230D"/>
    <w:rsid w:val="009C00F1"/>
    <w:rsid w:val="009C06A4"/>
    <w:rsid w:val="009C63B1"/>
    <w:rsid w:val="009D11A0"/>
    <w:rsid w:val="009D1568"/>
    <w:rsid w:val="009D266D"/>
    <w:rsid w:val="009D2D59"/>
    <w:rsid w:val="009D6482"/>
    <w:rsid w:val="009E0B46"/>
    <w:rsid w:val="009E1446"/>
    <w:rsid w:val="009E3D68"/>
    <w:rsid w:val="009E7AC4"/>
    <w:rsid w:val="009F057B"/>
    <w:rsid w:val="009F0B23"/>
    <w:rsid w:val="009F4C7E"/>
    <w:rsid w:val="009F7430"/>
    <w:rsid w:val="00A01DEA"/>
    <w:rsid w:val="00A03AA1"/>
    <w:rsid w:val="00A04996"/>
    <w:rsid w:val="00A05042"/>
    <w:rsid w:val="00A06AD6"/>
    <w:rsid w:val="00A10363"/>
    <w:rsid w:val="00A10F5B"/>
    <w:rsid w:val="00A16F6F"/>
    <w:rsid w:val="00A22DED"/>
    <w:rsid w:val="00A23233"/>
    <w:rsid w:val="00A26AEA"/>
    <w:rsid w:val="00A31B20"/>
    <w:rsid w:val="00A32B73"/>
    <w:rsid w:val="00A32ED1"/>
    <w:rsid w:val="00A343CA"/>
    <w:rsid w:val="00A37775"/>
    <w:rsid w:val="00A40825"/>
    <w:rsid w:val="00A4124D"/>
    <w:rsid w:val="00A41A06"/>
    <w:rsid w:val="00A42495"/>
    <w:rsid w:val="00A47BDA"/>
    <w:rsid w:val="00A50AE5"/>
    <w:rsid w:val="00A56101"/>
    <w:rsid w:val="00A57863"/>
    <w:rsid w:val="00A61EB8"/>
    <w:rsid w:val="00A6487E"/>
    <w:rsid w:val="00A7012C"/>
    <w:rsid w:val="00A70EC0"/>
    <w:rsid w:val="00A71BFD"/>
    <w:rsid w:val="00A742DD"/>
    <w:rsid w:val="00A74715"/>
    <w:rsid w:val="00A76F0C"/>
    <w:rsid w:val="00A774EE"/>
    <w:rsid w:val="00A85704"/>
    <w:rsid w:val="00A8734C"/>
    <w:rsid w:val="00A878CB"/>
    <w:rsid w:val="00A96100"/>
    <w:rsid w:val="00A97143"/>
    <w:rsid w:val="00A97D76"/>
    <w:rsid w:val="00A97DA1"/>
    <w:rsid w:val="00AA0A3B"/>
    <w:rsid w:val="00AA5E76"/>
    <w:rsid w:val="00AB03BB"/>
    <w:rsid w:val="00AB1912"/>
    <w:rsid w:val="00AB2C1D"/>
    <w:rsid w:val="00AB45D6"/>
    <w:rsid w:val="00AB6196"/>
    <w:rsid w:val="00AB6BC2"/>
    <w:rsid w:val="00AB7011"/>
    <w:rsid w:val="00AC0032"/>
    <w:rsid w:val="00AC5834"/>
    <w:rsid w:val="00AD237A"/>
    <w:rsid w:val="00AD445E"/>
    <w:rsid w:val="00AD4B08"/>
    <w:rsid w:val="00AE00B6"/>
    <w:rsid w:val="00AE1B13"/>
    <w:rsid w:val="00AE3EE3"/>
    <w:rsid w:val="00AF3CD6"/>
    <w:rsid w:val="00AF6EE4"/>
    <w:rsid w:val="00B008FA"/>
    <w:rsid w:val="00B019A9"/>
    <w:rsid w:val="00B025E2"/>
    <w:rsid w:val="00B02FC4"/>
    <w:rsid w:val="00B07508"/>
    <w:rsid w:val="00B12278"/>
    <w:rsid w:val="00B259D8"/>
    <w:rsid w:val="00B27C19"/>
    <w:rsid w:val="00B36617"/>
    <w:rsid w:val="00B36A53"/>
    <w:rsid w:val="00B41ACE"/>
    <w:rsid w:val="00B41E62"/>
    <w:rsid w:val="00B4298C"/>
    <w:rsid w:val="00B42E39"/>
    <w:rsid w:val="00B446BA"/>
    <w:rsid w:val="00B47853"/>
    <w:rsid w:val="00B53C47"/>
    <w:rsid w:val="00B57667"/>
    <w:rsid w:val="00B577E9"/>
    <w:rsid w:val="00B61BCB"/>
    <w:rsid w:val="00B67838"/>
    <w:rsid w:val="00B70645"/>
    <w:rsid w:val="00B70BAC"/>
    <w:rsid w:val="00B73AED"/>
    <w:rsid w:val="00B75100"/>
    <w:rsid w:val="00B76224"/>
    <w:rsid w:val="00B855F5"/>
    <w:rsid w:val="00B8596B"/>
    <w:rsid w:val="00B87C18"/>
    <w:rsid w:val="00B910F8"/>
    <w:rsid w:val="00B922C8"/>
    <w:rsid w:val="00B948F2"/>
    <w:rsid w:val="00B95F5D"/>
    <w:rsid w:val="00B97ADF"/>
    <w:rsid w:val="00BA51E7"/>
    <w:rsid w:val="00BA6238"/>
    <w:rsid w:val="00BA7DB1"/>
    <w:rsid w:val="00BB2024"/>
    <w:rsid w:val="00BB20B3"/>
    <w:rsid w:val="00BB2C3F"/>
    <w:rsid w:val="00BB2EF6"/>
    <w:rsid w:val="00BC4165"/>
    <w:rsid w:val="00BC4837"/>
    <w:rsid w:val="00BC51E4"/>
    <w:rsid w:val="00BC5824"/>
    <w:rsid w:val="00BD160D"/>
    <w:rsid w:val="00BE0789"/>
    <w:rsid w:val="00BE20BB"/>
    <w:rsid w:val="00BE277C"/>
    <w:rsid w:val="00BE54C4"/>
    <w:rsid w:val="00BE5D9C"/>
    <w:rsid w:val="00BE7646"/>
    <w:rsid w:val="00BE7F14"/>
    <w:rsid w:val="00BF1133"/>
    <w:rsid w:val="00BF17D3"/>
    <w:rsid w:val="00C001F3"/>
    <w:rsid w:val="00C03C09"/>
    <w:rsid w:val="00C05CED"/>
    <w:rsid w:val="00C104B8"/>
    <w:rsid w:val="00C1636B"/>
    <w:rsid w:val="00C17EC0"/>
    <w:rsid w:val="00C207C2"/>
    <w:rsid w:val="00C2295C"/>
    <w:rsid w:val="00C25DA3"/>
    <w:rsid w:val="00C32714"/>
    <w:rsid w:val="00C32C69"/>
    <w:rsid w:val="00C37AAB"/>
    <w:rsid w:val="00C40B1A"/>
    <w:rsid w:val="00C419CD"/>
    <w:rsid w:val="00C42788"/>
    <w:rsid w:val="00C47614"/>
    <w:rsid w:val="00C5254A"/>
    <w:rsid w:val="00C52F40"/>
    <w:rsid w:val="00C531CC"/>
    <w:rsid w:val="00C54B16"/>
    <w:rsid w:val="00C55E93"/>
    <w:rsid w:val="00C56171"/>
    <w:rsid w:val="00C63F61"/>
    <w:rsid w:val="00C653CE"/>
    <w:rsid w:val="00C70DF2"/>
    <w:rsid w:val="00C7174C"/>
    <w:rsid w:val="00C730C6"/>
    <w:rsid w:val="00C77DD7"/>
    <w:rsid w:val="00C82597"/>
    <w:rsid w:val="00C83091"/>
    <w:rsid w:val="00C860DF"/>
    <w:rsid w:val="00C91519"/>
    <w:rsid w:val="00C9168C"/>
    <w:rsid w:val="00C91FD9"/>
    <w:rsid w:val="00C951AA"/>
    <w:rsid w:val="00C95AA7"/>
    <w:rsid w:val="00C95EA6"/>
    <w:rsid w:val="00CA1818"/>
    <w:rsid w:val="00CA456D"/>
    <w:rsid w:val="00CA6505"/>
    <w:rsid w:val="00CB35BF"/>
    <w:rsid w:val="00CB6D7D"/>
    <w:rsid w:val="00CC092E"/>
    <w:rsid w:val="00CC10A1"/>
    <w:rsid w:val="00CC4FD6"/>
    <w:rsid w:val="00CC6538"/>
    <w:rsid w:val="00CC78CC"/>
    <w:rsid w:val="00CD147A"/>
    <w:rsid w:val="00CD419D"/>
    <w:rsid w:val="00CD65D6"/>
    <w:rsid w:val="00CD66E0"/>
    <w:rsid w:val="00CE515F"/>
    <w:rsid w:val="00CF6F6C"/>
    <w:rsid w:val="00D100A7"/>
    <w:rsid w:val="00D12BD7"/>
    <w:rsid w:val="00D13CFA"/>
    <w:rsid w:val="00D170E1"/>
    <w:rsid w:val="00D208A4"/>
    <w:rsid w:val="00D24257"/>
    <w:rsid w:val="00D327C1"/>
    <w:rsid w:val="00D34C37"/>
    <w:rsid w:val="00D35480"/>
    <w:rsid w:val="00D367D8"/>
    <w:rsid w:val="00D37CB6"/>
    <w:rsid w:val="00D40C13"/>
    <w:rsid w:val="00D41E36"/>
    <w:rsid w:val="00D52A56"/>
    <w:rsid w:val="00D5509A"/>
    <w:rsid w:val="00D5622E"/>
    <w:rsid w:val="00D62230"/>
    <w:rsid w:val="00D6700B"/>
    <w:rsid w:val="00D70C8F"/>
    <w:rsid w:val="00D73751"/>
    <w:rsid w:val="00D7427C"/>
    <w:rsid w:val="00D76F2A"/>
    <w:rsid w:val="00D84DF8"/>
    <w:rsid w:val="00D85CFD"/>
    <w:rsid w:val="00D93D53"/>
    <w:rsid w:val="00D93DC3"/>
    <w:rsid w:val="00D93EA8"/>
    <w:rsid w:val="00D96C95"/>
    <w:rsid w:val="00D96FB9"/>
    <w:rsid w:val="00D9771F"/>
    <w:rsid w:val="00DA4962"/>
    <w:rsid w:val="00DA4E99"/>
    <w:rsid w:val="00DA5894"/>
    <w:rsid w:val="00DB0BE2"/>
    <w:rsid w:val="00DB1D3C"/>
    <w:rsid w:val="00DC430C"/>
    <w:rsid w:val="00DD2242"/>
    <w:rsid w:val="00DD27C7"/>
    <w:rsid w:val="00DD6B57"/>
    <w:rsid w:val="00DD6EDF"/>
    <w:rsid w:val="00DE2CAA"/>
    <w:rsid w:val="00DE31A5"/>
    <w:rsid w:val="00DE3346"/>
    <w:rsid w:val="00DE568B"/>
    <w:rsid w:val="00DE5696"/>
    <w:rsid w:val="00DE7F6D"/>
    <w:rsid w:val="00E0172D"/>
    <w:rsid w:val="00E06AA6"/>
    <w:rsid w:val="00E07C47"/>
    <w:rsid w:val="00E24E41"/>
    <w:rsid w:val="00E3047C"/>
    <w:rsid w:val="00E32A31"/>
    <w:rsid w:val="00E53347"/>
    <w:rsid w:val="00E533BB"/>
    <w:rsid w:val="00E53783"/>
    <w:rsid w:val="00E54CA6"/>
    <w:rsid w:val="00E61A61"/>
    <w:rsid w:val="00E64488"/>
    <w:rsid w:val="00E668C5"/>
    <w:rsid w:val="00E70255"/>
    <w:rsid w:val="00E7060F"/>
    <w:rsid w:val="00E71126"/>
    <w:rsid w:val="00E71539"/>
    <w:rsid w:val="00E7386D"/>
    <w:rsid w:val="00E803AB"/>
    <w:rsid w:val="00E811B0"/>
    <w:rsid w:val="00E852F7"/>
    <w:rsid w:val="00E85A3C"/>
    <w:rsid w:val="00E91930"/>
    <w:rsid w:val="00E93DA5"/>
    <w:rsid w:val="00EA064C"/>
    <w:rsid w:val="00EA3651"/>
    <w:rsid w:val="00EA3EF8"/>
    <w:rsid w:val="00EA6288"/>
    <w:rsid w:val="00EB0100"/>
    <w:rsid w:val="00EB12AC"/>
    <w:rsid w:val="00EB1983"/>
    <w:rsid w:val="00EB2926"/>
    <w:rsid w:val="00EB3E32"/>
    <w:rsid w:val="00EB5EE5"/>
    <w:rsid w:val="00EC10E4"/>
    <w:rsid w:val="00EC1660"/>
    <w:rsid w:val="00EC1ED4"/>
    <w:rsid w:val="00EC28FD"/>
    <w:rsid w:val="00ED3AB2"/>
    <w:rsid w:val="00ED53EA"/>
    <w:rsid w:val="00ED7F74"/>
    <w:rsid w:val="00EE02A6"/>
    <w:rsid w:val="00EE16DD"/>
    <w:rsid w:val="00EE26CD"/>
    <w:rsid w:val="00EE26CF"/>
    <w:rsid w:val="00EE70E4"/>
    <w:rsid w:val="00EE7C85"/>
    <w:rsid w:val="00EF0A4D"/>
    <w:rsid w:val="00EF0F28"/>
    <w:rsid w:val="00F06B8F"/>
    <w:rsid w:val="00F06FD4"/>
    <w:rsid w:val="00F12302"/>
    <w:rsid w:val="00F1256C"/>
    <w:rsid w:val="00F13B54"/>
    <w:rsid w:val="00F142F3"/>
    <w:rsid w:val="00F25D68"/>
    <w:rsid w:val="00F302C6"/>
    <w:rsid w:val="00F31425"/>
    <w:rsid w:val="00F3194B"/>
    <w:rsid w:val="00F31D71"/>
    <w:rsid w:val="00F32FC6"/>
    <w:rsid w:val="00F35965"/>
    <w:rsid w:val="00F37B9B"/>
    <w:rsid w:val="00F414F7"/>
    <w:rsid w:val="00F42E00"/>
    <w:rsid w:val="00F43B79"/>
    <w:rsid w:val="00F452B8"/>
    <w:rsid w:val="00F4561D"/>
    <w:rsid w:val="00F477D7"/>
    <w:rsid w:val="00F50B26"/>
    <w:rsid w:val="00F50F83"/>
    <w:rsid w:val="00F51380"/>
    <w:rsid w:val="00F5385A"/>
    <w:rsid w:val="00F60682"/>
    <w:rsid w:val="00F61BB7"/>
    <w:rsid w:val="00F6394E"/>
    <w:rsid w:val="00F66E15"/>
    <w:rsid w:val="00F66FDE"/>
    <w:rsid w:val="00F744EC"/>
    <w:rsid w:val="00F74675"/>
    <w:rsid w:val="00F802B0"/>
    <w:rsid w:val="00F81B20"/>
    <w:rsid w:val="00F82175"/>
    <w:rsid w:val="00F870FA"/>
    <w:rsid w:val="00F8772E"/>
    <w:rsid w:val="00F87C66"/>
    <w:rsid w:val="00F92734"/>
    <w:rsid w:val="00F93639"/>
    <w:rsid w:val="00F93AD8"/>
    <w:rsid w:val="00F9738B"/>
    <w:rsid w:val="00FA2D6B"/>
    <w:rsid w:val="00FA56AE"/>
    <w:rsid w:val="00FA6EAC"/>
    <w:rsid w:val="00FB09AF"/>
    <w:rsid w:val="00FB28D9"/>
    <w:rsid w:val="00FB28F5"/>
    <w:rsid w:val="00FB2F30"/>
    <w:rsid w:val="00FB4A0F"/>
    <w:rsid w:val="00FC12C0"/>
    <w:rsid w:val="00FC19DF"/>
    <w:rsid w:val="00FC2937"/>
    <w:rsid w:val="00FC55FE"/>
    <w:rsid w:val="00FD225E"/>
    <w:rsid w:val="00FD24EA"/>
    <w:rsid w:val="00FD4FF3"/>
    <w:rsid w:val="00FD75B6"/>
    <w:rsid w:val="00FE33A1"/>
    <w:rsid w:val="00FE6D51"/>
    <w:rsid w:val="00FE6ED9"/>
    <w:rsid w:val="00FF14D9"/>
    <w:rsid w:val="00FF291F"/>
    <w:rsid w:val="00FF30B9"/>
    <w:rsid w:val="00FF4F78"/>
    <w:rsid w:val="04B47CA0"/>
    <w:rsid w:val="15152076"/>
    <w:rsid w:val="2E8A5161"/>
    <w:rsid w:val="32242D99"/>
    <w:rsid w:val="467F0394"/>
    <w:rsid w:val="4CF7225E"/>
    <w:rsid w:val="685428D3"/>
    <w:rsid w:val="7D9832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0BE60E-0871-4C3E-994F-B07F6D01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4">
    <w:name w:val="heading 4"/>
    <w:basedOn w:val="a"/>
    <w:link w:val="4Char"/>
    <w:uiPriority w:val="9"/>
    <w:qFormat/>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ody Text"/>
    <w:basedOn w:val="a"/>
    <w:link w:val="Char1"/>
    <w:uiPriority w:val="99"/>
    <w:qFormat/>
    <w:pPr>
      <w:spacing w:after="120"/>
    </w:pPr>
    <w:rPr>
      <w:rFonts w:ascii="Times New Roman" w:eastAsia="宋体" w:hAnsi="Times New Roman" w:cs="Times New Roman"/>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unhideWhenUsed/>
    <w:qFormat/>
    <w:rPr>
      <w:rFonts w:ascii="Times New Roman" w:hAnsi="Times New Roman" w:cs="Times New Roman"/>
      <w:sz w:val="24"/>
      <w:szCs w:val="24"/>
    </w:rPr>
  </w:style>
  <w:style w:type="paragraph" w:styleId="aa">
    <w:name w:val="annotation subject"/>
    <w:basedOn w:val="a4"/>
    <w:next w:val="a4"/>
    <w:link w:val="Char5"/>
    <w:uiPriority w:val="99"/>
    <w:semiHidden/>
    <w:unhideWhenUsed/>
    <w:qFormat/>
    <w:rPr>
      <w:b/>
      <w:bCs/>
    </w:rPr>
  </w:style>
  <w:style w:type="table" w:styleId="ab">
    <w:name w:val="Table Grid"/>
    <w:basedOn w:val="a1"/>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semiHidden/>
    <w:unhideWhenUsed/>
    <w:qFormat/>
    <w:rPr>
      <w:color w:val="0000FF"/>
      <w:u w:val="single"/>
    </w:rPr>
  </w:style>
  <w:style w:type="character" w:styleId="ad">
    <w:name w:val="annotation reference"/>
    <w:basedOn w:val="a0"/>
    <w:uiPriority w:val="99"/>
    <w:semiHidden/>
    <w:unhideWhenUsed/>
    <w:qFormat/>
    <w:rPr>
      <w:sz w:val="21"/>
      <w:szCs w:val="21"/>
    </w:rPr>
  </w:style>
  <w:style w:type="character" w:customStyle="1" w:styleId="Char4">
    <w:name w:val="页眉 Char"/>
    <w:basedOn w:val="a0"/>
    <w:link w:val="a8"/>
    <w:uiPriority w:val="99"/>
    <w:qFormat/>
    <w:rPr>
      <w:kern w:val="2"/>
      <w:sz w:val="18"/>
      <w:szCs w:val="18"/>
    </w:rPr>
  </w:style>
  <w:style w:type="character" w:customStyle="1" w:styleId="Char3">
    <w:name w:val="页脚 Char"/>
    <w:basedOn w:val="a0"/>
    <w:link w:val="a7"/>
    <w:uiPriority w:val="99"/>
    <w:qFormat/>
    <w:rPr>
      <w:kern w:val="2"/>
      <w:sz w:val="18"/>
      <w:szCs w:val="18"/>
    </w:rPr>
  </w:style>
  <w:style w:type="paragraph" w:styleId="ae">
    <w:name w:val="List Paragraph"/>
    <w:basedOn w:val="a"/>
    <w:uiPriority w:val="34"/>
    <w:qFormat/>
    <w:pPr>
      <w:ind w:firstLineChars="200" w:firstLine="420"/>
    </w:pPr>
  </w:style>
  <w:style w:type="character" w:customStyle="1" w:styleId="Char0">
    <w:name w:val="批注文字 Char"/>
    <w:basedOn w:val="a0"/>
    <w:link w:val="a4"/>
    <w:uiPriority w:val="99"/>
    <w:semiHidden/>
    <w:qFormat/>
    <w:rPr>
      <w:kern w:val="2"/>
      <w:sz w:val="21"/>
      <w:szCs w:val="22"/>
    </w:rPr>
  </w:style>
  <w:style w:type="character" w:customStyle="1" w:styleId="Char5">
    <w:name w:val="批注主题 Char"/>
    <w:basedOn w:val="Char0"/>
    <w:link w:val="aa"/>
    <w:uiPriority w:val="99"/>
    <w:semiHidden/>
    <w:qFormat/>
    <w:rPr>
      <w:b/>
      <w:bCs/>
      <w:kern w:val="2"/>
      <w:sz w:val="21"/>
      <w:szCs w:val="22"/>
    </w:rPr>
  </w:style>
  <w:style w:type="character" w:customStyle="1" w:styleId="Char2">
    <w:name w:val="批注框文本 Char"/>
    <w:basedOn w:val="a0"/>
    <w:link w:val="a6"/>
    <w:uiPriority w:val="99"/>
    <w:semiHidden/>
    <w:qFormat/>
    <w:rPr>
      <w:kern w:val="2"/>
      <w:sz w:val="18"/>
      <w:szCs w:val="18"/>
    </w:rPr>
  </w:style>
  <w:style w:type="paragraph" w:customStyle="1" w:styleId="005">
    <w:name w:val="005正文"/>
    <w:basedOn w:val="a"/>
    <w:link w:val="005Char"/>
    <w:qFormat/>
    <w:pPr>
      <w:adjustRightInd w:val="0"/>
      <w:snapToGrid w:val="0"/>
      <w:spacing w:beforeLines="50" w:afterLines="50" w:line="360" w:lineRule="auto"/>
      <w:ind w:firstLineChars="200" w:firstLine="200"/>
    </w:pPr>
    <w:rPr>
      <w:rFonts w:ascii="Times New Roman" w:eastAsia="宋体" w:hAnsi="Times New Roman" w:cs="Times New Roman"/>
      <w:sz w:val="24"/>
    </w:rPr>
  </w:style>
  <w:style w:type="character" w:customStyle="1" w:styleId="005Char">
    <w:name w:val="005正文 Char"/>
    <w:link w:val="005"/>
    <w:qFormat/>
    <w:rPr>
      <w:rFonts w:ascii="Times New Roman" w:eastAsia="宋体" w:hAnsi="Times New Roman" w:cs="Times New Roman"/>
      <w:kern w:val="2"/>
      <w:sz w:val="24"/>
      <w:szCs w:val="22"/>
    </w:rPr>
  </w:style>
  <w:style w:type="character" w:customStyle="1" w:styleId="Char">
    <w:name w:val="文档结构图 Char"/>
    <w:basedOn w:val="a0"/>
    <w:link w:val="a3"/>
    <w:uiPriority w:val="99"/>
    <w:semiHidden/>
    <w:qFormat/>
    <w:rPr>
      <w:rFonts w:ascii="宋体" w:eastAsia="宋体"/>
      <w:kern w:val="2"/>
      <w:sz w:val="18"/>
      <w:szCs w:val="18"/>
    </w:rPr>
  </w:style>
  <w:style w:type="character" w:customStyle="1" w:styleId="Char1">
    <w:name w:val="正文文本 Char"/>
    <w:basedOn w:val="a0"/>
    <w:link w:val="a5"/>
    <w:uiPriority w:val="99"/>
    <w:qFormat/>
    <w:rPr>
      <w:rFonts w:ascii="Times New Roman" w:eastAsia="宋体" w:hAnsi="Times New Roman" w:cs="Times New Roman"/>
      <w:kern w:val="2"/>
      <w:sz w:val="21"/>
      <w:szCs w:val="21"/>
    </w:rPr>
  </w:style>
  <w:style w:type="paragraph" w:customStyle="1" w:styleId="TableParagraph">
    <w:name w:val="Table Paragraph"/>
    <w:basedOn w:val="a"/>
    <w:uiPriority w:val="1"/>
    <w:qFormat/>
    <w:pPr>
      <w:autoSpaceDE w:val="0"/>
      <w:autoSpaceDN w:val="0"/>
      <w:spacing w:after="160" w:line="259" w:lineRule="auto"/>
      <w:jc w:val="left"/>
    </w:pPr>
    <w:rPr>
      <w:rFonts w:ascii="Noto Sans CJK JP Regular" w:eastAsia="Noto Sans CJK JP Regular" w:hAnsi="Noto Sans CJK JP Regular" w:cs="Noto Sans CJK JP Regular"/>
      <w:kern w:val="0"/>
      <w:sz w:val="22"/>
      <w:lang w:eastAsia="en-US"/>
    </w:rPr>
  </w:style>
  <w:style w:type="table" w:customStyle="1" w:styleId="TableNormal">
    <w:name w:val="Table Normal"/>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HTMLChar">
    <w:name w:val="HTML 预设格式 Char"/>
    <w:basedOn w:val="a0"/>
    <w:link w:val="HTML"/>
    <w:uiPriority w:val="99"/>
    <w:qFormat/>
    <w:rPr>
      <w:rFonts w:ascii="宋体" w:eastAsia="宋体" w:hAnsi="宋体" w:cs="宋体"/>
      <w:sz w:val="24"/>
      <w:szCs w:val="24"/>
    </w:rPr>
  </w:style>
  <w:style w:type="character" w:customStyle="1" w:styleId="4Char">
    <w:name w:val="标题 4 Char"/>
    <w:basedOn w:val="a0"/>
    <w:link w:val="4"/>
    <w:uiPriority w:val="9"/>
    <w:qFormat/>
    <w:rPr>
      <w:rFonts w:ascii="宋体" w:eastAsia="宋体" w:hAnsi="宋体" w:cs="宋体"/>
      <w:b/>
      <w:bCs/>
      <w:sz w:val="24"/>
      <w:szCs w:val="24"/>
    </w:rPr>
  </w:style>
  <w:style w:type="paragraph" w:customStyle="1" w:styleId="009">
    <w:name w:val="009单位"/>
    <w:rsid w:val="0073564B"/>
    <w:pPr>
      <w:keepNext/>
      <w:widowControl w:val="0"/>
      <w:jc w:val="right"/>
    </w:pPr>
    <w:rPr>
      <w:rFonts w:ascii="Times New Roman" w:eastAsia="宋体" w:hAnsi="Times New Roman" w:cs="Times New Roman"/>
      <w:kern w:val="2"/>
      <w:sz w:val="21"/>
      <w:szCs w:val="22"/>
    </w:rPr>
  </w:style>
  <w:style w:type="table" w:customStyle="1" w:styleId="Style1123">
    <w:name w:val="Style1123"/>
    <w:basedOn w:val="ab"/>
    <w:uiPriority w:val="99"/>
    <w:qFormat/>
    <w:rsid w:val="0073564B"/>
    <w:pPr>
      <w:jc w:val="center"/>
    </w:pPr>
    <w:rPr>
      <w:rFonts w:ascii="Times New Roman" w:eastAsia="宋体" w:hAnsi="Times New Roman" w:cs="Times New Roman"/>
      <w:lang w:eastAsia="en-US"/>
    </w:rPr>
    <w:tblPr>
      <w:tblInd w:w="0" w:type="dxa"/>
      <w:tblBorders>
        <w:top w:val="thinThickSmallGap" w:sz="24" w:space="0" w:color="auto"/>
        <w:bottom w:val="thickThinSmallGap" w:sz="24" w:space="0" w:color="auto"/>
        <w:insideH w:val="single" w:sz="6" w:space="0" w:color="auto"/>
        <w:insideV w:val="single" w:sz="6" w:space="0" w:color="auto"/>
      </w:tblBorders>
      <w:tblCellMar>
        <w:top w:w="0" w:type="dxa"/>
        <w:left w:w="108" w:type="dxa"/>
        <w:bottom w:w="0" w:type="dxa"/>
        <w:right w:w="108" w:type="dxa"/>
      </w:tblCellMar>
    </w:tblPr>
    <w:tcPr>
      <w:shd w:val="clear" w:color="auto" w:fill="auto"/>
      <w:vAlign w:val="center"/>
    </w:tcPr>
    <w:tblStylePr w:type="firstRow">
      <w:pPr>
        <w:jc w:val="center"/>
      </w:pPr>
      <w:rPr>
        <w:b w:val="0"/>
      </w:rPr>
      <w:tblPr/>
      <w:tcPr>
        <w:tcBorders>
          <w:top w:val="thinThickSmallGap" w:sz="24" w:space="0" w:color="auto"/>
          <w:left w:val="nil"/>
          <w:bottom w:val="single" w:sz="4" w:space="0" w:color="auto"/>
          <w:right w:val="nil"/>
          <w:insideH w:val="nil"/>
          <w:insideV w:val="single" w:sz="6" w:space="0" w:color="auto"/>
          <w:tl2br w:val="nil"/>
          <w:tr2bl w:val="nil"/>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000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53456-108F-4157-951A-1A93CBC1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4</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Xiang</dc:creator>
  <cp:lastModifiedBy>User</cp:lastModifiedBy>
  <cp:revision>121</cp:revision>
  <cp:lastPrinted>2020-09-29T01:31:00Z</cp:lastPrinted>
  <dcterms:created xsi:type="dcterms:W3CDTF">2020-09-29T00:56:00Z</dcterms:created>
  <dcterms:modified xsi:type="dcterms:W3CDTF">2026-08-07T08:46:00Z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eyJoZGlkIjoiNzVlMjlmNWJiNjE0NjE4NjM3OWM0MjNhNjQ5YjExOGYiLCJ1c2VySWQiOiIyMTQ4NDM5NDYifQ==</vt:lpwstr>
  </property>
  <property fmtid="{D5CDD505-2E9C-101B-9397-08002B2CF9AE}" pid="4" name="ICV">
    <vt:lpwstr>1841E91CC4444C2EACA27F1D9640ECBA_13</vt:lpwstr>
  </property>
</Properties>
</file>