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42BB3">
      <w:pPr>
        <w:spacing w:before="156" w:beforeLines="50" w:after="156" w:afterLines="50" w:line="400" w:lineRule="exact"/>
        <w:jc w:val="center"/>
        <w:rPr>
          <w:color w:val="000000"/>
          <w:sz w:val="24"/>
        </w:rPr>
      </w:pPr>
      <w:r>
        <w:rPr>
          <w:bCs/>
          <w:iCs/>
          <w:color w:val="000000"/>
          <w:sz w:val="24"/>
        </w:rPr>
        <w:t>证券代码：</w:t>
      </w:r>
      <w:r>
        <w:rPr>
          <w:color w:val="000000"/>
          <w:sz w:val="24"/>
        </w:rPr>
        <w:t xml:space="preserve">688112                               </w:t>
      </w:r>
      <w:r>
        <w:rPr>
          <w:bCs/>
          <w:iCs/>
          <w:color w:val="000000"/>
          <w:sz w:val="24"/>
        </w:rPr>
        <w:t>证券简称：</w:t>
      </w:r>
      <w:r>
        <w:rPr>
          <w:color w:val="000000"/>
          <w:sz w:val="24"/>
        </w:rPr>
        <w:t>鼎阳科技</w:t>
      </w:r>
    </w:p>
    <w:p w14:paraId="0C227E80">
      <w:pPr>
        <w:spacing w:line="400" w:lineRule="exact"/>
        <w:rPr>
          <w:color w:val="000000"/>
          <w:sz w:val="20"/>
        </w:rPr>
      </w:pPr>
    </w:p>
    <w:p w14:paraId="31B00D83">
      <w:pPr>
        <w:spacing w:before="156" w:beforeLines="50" w:after="156" w:afterLines="50" w:line="400" w:lineRule="exact"/>
        <w:jc w:val="center"/>
        <w:rPr>
          <w:b/>
          <w:bCs/>
          <w:iCs/>
          <w:color w:val="000000"/>
          <w:sz w:val="32"/>
          <w:szCs w:val="32"/>
        </w:rPr>
      </w:pPr>
      <w:r>
        <w:rPr>
          <w:b/>
          <w:bCs/>
          <w:iCs/>
          <w:color w:val="000000"/>
          <w:sz w:val="32"/>
          <w:szCs w:val="32"/>
        </w:rPr>
        <w:t>深圳市鼎阳科技股份有限公司投资者关系活动记录表</w:t>
      </w:r>
    </w:p>
    <w:p w14:paraId="29EA63A5">
      <w:pPr>
        <w:spacing w:line="400" w:lineRule="exact"/>
        <w:jc w:val="right"/>
        <w:rPr>
          <w:bCs/>
          <w:iCs/>
          <w:color w:val="000000"/>
          <w:sz w:val="22"/>
          <w:szCs w:val="22"/>
        </w:rPr>
      </w:pPr>
      <w:r>
        <w:rPr>
          <w:bCs/>
          <w:iCs/>
          <w:color w:val="000000"/>
          <w:sz w:val="24"/>
        </w:rPr>
        <w:t xml:space="preserve">                                                     </w:t>
      </w:r>
      <w:r>
        <w:rPr>
          <w:bCs/>
          <w:iCs/>
          <w:color w:val="000000"/>
          <w:sz w:val="22"/>
          <w:szCs w:val="22"/>
        </w:rPr>
        <w:t xml:space="preserve"> 编号2026-00</w:t>
      </w:r>
      <w:r>
        <w:rPr>
          <w:rFonts w:hint="eastAsia"/>
          <w:bCs/>
          <w:iCs/>
          <w:color w:val="000000"/>
          <w:sz w:val="22"/>
          <w:szCs w:val="22"/>
        </w:rPr>
        <w:t>3</w:t>
      </w:r>
    </w:p>
    <w:tbl>
      <w:tblPr>
        <w:tblStyle w:val="8"/>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451"/>
      </w:tblGrid>
      <w:tr w14:paraId="3078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12E17680">
            <w:pPr>
              <w:keepNext w:val="0"/>
              <w:keepLines w:val="0"/>
              <w:suppressLineNumbers w:val="0"/>
              <w:spacing w:before="0" w:beforeAutospacing="0" w:after="200" w:afterAutospacing="0" w:line="360" w:lineRule="auto"/>
              <w:ind w:left="0" w:right="0"/>
              <w:jc w:val="center"/>
              <w:rPr>
                <w:rFonts w:hint="default"/>
                <w:sz w:val="24"/>
              </w:rPr>
            </w:pPr>
            <w:r>
              <w:rPr>
                <w:rFonts w:hint="eastAsia"/>
                <w:sz w:val="24"/>
              </w:rPr>
              <w:t>投资者关系活动类别</w:t>
            </w:r>
          </w:p>
        </w:tc>
        <w:tc>
          <w:tcPr>
            <w:tcW w:w="6451" w:type="dxa"/>
            <w:tcBorders>
              <w:top w:val="single" w:color="auto" w:sz="4" w:space="0"/>
              <w:left w:val="single" w:color="auto" w:sz="4" w:space="0"/>
              <w:bottom w:val="single" w:color="auto" w:sz="4" w:space="0"/>
              <w:right w:val="single" w:color="auto" w:sz="4" w:space="0"/>
            </w:tcBorders>
            <w:vAlign w:val="center"/>
          </w:tcPr>
          <w:p w14:paraId="057DF4BF">
            <w:pPr>
              <w:keepNext w:val="0"/>
              <w:keepLines w:val="0"/>
              <w:suppressLineNumbers w:val="0"/>
              <w:spacing w:before="0" w:beforeAutospacing="0" w:after="0" w:afterAutospacing="0"/>
              <w:ind w:left="0" w:right="0"/>
              <w:rPr>
                <w:rFonts w:hint="default"/>
                <w:sz w:val="24"/>
              </w:rPr>
            </w:pPr>
            <w:r>
              <w:rPr>
                <w:rFonts w:hint="eastAsia"/>
                <w:sz w:val="24"/>
              </w:rPr>
              <w:sym w:font="Wingdings 2" w:char="F052"/>
            </w:r>
            <w:r>
              <w:rPr>
                <w:rFonts w:hint="eastAsia"/>
                <w:sz w:val="24"/>
              </w:rPr>
              <w:t xml:space="preserve"> 特定对象调研       </w:t>
            </w:r>
            <w:bookmarkStart w:id="0" w:name="OLE_LINK1"/>
            <w:r>
              <w:rPr>
                <w:rFonts w:hint="eastAsia"/>
                <w:sz w:val="24"/>
              </w:rPr>
              <w:t xml:space="preserve"> □</w:t>
            </w:r>
            <w:bookmarkEnd w:id="0"/>
            <w:r>
              <w:rPr>
                <w:rFonts w:hint="eastAsia"/>
                <w:sz w:val="24"/>
              </w:rPr>
              <w:t xml:space="preserve"> 分析师会议</w:t>
            </w:r>
          </w:p>
          <w:p w14:paraId="33B68139">
            <w:pPr>
              <w:keepNext w:val="0"/>
              <w:keepLines w:val="0"/>
              <w:suppressLineNumbers w:val="0"/>
              <w:spacing w:before="0" w:beforeAutospacing="0" w:after="0" w:afterAutospacing="0"/>
              <w:ind w:left="0" w:right="0"/>
              <w:rPr>
                <w:rFonts w:hint="default"/>
                <w:sz w:val="24"/>
              </w:rPr>
            </w:pPr>
            <w:r>
              <w:rPr>
                <w:rFonts w:hint="eastAsia"/>
                <w:sz w:val="24"/>
              </w:rPr>
              <w:t>□ 媒体采访            □ 业绩说明会</w:t>
            </w:r>
          </w:p>
          <w:p w14:paraId="70D66604">
            <w:pPr>
              <w:keepNext w:val="0"/>
              <w:keepLines w:val="0"/>
              <w:suppressLineNumbers w:val="0"/>
              <w:spacing w:before="0" w:beforeAutospacing="0" w:after="0" w:afterAutospacing="0"/>
              <w:ind w:left="0" w:right="0"/>
              <w:rPr>
                <w:rFonts w:hint="default"/>
                <w:sz w:val="24"/>
              </w:rPr>
            </w:pPr>
            <w:r>
              <w:rPr>
                <w:rFonts w:hint="eastAsia"/>
                <w:sz w:val="24"/>
              </w:rPr>
              <w:t>□ 新闻发布会          □ 路演活动</w:t>
            </w:r>
          </w:p>
          <w:p w14:paraId="092FC41F">
            <w:pPr>
              <w:keepNext w:val="0"/>
              <w:keepLines w:val="0"/>
              <w:suppressLineNumbers w:val="0"/>
              <w:spacing w:before="0" w:beforeAutospacing="0" w:after="0" w:afterAutospacing="0"/>
              <w:ind w:left="0" w:right="0"/>
              <w:rPr>
                <w:rFonts w:hint="default"/>
                <w:sz w:val="24"/>
              </w:rPr>
            </w:pPr>
            <w:r>
              <w:rPr>
                <w:rFonts w:hint="eastAsia"/>
                <w:sz w:val="24"/>
              </w:rPr>
              <w:t>□ 现场参观            □ 一对一沟通</w:t>
            </w:r>
          </w:p>
          <w:p w14:paraId="1EF81504">
            <w:pPr>
              <w:keepNext w:val="0"/>
              <w:keepLines w:val="0"/>
              <w:suppressLineNumbers w:val="0"/>
              <w:spacing w:before="0" w:beforeAutospacing="0" w:after="0" w:afterAutospacing="0"/>
              <w:ind w:left="0" w:right="0"/>
              <w:rPr>
                <w:rFonts w:hint="default"/>
                <w:bCs/>
                <w:iCs/>
                <w:color w:val="000000"/>
                <w:kern w:val="0"/>
                <w:sz w:val="24"/>
              </w:rPr>
            </w:pPr>
            <w:r>
              <w:rPr>
                <w:rFonts w:hint="eastAsia"/>
                <w:sz w:val="24"/>
              </w:rPr>
              <w:sym w:font="Wingdings 2" w:char="F052"/>
            </w:r>
            <w:r>
              <w:rPr>
                <w:rFonts w:hint="eastAsia"/>
                <w:sz w:val="24"/>
              </w:rPr>
              <w:t xml:space="preserve"> 线上会议            □ 其他</w:t>
            </w:r>
          </w:p>
        </w:tc>
      </w:tr>
      <w:tr w14:paraId="20E6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908" w:type="dxa"/>
            <w:tcBorders>
              <w:top w:val="single" w:color="auto" w:sz="4" w:space="0"/>
              <w:left w:val="single" w:color="auto" w:sz="4" w:space="0"/>
              <w:bottom w:val="single" w:color="auto" w:sz="4" w:space="0"/>
              <w:right w:val="single" w:color="auto" w:sz="4" w:space="0"/>
            </w:tcBorders>
            <w:vAlign w:val="center"/>
          </w:tcPr>
          <w:p w14:paraId="6758D37D">
            <w:pPr>
              <w:keepNext w:val="0"/>
              <w:keepLines w:val="0"/>
              <w:suppressLineNumbers w:val="0"/>
              <w:spacing w:before="0" w:beforeAutospacing="0" w:after="200" w:afterAutospacing="0" w:line="360" w:lineRule="auto"/>
              <w:ind w:left="0" w:right="0"/>
              <w:jc w:val="center"/>
              <w:rPr>
                <w:rFonts w:hint="default"/>
                <w:sz w:val="24"/>
              </w:rPr>
            </w:pPr>
            <w:r>
              <w:rPr>
                <w:rFonts w:hint="eastAsia"/>
                <w:sz w:val="24"/>
              </w:rPr>
              <w:t>参与单位名称</w:t>
            </w:r>
          </w:p>
        </w:tc>
        <w:tc>
          <w:tcPr>
            <w:tcW w:w="6451" w:type="dxa"/>
            <w:tcBorders>
              <w:top w:val="single" w:color="auto" w:sz="4" w:space="0"/>
              <w:left w:val="single" w:color="auto" w:sz="4" w:space="0"/>
              <w:bottom w:val="single" w:color="auto" w:sz="4" w:space="0"/>
              <w:right w:val="single" w:color="auto" w:sz="4" w:space="0"/>
            </w:tcBorders>
            <w:vAlign w:val="center"/>
          </w:tcPr>
          <w:p w14:paraId="4278A7CD">
            <w:pPr>
              <w:keepNext w:val="0"/>
              <w:keepLines w:val="0"/>
              <w:suppressLineNumbers w:val="0"/>
              <w:spacing w:before="0" w:beforeAutospacing="0" w:after="200" w:afterAutospacing="0" w:line="360" w:lineRule="auto"/>
              <w:ind w:left="0" w:right="0"/>
              <w:rPr>
                <w:rFonts w:hint="default"/>
                <w:sz w:val="24"/>
              </w:rPr>
            </w:pPr>
            <w:r>
              <w:rPr>
                <w:rFonts w:hint="default" w:ascii="宋体" w:hAnsi="宋体" w:eastAsia="宋体" w:cs="宋体"/>
                <w:sz w:val="24"/>
                <w:szCs w:val="24"/>
              </w:rPr>
              <w:t>博时基金管理有限公司、嘉实基金管理有限公司、天弘基金管理有限公司、鹏华基金管理有限公司、国泰基金管理有限公司、平安基金管理有限公司、交银施罗德基金管理有限公司、农银汇理基金管理有限公司、汇丰晋信基金管理有限公司、中信保诚基金管理有限公司、创金合信基金管理有限公司、银河基金管理有限公司、宝盈基金管理有限公司、国海富兰克林基金管理有限公司、鹏扬基金管理有限公司、格林基金管理有限公司、汇丰环球投资管理</w:t>
            </w:r>
            <w:r>
              <w:rPr>
                <w:rFonts w:hint="default" w:ascii="Times New Roman" w:hAnsi="Times New Roman" w:eastAsia="宋体" w:cs="Times New Roman"/>
                <w:sz w:val="24"/>
                <w:szCs w:val="24"/>
              </w:rPr>
              <w:t>（HSBC Global Asset Management）、IGWT Investment</w:t>
            </w:r>
            <w:r>
              <w:rPr>
                <w:rFonts w:hint="default" w:ascii="宋体" w:hAnsi="宋体" w:eastAsia="宋体" w:cs="宋体"/>
                <w:sz w:val="24"/>
                <w:szCs w:val="24"/>
              </w:rPr>
              <w:t>投资公司、埃普斯国际(香港)有限公司、中国人寿保险(集团)公司、阳光资产管理股份有限公司、渤海人寿保险股份有限公司、合众资产管理股份有限公司、中信证券股份有限公司、中国国际金融股份有限公司、华泰证券股份有限公司、国泰海通证券股份有限公司、广发证券股份有限公司、中信建投证券股份有限公司、中国银河证券股份有限公司、光大证券股份有限公司、东方财富证券股份有限公司、中泰证券股份有限公司、长江证券股份有限公司、兴业证券股份有限公司、国信证券股份有限公司、东吴证券股份有限公司、财通证券股份有限公司、浙商证券股份有限公司、东北证券股份有限公司、西南证券股份有限公司、国元证券股份有限公司、华西证券股份有限公司、华创证券有限责任公司、国联民生证券股份有限公司、国投证券股份有限公司、天风证券股份有限公司、华福证券股份有限公司、山西证券股份有限公司、国海证券股份有限公司、开源证券股份有限公司、万和证券股份有限公司、财达证券股份有限公司、甬兴证券有限公司、华源证券股份有限公司、麦高证券有限责任公司、野村东方国际证券有限公司、兴证国际金融集团有限公司、平安银行股份有限公司、中信期货有限公司、长江证券(上海)资产管理有限公司、上海申银万国证券研究所有限公司、上海银叶投资有限公司、北京神农投资管理股份有限公司、上海尚颀投资管理合伙企业(有限合伙)、上海德汇集团有限公司、开弦资本管理有限公司、上海汇正财经顾问有限公司、大湾区发展基金管理有限公司、上海恒穗资产管理中心(有限合伙)、广东熵简私募基金管理有限公司、深圳市鑫融长弘投资管理有限公司、鸿运私募基金管理(海南)有限公司、上海衡颐资产管理有限公司、苏州君榕资产管理有限公司、北京泽铭投资有限公司、上海度势投资有限公司、深圳市尚诚资产管理有限责任公司、张家港高竹私募基金管理有限公司、苏州元徽科技有限公司、玄卜投资(上海)有限公司、深圳市金之灏基金管理有限公司、深圳市兰权资本管理有限公司、上海康橙投资管理股份有限公司、浙江三耕资产管理有限公司、上海嘉世私募基金管理有限公司、西安江岳私募基金管理有限公司、上海彬元资产管理有限公司、上海林拙投资合伙企业(有限合伙)、嘉泽（厦门）私募基金管理有限公司、上海润义投资管理有限公司、湖南八零后资产管理有限公司、北京高信百诺投资管理有限公司、上海朴信投资管理有限公司、磐厚动量(上海)资本管理有限公司、深圳市诺银资产管理有限公司、上海博笃投资管理有限公司、上海益和源资产管理有限公司、北京景合投资有限公司、上海臻宜投资管理有限公司、北京沃虎私募基金管理有限公司、上海护城河私募基金管理有限公司、上海五地私募基金管理有限公司、福州开发区三鑫资产管理有限公司</w:t>
            </w:r>
          </w:p>
        </w:tc>
      </w:tr>
      <w:tr w14:paraId="23CD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5AD7F645">
            <w:pPr>
              <w:keepNext w:val="0"/>
              <w:keepLines w:val="0"/>
              <w:suppressLineNumbers w:val="0"/>
              <w:spacing w:before="0" w:beforeAutospacing="0" w:after="200" w:afterAutospacing="0" w:line="360" w:lineRule="auto"/>
              <w:ind w:left="0" w:right="0"/>
              <w:jc w:val="center"/>
              <w:rPr>
                <w:rFonts w:hint="default"/>
                <w:sz w:val="24"/>
              </w:rPr>
            </w:pPr>
            <w:r>
              <w:rPr>
                <w:rFonts w:hint="eastAsia"/>
                <w:sz w:val="24"/>
              </w:rPr>
              <w:t>时间</w:t>
            </w:r>
          </w:p>
        </w:tc>
        <w:tc>
          <w:tcPr>
            <w:tcW w:w="6451" w:type="dxa"/>
            <w:tcBorders>
              <w:top w:val="single" w:color="auto" w:sz="4" w:space="0"/>
              <w:left w:val="single" w:color="auto" w:sz="4" w:space="0"/>
              <w:bottom w:val="single" w:color="auto" w:sz="4" w:space="0"/>
              <w:right w:val="single" w:color="auto" w:sz="4" w:space="0"/>
            </w:tcBorders>
            <w:vAlign w:val="center"/>
          </w:tcPr>
          <w:p w14:paraId="128F1B79">
            <w:pPr>
              <w:keepNext w:val="0"/>
              <w:keepLines w:val="0"/>
              <w:suppressLineNumbers w:val="0"/>
              <w:spacing w:before="0" w:beforeAutospacing="0" w:after="200" w:afterAutospacing="0" w:line="360" w:lineRule="auto"/>
              <w:ind w:left="0" w:right="0"/>
              <w:jc w:val="left"/>
              <w:rPr>
                <w:rFonts w:hint="default"/>
                <w:sz w:val="24"/>
              </w:rPr>
            </w:pPr>
            <w:r>
              <w:rPr>
                <w:rFonts w:hint="eastAsia"/>
                <w:sz w:val="24"/>
              </w:rPr>
              <w:t>2026年8月17日</w:t>
            </w:r>
          </w:p>
        </w:tc>
      </w:tr>
      <w:tr w14:paraId="4EE7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6F50C343">
            <w:pPr>
              <w:keepNext w:val="0"/>
              <w:keepLines w:val="0"/>
              <w:suppressLineNumbers w:val="0"/>
              <w:spacing w:before="0" w:beforeAutospacing="0" w:after="200" w:afterAutospacing="0" w:line="360" w:lineRule="auto"/>
              <w:ind w:left="0" w:right="0"/>
              <w:jc w:val="center"/>
              <w:rPr>
                <w:rFonts w:hint="default"/>
                <w:sz w:val="24"/>
              </w:rPr>
            </w:pPr>
            <w:r>
              <w:rPr>
                <w:rFonts w:hint="eastAsia"/>
                <w:sz w:val="24"/>
              </w:rPr>
              <w:t>接待人员</w:t>
            </w:r>
          </w:p>
        </w:tc>
        <w:tc>
          <w:tcPr>
            <w:tcW w:w="6451" w:type="dxa"/>
            <w:tcBorders>
              <w:top w:val="single" w:color="auto" w:sz="4" w:space="0"/>
              <w:left w:val="single" w:color="auto" w:sz="4" w:space="0"/>
              <w:bottom w:val="single" w:color="auto" w:sz="4" w:space="0"/>
              <w:right w:val="single" w:color="auto" w:sz="4" w:space="0"/>
            </w:tcBorders>
            <w:vAlign w:val="center"/>
          </w:tcPr>
          <w:p w14:paraId="0FBE6AB8">
            <w:pPr>
              <w:keepNext w:val="0"/>
              <w:keepLines w:val="0"/>
              <w:suppressLineNumbers w:val="0"/>
              <w:spacing w:before="0" w:beforeAutospacing="0" w:after="0" w:afterAutospacing="0"/>
              <w:ind w:left="0" w:right="0"/>
              <w:jc w:val="left"/>
              <w:rPr>
                <w:rFonts w:hint="default"/>
                <w:sz w:val="24"/>
              </w:rPr>
            </w:pPr>
            <w:r>
              <w:rPr>
                <w:rFonts w:hint="eastAsia"/>
                <w:sz w:val="24"/>
              </w:rPr>
              <w:t>董事长&amp;总裁：秦轲</w:t>
            </w:r>
          </w:p>
          <w:p w14:paraId="1710CD92">
            <w:pPr>
              <w:keepNext w:val="0"/>
              <w:keepLines w:val="0"/>
              <w:suppressLineNumbers w:val="0"/>
              <w:spacing w:before="0" w:beforeAutospacing="0" w:after="0" w:afterAutospacing="0"/>
              <w:ind w:left="0" w:right="0"/>
              <w:jc w:val="left"/>
              <w:rPr>
                <w:rFonts w:hint="default"/>
                <w:sz w:val="24"/>
              </w:rPr>
            </w:pPr>
            <w:r>
              <w:rPr>
                <w:rFonts w:hint="eastAsia"/>
                <w:sz w:val="24"/>
              </w:rPr>
              <w:t>财务总监：刘厚军</w:t>
            </w:r>
          </w:p>
          <w:p w14:paraId="1B08ABF0">
            <w:pPr>
              <w:keepNext w:val="0"/>
              <w:keepLines w:val="0"/>
              <w:suppressLineNumbers w:val="0"/>
              <w:spacing w:before="0" w:beforeAutospacing="0" w:after="0" w:afterAutospacing="0"/>
              <w:ind w:left="0" w:right="0"/>
              <w:jc w:val="left"/>
              <w:rPr>
                <w:rFonts w:hint="default"/>
                <w:sz w:val="24"/>
              </w:rPr>
            </w:pPr>
            <w:r>
              <w:rPr>
                <w:rFonts w:hint="eastAsia"/>
                <w:sz w:val="24"/>
              </w:rPr>
              <w:t>董事会秘书：王俊颖</w:t>
            </w:r>
          </w:p>
        </w:tc>
      </w:tr>
      <w:tr w14:paraId="24AB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8359" w:type="dxa"/>
            <w:gridSpan w:val="2"/>
            <w:tcBorders>
              <w:top w:val="single" w:color="auto" w:sz="4" w:space="0"/>
              <w:left w:val="single" w:color="auto" w:sz="4" w:space="0"/>
              <w:bottom w:val="single" w:color="auto" w:sz="4" w:space="0"/>
              <w:right w:val="single" w:color="auto" w:sz="4" w:space="0"/>
            </w:tcBorders>
            <w:vAlign w:val="center"/>
          </w:tcPr>
          <w:p w14:paraId="7C69F09E">
            <w:pPr>
              <w:keepNext w:val="0"/>
              <w:keepLines w:val="0"/>
              <w:suppressLineNumbers w:val="0"/>
              <w:spacing w:before="0" w:beforeAutospacing="0" w:after="200" w:afterAutospacing="0" w:line="420" w:lineRule="exact"/>
              <w:ind w:left="0" w:right="0"/>
              <w:jc w:val="center"/>
              <w:rPr>
                <w:rFonts w:hint="default"/>
                <w:bCs/>
                <w:sz w:val="24"/>
              </w:rPr>
            </w:pPr>
            <w:r>
              <w:rPr>
                <w:rFonts w:hint="eastAsia"/>
                <w:b/>
                <w:sz w:val="24"/>
              </w:rPr>
              <w:t>投资者关系活动主要内容介绍</w:t>
            </w:r>
          </w:p>
        </w:tc>
      </w:tr>
      <w:tr w14:paraId="05B6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8359" w:type="dxa"/>
            <w:gridSpan w:val="2"/>
            <w:tcBorders>
              <w:top w:val="single" w:color="auto" w:sz="4" w:space="0"/>
              <w:left w:val="single" w:color="auto" w:sz="4" w:space="0"/>
              <w:bottom w:val="single" w:color="auto" w:sz="4" w:space="0"/>
              <w:right w:val="single" w:color="auto" w:sz="4" w:space="0"/>
            </w:tcBorders>
            <w:vAlign w:val="center"/>
          </w:tcPr>
          <w:p w14:paraId="68B9333A">
            <w:pPr>
              <w:keepNext w:val="0"/>
              <w:keepLines w:val="0"/>
              <w:suppressLineNumbers w:val="0"/>
              <w:spacing w:before="0" w:beforeAutospacing="0" w:after="0" w:afterAutospacing="0" w:line="360" w:lineRule="auto"/>
              <w:ind w:left="0" w:right="0"/>
              <w:rPr>
                <w:rFonts w:hint="default"/>
                <w:sz w:val="24"/>
              </w:rPr>
            </w:pPr>
            <w:r>
              <w:rPr>
                <w:rFonts w:hint="eastAsia"/>
                <w:sz w:val="24"/>
              </w:rPr>
              <w:t>一、公司2026年半年度经营情况介绍</w:t>
            </w:r>
          </w:p>
          <w:p w14:paraId="702B0809">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2026年上半年，公司实现营业收入35,774.66万元，同比增长28.31%；实现归属于上市公司股东的净利润9,179.14万元，同比增长19.40%；实现归属于上市公司股东的扣除非经常性损益的净利润8,933.46万元，同比增长18.30%；整体毛利率63.89%，同比提升3.83个百分点。其中，第二季度单季度实现营业收入19,582.34万元、归母净利润5,344.84万元，双双创下单季度历史新高；Q2营收同比增长33.20%、归母净利润同比增长47.71%，明显快于上半年整体及第一季度同比增速，同比增速呈上升趋势。此外，上半年利润受到汇兑损失的一定影响，若无汇兑损失，利润表现将更为亮眼。具体情况如下：</w:t>
            </w:r>
          </w:p>
          <w:p w14:paraId="5B000984">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1、高端化战略成效显著，产品结构持续升级。上半年高端产品收入占比提升至40%，同比提高10个百分点；高端产品实现量价齐升，销售收入同比增长65.75%、销售均价同比提高22.09%。从价格结构看，销售单价5万元以上产品营收同比增长71.67%，销售单价3万元以上产品营收同比增长57.98%，售价越高的产品增长越快。</w:t>
            </w:r>
          </w:p>
          <w:p w14:paraId="17D10924">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2、核心产品表现优异。银河系列高端射频微波类产品（含50GHz高端矢量网络分析仪、67GHz高端射频信号源、50GHz高端频谱分析仪）整体收入同比增长146.06%；射频微波大类产品收入同比增长43.25%；高分辨率数字示波器持续放量，境内营收同比增长42.28%。</w:t>
            </w:r>
          </w:p>
          <w:p w14:paraId="28A13475">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3、受益于高速通信数据中心建设带动测试测量需求持续释放，SNA6000系列矢量网络分析仪、SMM3000X系列源表、SPD4000X系列电源三类产品收入合计同比增长230.54%。</w:t>
            </w:r>
          </w:p>
          <w:p w14:paraId="41002B07">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4、渠道持续优化，直销保持高速增长。上半年直销收入同比增长71.78%，直销占比达到18.62%，同比提高4.71个百分点。</w:t>
            </w:r>
          </w:p>
          <w:p w14:paraId="73092586">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5、盈利能力提升，费用结构优化。上半年实现毛利润22,855.43万元，同比增长36.49%；综合毛利率63.89%，同比提升3.83个百分点。研发费用7,098.69万元，同比增长17.88%，研发费用率19.84%；报告期末研发人员共281人，同比增长18.07%，占公司员工总数超50%，其中硕士及以上学历人员占比29.83%，同比提高3.62个百分点。销售费用同比增长5.57%，销售费用率13.33%，同比下降2.87个百分点，经营效率持续改善。</w:t>
            </w:r>
          </w:p>
          <w:p w14:paraId="6292F44A">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6、核心技术持续突破，新品推出节奏加快。2026年以来公司保持稳定的新品推出节奏，陆续推出PXIe模块化示波器、USB形态矢量网络分析仪、高精度万用表和电压表、高精度可编程直流电源等新品，产品矩阵持续丰富。2026年8月17日，公司正式发布SDS8000AP H12系列搭载硬件12-bit垂直分辨率、最高达33GHz带宽的高速实时示波器，并搭载公司最新自研40GHz高带宽前端芯片组，团队攻克高性能微波组件、精密微组装等关键工艺，实现核心前端芯片、模拟前端与整机系统的协同优化。公司自研示波器前端芯片带宽从8GHz到20GHz历经3年，从20GHz到40GHz用时不到1年，芯片迭代速度明显加快。</w:t>
            </w:r>
          </w:p>
          <w:p w14:paraId="0498C7BF">
            <w:pPr>
              <w:keepNext w:val="0"/>
              <w:keepLines w:val="0"/>
              <w:suppressLineNumbers w:val="0"/>
              <w:spacing w:before="0" w:beforeAutospacing="0" w:after="0" w:afterAutospacing="0" w:line="360" w:lineRule="auto"/>
              <w:ind w:left="0" w:right="0"/>
              <w:rPr>
                <w:rFonts w:hint="default"/>
                <w:sz w:val="24"/>
              </w:rPr>
            </w:pPr>
            <w:r>
              <w:rPr>
                <w:rFonts w:hint="eastAsia"/>
                <w:sz w:val="24"/>
              </w:rPr>
              <w:t>二、常见问题及解答</w:t>
            </w:r>
          </w:p>
          <w:p w14:paraId="386EEA4C">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Q1：公司近年来新产品推出速度明显加快，从8GHz到20GHz芯片迭代用了3年，而从20GHz到40GHz仅用了不到1年，请问新产品推出加速背后的主要原因是什么？</w:t>
            </w:r>
          </w:p>
          <w:p w14:paraId="47FB29F3">
            <w:pPr>
              <w:keepNext w:val="0"/>
              <w:keepLines w:val="0"/>
              <w:suppressLineNumbers w:val="0"/>
              <w:spacing w:before="0" w:beforeAutospacing="0" w:after="0" w:afterAutospacing="0" w:line="360" w:lineRule="auto"/>
              <w:ind w:left="0" w:right="0" w:firstLine="480" w:firstLineChars="200"/>
              <w:rPr>
                <w:rFonts w:hint="default" w:ascii="宋体" w:hAnsi="宋体" w:eastAsia="宋体" w:cs="宋体"/>
                <w:sz w:val="24"/>
                <w:szCs w:val="24"/>
              </w:rPr>
            </w:pPr>
            <w:r>
              <w:rPr>
                <w:rFonts w:hint="eastAsia"/>
                <w:sz w:val="24"/>
              </w:rPr>
              <w:t>A1：</w:t>
            </w:r>
            <w:r>
              <w:rPr>
                <w:rFonts w:hint="eastAsia"/>
                <w:sz w:val="24"/>
                <w:lang w:val="en-US" w:eastAsia="zh-CN"/>
              </w:rPr>
              <w:t>新产品推出节奏的加速离不开</w:t>
            </w:r>
            <w:r>
              <w:rPr>
                <w:rFonts w:hint="eastAsia"/>
                <w:sz w:val="24"/>
              </w:rPr>
              <w:t>公司</w:t>
            </w:r>
            <w:r>
              <w:rPr>
                <w:rFonts w:hint="eastAsia"/>
                <w:sz w:val="24"/>
                <w:lang w:eastAsia="zh-CN"/>
              </w:rPr>
              <w:t>坚持创新驱动发展</w:t>
            </w:r>
            <w:r>
              <w:rPr>
                <w:rFonts w:hint="eastAsia"/>
                <w:sz w:val="24"/>
                <w:lang w:val="en-US" w:eastAsia="zh-CN"/>
              </w:rPr>
              <w:t>和高端化战略</w:t>
            </w:r>
            <w:r>
              <w:rPr>
                <w:rFonts w:hint="eastAsia"/>
                <w:sz w:val="24"/>
                <w:lang w:eastAsia="zh-CN"/>
              </w:rPr>
              <w:t>。</w:t>
            </w:r>
            <w:r>
              <w:rPr>
                <w:rFonts w:hint="eastAsia"/>
                <w:sz w:val="24"/>
                <w:lang w:val="en-US" w:eastAsia="zh-CN"/>
              </w:rPr>
              <w:t>公司多年来</w:t>
            </w:r>
            <w:r>
              <w:rPr>
                <w:rFonts w:hint="eastAsia"/>
                <w:sz w:val="24"/>
                <w:lang w:eastAsia="zh-CN"/>
              </w:rPr>
              <w:t>保持高强度研发投入，</w:t>
            </w:r>
            <w:r>
              <w:rPr>
                <w:rFonts w:hint="eastAsia"/>
                <w:sz w:val="24"/>
                <w:lang w:val="en-US" w:eastAsia="zh-CN"/>
              </w:rPr>
              <w:t>不断</w:t>
            </w:r>
            <w:r>
              <w:rPr>
                <w:rFonts w:hint="eastAsia"/>
                <w:sz w:val="24"/>
                <w:lang w:eastAsia="zh-CN"/>
              </w:rPr>
              <w:t>充实技术人才梯队，聚焦核心技术攻关与高端产品迭代。</w:t>
            </w:r>
            <w:r>
              <w:rPr>
                <w:rFonts w:hint="eastAsia"/>
                <w:sz w:val="24"/>
                <w:lang w:val="en-US" w:eastAsia="zh-CN"/>
              </w:rPr>
              <w:t>第一，公司</w:t>
            </w:r>
            <w:r>
              <w:rPr>
                <w:rFonts w:hint="eastAsia"/>
                <w:sz w:val="24"/>
              </w:rPr>
              <w:t>研发人员数量</w:t>
            </w:r>
            <w:r>
              <w:rPr>
                <w:rFonts w:hint="eastAsia"/>
                <w:sz w:val="24"/>
                <w:lang w:val="en-US" w:eastAsia="zh-CN"/>
              </w:rPr>
              <w:t>在</w:t>
            </w:r>
            <w:r>
              <w:rPr>
                <w:rFonts w:hint="eastAsia"/>
                <w:sz w:val="24"/>
              </w:rPr>
              <w:t>持续增加，</w:t>
            </w:r>
            <w:r>
              <w:rPr>
                <w:rFonts w:hint="eastAsia"/>
                <w:sz w:val="24"/>
                <w:lang w:val="en-US" w:eastAsia="zh-CN"/>
              </w:rPr>
              <w:t>人员结构不断优化，</w:t>
            </w:r>
            <w:r>
              <w:rPr>
                <w:rFonts w:hint="eastAsia"/>
                <w:sz w:val="24"/>
              </w:rPr>
              <w:t>从上市时约100人增至目前280余人，</w:t>
            </w:r>
            <w:r>
              <w:rPr>
                <w:rFonts w:hint="eastAsia"/>
                <w:sz w:val="24"/>
                <w:lang w:val="en-US" w:eastAsia="zh-CN"/>
              </w:rPr>
              <w:t>截至半年报期末，研发人员占公司员工总数已超</w:t>
            </w:r>
            <w:r>
              <w:rPr>
                <w:rFonts w:hint="default"/>
                <w:sz w:val="24"/>
                <w:lang w:val="en-US" w:eastAsia="zh-CN"/>
              </w:rPr>
              <w:t>50%</w:t>
            </w:r>
            <w:r>
              <w:rPr>
                <w:rFonts w:hint="eastAsia"/>
                <w:sz w:val="24"/>
                <w:lang w:val="en-US" w:eastAsia="zh-CN"/>
              </w:rPr>
              <w:t>，研发队伍进一步壮大，同时硕士研究生及以上学历人员数量占研发人员总数的比例不断提高，为</w:t>
            </w:r>
            <w:r>
              <w:rPr>
                <w:rFonts w:hint="eastAsia"/>
                <w:sz w:val="24"/>
              </w:rPr>
              <w:t>产品研发</w:t>
            </w:r>
            <w:r>
              <w:rPr>
                <w:rFonts w:hint="eastAsia"/>
                <w:sz w:val="24"/>
                <w:lang w:val="en-US" w:eastAsia="zh-CN"/>
              </w:rPr>
              <w:t>提供了坚实的人才保障</w:t>
            </w:r>
            <w:r>
              <w:rPr>
                <w:rFonts w:hint="eastAsia"/>
                <w:sz w:val="24"/>
              </w:rPr>
              <w:t>；第二，</w:t>
            </w:r>
            <w:r>
              <w:rPr>
                <w:rFonts w:hint="eastAsia"/>
                <w:sz w:val="24"/>
                <w:lang w:val="en-US" w:eastAsia="zh-CN"/>
              </w:rPr>
              <w:t>公司研发人员任职稳定，人才</w:t>
            </w:r>
            <w:r>
              <w:rPr>
                <w:rFonts w:hint="eastAsia"/>
                <w:sz w:val="24"/>
              </w:rPr>
              <w:t>流失率较低，</w:t>
            </w:r>
            <w:r>
              <w:rPr>
                <w:rFonts w:hint="eastAsia"/>
                <w:sz w:val="24"/>
                <w:lang w:val="en-US" w:eastAsia="zh-CN"/>
              </w:rPr>
              <w:t>随着</w:t>
            </w:r>
            <w:r>
              <w:rPr>
                <w:rFonts w:hint="eastAsia"/>
                <w:sz w:val="24"/>
              </w:rPr>
              <w:t>经验丰富</w:t>
            </w:r>
            <w:r>
              <w:rPr>
                <w:rFonts w:hint="eastAsia"/>
                <w:sz w:val="24"/>
                <w:lang w:val="en-US" w:eastAsia="zh-CN"/>
              </w:rPr>
              <w:t>的</w:t>
            </w:r>
            <w:r>
              <w:rPr>
                <w:rFonts w:hint="eastAsia"/>
                <w:sz w:val="24"/>
              </w:rPr>
              <w:t>老员工</w:t>
            </w:r>
            <w:r>
              <w:rPr>
                <w:rFonts w:hint="eastAsia"/>
                <w:sz w:val="24"/>
                <w:lang w:val="en-US" w:eastAsia="zh-CN"/>
              </w:rPr>
              <w:t>逐步增加</w:t>
            </w:r>
            <w:r>
              <w:rPr>
                <w:rFonts w:hint="eastAsia"/>
                <w:sz w:val="24"/>
              </w:rPr>
              <w:t>，开发效率</w:t>
            </w:r>
            <w:r>
              <w:rPr>
                <w:rFonts w:hint="eastAsia"/>
                <w:sz w:val="24"/>
                <w:lang w:val="en-US" w:eastAsia="zh-CN"/>
              </w:rPr>
              <w:t>也随之</w:t>
            </w:r>
            <w:r>
              <w:rPr>
                <w:rFonts w:hint="eastAsia"/>
                <w:sz w:val="24"/>
              </w:rPr>
              <w:t>提高；第三，公司长期聚焦通用电子测试测量仪器行业，积累了从产品定义、立项、研发、设计、验证、测试、样机到批量生产等环节的全流程技术</w:t>
            </w:r>
            <w:r>
              <w:rPr>
                <w:rFonts w:hint="eastAsia"/>
                <w:sz w:val="24"/>
                <w:lang w:eastAsia="zh-CN"/>
              </w:rPr>
              <w:t>，</w:t>
            </w:r>
            <w:r>
              <w:rPr>
                <w:rFonts w:hint="default" w:ascii="宋体" w:hAnsi="宋体" w:eastAsia="宋体" w:cs="宋体"/>
                <w:sz w:val="24"/>
                <w:szCs w:val="24"/>
              </w:rPr>
              <w:t>随着核心技术储备不断丰富、研发经验持续沉淀，产品迭代与开发效率逐步提高</w:t>
            </w:r>
            <w:r>
              <w:rPr>
                <w:rFonts w:hint="eastAsia"/>
                <w:sz w:val="24"/>
              </w:rPr>
              <w:t>；第四，</w:t>
            </w:r>
            <w:r>
              <w:rPr>
                <w:rFonts w:hint="default" w:ascii="宋体" w:hAnsi="宋体" w:eastAsia="宋体" w:cs="宋体"/>
                <w:sz w:val="24"/>
                <w:szCs w:val="24"/>
              </w:rPr>
              <w:t>下游相关领域产业发展提速，客户新增及迭代需求持续释放，旺盛的市场需求</w:t>
            </w:r>
            <w:r>
              <w:rPr>
                <w:rFonts w:hint="eastAsia" w:ascii="宋体" w:hAnsi="宋体" w:cs="宋体"/>
                <w:sz w:val="24"/>
                <w:szCs w:val="24"/>
                <w:lang w:val="en-US" w:eastAsia="zh-CN"/>
              </w:rPr>
              <w:t>也促使公司加快推出新产品</w:t>
            </w:r>
            <w:r>
              <w:rPr>
                <w:rFonts w:hint="default" w:ascii="宋体" w:hAnsi="宋体" w:eastAsia="宋体" w:cs="宋体"/>
                <w:sz w:val="24"/>
                <w:szCs w:val="24"/>
              </w:rPr>
              <w:t>。</w:t>
            </w:r>
          </w:p>
          <w:p w14:paraId="49698182">
            <w:pPr>
              <w:keepNext w:val="0"/>
              <w:keepLines w:val="0"/>
              <w:suppressLineNumbers w:val="0"/>
              <w:spacing w:before="0" w:beforeAutospacing="0" w:after="0" w:afterAutospacing="0" w:line="360" w:lineRule="auto"/>
              <w:ind w:left="0" w:right="0" w:firstLine="480" w:firstLineChars="200"/>
              <w:rPr>
                <w:rFonts w:hint="eastAsia"/>
                <w:sz w:val="24"/>
              </w:rPr>
            </w:pPr>
          </w:p>
          <w:p w14:paraId="01A3A767">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Q2：公司</w:t>
            </w:r>
            <w:r>
              <w:rPr>
                <w:rFonts w:hint="default" w:ascii="宋体" w:hAnsi="宋体" w:eastAsia="宋体" w:cs="宋体"/>
                <w:sz w:val="24"/>
                <w:szCs w:val="24"/>
              </w:rPr>
              <w:t>新品规划、</w:t>
            </w:r>
            <w:r>
              <w:rPr>
                <w:rFonts w:hint="eastAsia" w:ascii="宋体" w:hAnsi="宋体" w:cs="宋体"/>
                <w:sz w:val="24"/>
                <w:szCs w:val="24"/>
                <w:lang w:val="en-US" w:eastAsia="zh-CN"/>
              </w:rPr>
              <w:t>产品</w:t>
            </w:r>
            <w:r>
              <w:rPr>
                <w:rFonts w:hint="default" w:ascii="宋体" w:hAnsi="宋体" w:eastAsia="宋体" w:cs="宋体"/>
                <w:sz w:val="24"/>
                <w:szCs w:val="24"/>
              </w:rPr>
              <w:t>验证节奏如何</w:t>
            </w:r>
            <w:r>
              <w:rPr>
                <w:rFonts w:hint="eastAsia"/>
                <w:sz w:val="24"/>
              </w:rPr>
              <w:t>？</w:t>
            </w:r>
          </w:p>
          <w:p w14:paraId="4A6EBEAF">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A2：公司坚持</w:t>
            </w:r>
            <w:r>
              <w:rPr>
                <w:rFonts w:hint="eastAsia"/>
                <w:sz w:val="24"/>
                <w:lang w:eastAsia="zh-CN"/>
              </w:rPr>
              <w:t>“</w:t>
            </w:r>
            <w:r>
              <w:rPr>
                <w:rFonts w:hint="eastAsia"/>
                <w:sz w:val="24"/>
              </w:rPr>
              <w:t>一代芯片、一代产品</w:t>
            </w:r>
            <w:r>
              <w:rPr>
                <w:rFonts w:hint="eastAsia"/>
                <w:sz w:val="24"/>
                <w:lang w:eastAsia="zh-CN"/>
              </w:rPr>
              <w:t>”</w:t>
            </w:r>
            <w:r>
              <w:rPr>
                <w:rFonts w:hint="eastAsia"/>
                <w:sz w:val="24"/>
              </w:rPr>
              <w:t>的滚动迭代开发模式。产品方面，2026年以来公司保持稳定的新品发布节奏，先后推出PXIe模块化示波器、USB形态矢量网络分析仪、高精度数字万用表、</w:t>
            </w:r>
            <w:r>
              <w:rPr>
                <w:rFonts w:hint="eastAsia"/>
                <w:sz w:val="24"/>
                <w:lang w:val="en-US" w:eastAsia="zh-CN"/>
              </w:rPr>
              <w:t>高精度</w:t>
            </w:r>
            <w:r>
              <w:rPr>
                <w:rFonts w:hint="eastAsia"/>
                <w:sz w:val="24"/>
              </w:rPr>
              <w:t>可编程电源等产品；2026年8月17日，公司正式发布SDS8000AP</w:t>
            </w:r>
            <w:r>
              <w:rPr>
                <w:rFonts w:hint="eastAsia"/>
                <w:sz w:val="24"/>
                <w:lang w:val="en-US" w:eastAsia="zh-CN"/>
              </w:rPr>
              <w:t xml:space="preserve"> </w:t>
            </w:r>
            <w:r>
              <w:rPr>
                <w:rFonts w:hint="eastAsia"/>
                <w:sz w:val="24"/>
              </w:rPr>
              <w:t>H12系列高带宽实时示波器，最高带宽达33GHz、垂直分辨率12-bit，搭载公司自主研发的40GHz高带宽前端芯片组。公司自研示波器前端芯片带宽从8GHz到20GHz历时3年，从20GHz到40GHz历时不足1年，自2025年10月发布16GHz带宽示波器至本次发布33GHz示波器仅用时10个月，芯片迭代速度明显提升，为后续新品持续推出提供了有力技术保障</w:t>
            </w:r>
            <w:r>
              <w:rPr>
                <w:rFonts w:hint="eastAsia"/>
                <w:sz w:val="24"/>
                <w:lang w:eastAsia="zh-CN"/>
              </w:rPr>
              <w:t>，</w:t>
            </w:r>
            <w:r>
              <w:rPr>
                <w:rFonts w:hint="eastAsia"/>
                <w:sz w:val="24"/>
              </w:rPr>
              <w:t>即将推出的</w:t>
            </w:r>
            <w:r>
              <w:rPr>
                <w:rFonts w:hint="eastAsia"/>
                <w:sz w:val="24"/>
                <w:lang w:val="en-US" w:eastAsia="zh-CN"/>
              </w:rPr>
              <w:t>采样示波器、</w:t>
            </w:r>
            <w:r>
              <w:rPr>
                <w:rFonts w:hint="eastAsia"/>
                <w:sz w:val="24"/>
              </w:rPr>
              <w:t>更高频率矢量网络分析仪</w:t>
            </w:r>
            <w:r>
              <w:rPr>
                <w:rFonts w:hint="eastAsia"/>
                <w:sz w:val="24"/>
                <w:lang w:val="en-US" w:eastAsia="zh-CN"/>
              </w:rPr>
              <w:t>也</w:t>
            </w:r>
            <w:r>
              <w:rPr>
                <w:rFonts w:hint="eastAsia"/>
                <w:sz w:val="24"/>
              </w:rPr>
              <w:t>将搭载最新自研专用芯片。验证节奏方面，</w:t>
            </w:r>
            <w:r>
              <w:rPr>
                <w:rFonts w:hint="eastAsia"/>
                <w:sz w:val="24"/>
                <w:lang w:val="en-US" w:eastAsia="zh-CN"/>
              </w:rPr>
              <w:t>产线上使用的</w:t>
            </w:r>
            <w:r>
              <w:rPr>
                <w:rFonts w:hint="eastAsia"/>
                <w:sz w:val="24"/>
              </w:rPr>
              <w:t>产品在客户侧的验证通常需要</w:t>
            </w:r>
            <w:r>
              <w:rPr>
                <w:rFonts w:hint="eastAsia"/>
                <w:sz w:val="24"/>
                <w:lang w:val="en-US" w:eastAsia="zh-CN"/>
              </w:rPr>
              <w:t>3-6个月左右</w:t>
            </w:r>
            <w:r>
              <w:rPr>
                <w:rFonts w:hint="eastAsia"/>
                <w:sz w:val="24"/>
              </w:rPr>
              <w:t>，因其</w:t>
            </w:r>
            <w:r>
              <w:rPr>
                <w:rFonts w:hint="eastAsia"/>
                <w:sz w:val="24"/>
                <w:lang w:val="en-US" w:eastAsia="zh-CN"/>
              </w:rPr>
              <w:t>是</w:t>
            </w:r>
            <w:r>
              <w:rPr>
                <w:rFonts w:hint="eastAsia"/>
                <w:sz w:val="24"/>
              </w:rPr>
              <w:t>产线用设备，尚需在产线运行</w:t>
            </w:r>
            <w:r>
              <w:rPr>
                <w:rFonts w:hint="eastAsia"/>
                <w:sz w:val="24"/>
                <w:lang w:val="en-US" w:eastAsia="zh-CN"/>
              </w:rPr>
              <w:t>数</w:t>
            </w:r>
            <w:r>
              <w:rPr>
                <w:rFonts w:hint="eastAsia"/>
                <w:sz w:val="24"/>
              </w:rPr>
              <w:t>月以验证长期稳定性。</w:t>
            </w:r>
          </w:p>
          <w:p w14:paraId="2FB46F7A">
            <w:pPr>
              <w:keepNext w:val="0"/>
              <w:keepLines w:val="0"/>
              <w:suppressLineNumbers w:val="0"/>
              <w:spacing w:before="0" w:beforeAutospacing="0" w:after="0" w:afterAutospacing="0" w:line="360" w:lineRule="auto"/>
              <w:ind w:left="0" w:right="0"/>
              <w:rPr>
                <w:rFonts w:hint="default"/>
                <w:sz w:val="24"/>
              </w:rPr>
            </w:pPr>
          </w:p>
          <w:p w14:paraId="445F671E">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Q</w:t>
            </w:r>
            <w:r>
              <w:rPr>
                <w:rFonts w:hint="eastAsia"/>
                <w:sz w:val="24"/>
                <w:lang w:val="en-US" w:eastAsia="zh-CN"/>
              </w:rPr>
              <w:t>3</w:t>
            </w:r>
            <w:r>
              <w:rPr>
                <w:rFonts w:hint="eastAsia"/>
                <w:sz w:val="24"/>
              </w:rPr>
              <w:t>：自研芯片对产品的必要性</w:t>
            </w:r>
            <w:r>
              <w:rPr>
                <w:rFonts w:hint="eastAsia"/>
                <w:sz w:val="24"/>
                <w:lang w:val="en-US" w:eastAsia="zh-CN"/>
              </w:rPr>
              <w:t>在哪</w:t>
            </w:r>
            <w:r>
              <w:rPr>
                <w:rFonts w:hint="eastAsia"/>
                <w:sz w:val="24"/>
              </w:rPr>
              <w:t>？公司在自研芯片方面的优势是什么？</w:t>
            </w:r>
          </w:p>
          <w:p w14:paraId="343F49F6">
            <w:pPr>
              <w:keepNext w:val="0"/>
              <w:keepLines w:val="0"/>
              <w:suppressLineNumbers w:val="0"/>
              <w:spacing w:before="0" w:beforeAutospacing="0" w:after="0" w:afterAutospacing="0" w:line="360" w:lineRule="auto"/>
              <w:ind w:left="0" w:right="0" w:firstLine="480" w:firstLineChars="200"/>
              <w:rPr>
                <w:rFonts w:hint="eastAsia"/>
                <w:sz w:val="24"/>
              </w:rPr>
            </w:pPr>
            <w:r>
              <w:rPr>
                <w:rFonts w:hint="eastAsia"/>
                <w:sz w:val="24"/>
              </w:rPr>
              <w:t>A</w:t>
            </w:r>
            <w:r>
              <w:rPr>
                <w:rFonts w:hint="eastAsia"/>
                <w:sz w:val="24"/>
                <w:lang w:val="en-US" w:eastAsia="zh-CN"/>
              </w:rPr>
              <w:t>3</w:t>
            </w:r>
            <w:r>
              <w:rPr>
                <w:rFonts w:hint="eastAsia"/>
                <w:sz w:val="24"/>
              </w:rPr>
              <w:t>：因为高端示波器、</w:t>
            </w:r>
            <w:r>
              <w:rPr>
                <w:rFonts w:hint="eastAsia"/>
                <w:sz w:val="24"/>
                <w:lang w:val="en-US" w:eastAsia="zh-CN"/>
              </w:rPr>
              <w:t>高端</w:t>
            </w:r>
            <w:r>
              <w:rPr>
                <w:rFonts w:hint="eastAsia"/>
                <w:sz w:val="24"/>
              </w:rPr>
              <w:t>矢量网络分析仪等产品中使用的核心芯片外部采购不到，或外购芯片在产品上的使用效果不佳，不自研芯片则无法达到技术指标，所以进行芯片自研具有必要性。基于长期在通用电子测试测量仪器领域模拟电路技术的深厚积累，公司于2022年12月发布8GHz示波器前端芯片和SDS7000A系列示波器，于2025年10月推出搭载自研20GHz前端芯片的16GHz示波器SDS8000A系列。2026年8月，SDS8000AP H12系列高速实时示波器带宽突破33GHz，该系列高速实时示波器搭载自研前端芯片组，芯片组带宽高达40GHz。该芯片组的突破意味着公司示波器前端芯片能力再次实现跃升，并攻克了高性能微波组件、精密微组装等关键工艺，实现核心前端芯片、模拟前端与整机系统的协同优化。公司自研示波器前端芯片带宽从8GHz到20GHz历经3年，从20GHz到40GHz用时不到1年，芯片能力向上迭代的速度不断提升</w:t>
            </w:r>
            <w:r>
              <w:rPr>
                <w:rFonts w:hint="eastAsia"/>
                <w:sz w:val="24"/>
                <w:lang w:eastAsia="zh-CN"/>
              </w:rPr>
              <w:t>，</w:t>
            </w:r>
            <w:r>
              <w:rPr>
                <w:rFonts w:hint="eastAsia"/>
                <w:sz w:val="24"/>
              </w:rPr>
              <w:t>未来公司会推出和迭代更多自研芯片以应用于各类产品。</w:t>
            </w:r>
          </w:p>
          <w:p w14:paraId="641F64A7">
            <w:pPr>
              <w:keepNext w:val="0"/>
              <w:keepLines w:val="0"/>
              <w:suppressLineNumbers w:val="0"/>
              <w:spacing w:before="0" w:beforeAutospacing="0" w:after="0" w:afterAutospacing="0" w:line="360" w:lineRule="auto"/>
              <w:ind w:left="0" w:right="0"/>
              <w:rPr>
                <w:rFonts w:hint="default"/>
                <w:sz w:val="24"/>
              </w:rPr>
            </w:pPr>
          </w:p>
          <w:p w14:paraId="75578705">
            <w:pPr>
              <w:keepNext w:val="0"/>
              <w:keepLines w:val="0"/>
              <w:suppressLineNumbers w:val="0"/>
              <w:spacing w:before="0" w:beforeAutospacing="0" w:after="0" w:afterAutospacing="0" w:line="360" w:lineRule="auto"/>
              <w:ind w:left="0" w:right="0" w:firstLine="480" w:firstLineChars="200"/>
              <w:rPr>
                <w:rFonts w:hint="default"/>
                <w:sz w:val="24"/>
              </w:rPr>
            </w:pPr>
            <w:r>
              <w:rPr>
                <w:rFonts w:hint="eastAsia"/>
                <w:sz w:val="24"/>
              </w:rPr>
              <w:t>Q</w:t>
            </w:r>
            <w:r>
              <w:rPr>
                <w:rFonts w:hint="eastAsia"/>
                <w:sz w:val="24"/>
                <w:lang w:val="en-US" w:eastAsia="zh-CN"/>
              </w:rPr>
              <w:t>4</w:t>
            </w:r>
            <w:r>
              <w:rPr>
                <w:rFonts w:hint="eastAsia"/>
                <w:sz w:val="24"/>
              </w:rPr>
              <w:t>：目前公司产能和交付情况如何？</w:t>
            </w:r>
          </w:p>
          <w:p w14:paraId="0E2BFD6C">
            <w:pPr>
              <w:keepNext w:val="0"/>
              <w:keepLines w:val="0"/>
              <w:suppressLineNumbers w:val="0"/>
              <w:spacing w:before="0" w:beforeAutospacing="0" w:after="0" w:afterAutospacing="0" w:line="360" w:lineRule="auto"/>
              <w:ind w:left="0" w:right="0" w:firstLine="480" w:firstLineChars="200"/>
              <w:rPr>
                <w:rFonts w:hint="eastAsia"/>
                <w:sz w:val="24"/>
              </w:rPr>
            </w:pPr>
            <w:r>
              <w:rPr>
                <w:rFonts w:hint="eastAsia"/>
                <w:sz w:val="24"/>
              </w:rPr>
              <w:t>A</w:t>
            </w:r>
            <w:r>
              <w:rPr>
                <w:rFonts w:hint="eastAsia"/>
                <w:sz w:val="24"/>
                <w:lang w:val="en-US" w:eastAsia="zh-CN"/>
              </w:rPr>
              <w:t>4</w:t>
            </w:r>
            <w:r>
              <w:rPr>
                <w:rFonts w:hint="eastAsia"/>
                <w:sz w:val="24"/>
              </w:rPr>
              <w:t>：公司马来西亚生产基地已于2025年4月正式投产，目前产能及供货能力已得到进一步提高，有助于提升公司对海外市场的快速响应能力和订单交付效率。</w:t>
            </w:r>
            <w:r>
              <w:rPr>
                <w:rFonts w:hint="eastAsia"/>
                <w:sz w:val="24"/>
                <w:lang w:val="en-US" w:eastAsia="zh-CN"/>
              </w:rPr>
              <w:t>当前</w:t>
            </w:r>
            <w:r>
              <w:rPr>
                <w:rFonts w:hint="eastAsia"/>
                <w:sz w:val="24"/>
              </w:rPr>
              <w:t>交付瓶颈在于供应链，部分物料需提前3-6个月采购</w:t>
            </w:r>
            <w:r>
              <w:rPr>
                <w:rFonts w:hint="eastAsia"/>
                <w:sz w:val="24"/>
                <w:lang w:eastAsia="zh-CN"/>
              </w:rPr>
              <w:t>，</w:t>
            </w:r>
            <w:r>
              <w:rPr>
                <w:rFonts w:hint="eastAsia"/>
                <w:sz w:val="24"/>
                <w:lang w:val="en-US" w:eastAsia="zh-CN"/>
              </w:rPr>
              <w:t>公司正在</w:t>
            </w:r>
            <w:r>
              <w:rPr>
                <w:rFonts w:ascii="宋体" w:hAnsi="宋体" w:eastAsia="宋体" w:cs="宋体"/>
                <w:sz w:val="24"/>
                <w:szCs w:val="24"/>
              </w:rPr>
              <w:t>逐步增加备</w:t>
            </w:r>
            <w:bookmarkStart w:id="1" w:name="_GoBack"/>
            <w:bookmarkEnd w:id="1"/>
            <w:r>
              <w:rPr>
                <w:rFonts w:ascii="宋体" w:hAnsi="宋体" w:eastAsia="宋体" w:cs="宋体"/>
                <w:sz w:val="24"/>
                <w:szCs w:val="24"/>
              </w:rPr>
              <w:t>货规模，</w:t>
            </w:r>
            <w:r>
              <w:rPr>
                <w:rFonts w:hint="eastAsia" w:ascii="宋体" w:hAnsi="宋体" w:cs="宋体"/>
                <w:sz w:val="24"/>
                <w:szCs w:val="24"/>
                <w:lang w:val="en-US" w:eastAsia="zh-CN"/>
              </w:rPr>
              <w:t>截至半年度报告期末，</w:t>
            </w:r>
            <w:r>
              <w:rPr>
                <w:rFonts w:hint="eastAsia" w:ascii="宋体" w:hAnsi="宋体" w:eastAsia="宋体" w:cs="宋体"/>
                <w:sz w:val="24"/>
                <w:szCs w:val="24"/>
              </w:rPr>
              <w:t>存货金额</w:t>
            </w:r>
            <w:r>
              <w:rPr>
                <w:rFonts w:hint="default" w:ascii="Times New Roman" w:hAnsi="Times New Roman" w:eastAsia="宋体" w:cs="Times New Roman"/>
                <w:sz w:val="24"/>
                <w:szCs w:val="24"/>
              </w:rPr>
              <w:t>2.97亿元，相较2025年末金额</w:t>
            </w:r>
            <w:r>
              <w:rPr>
                <w:rFonts w:hint="eastAsia" w:cs="Times New Roman"/>
                <w:sz w:val="24"/>
                <w:szCs w:val="24"/>
                <w:lang w:val="en-US" w:eastAsia="zh-CN"/>
              </w:rPr>
              <w:t>已经</w:t>
            </w:r>
            <w:r>
              <w:rPr>
                <w:rFonts w:hint="default" w:ascii="Times New Roman" w:hAnsi="Times New Roman" w:eastAsia="宋体" w:cs="Times New Roman"/>
                <w:sz w:val="24"/>
                <w:szCs w:val="24"/>
              </w:rPr>
              <w:t>增加</w:t>
            </w:r>
            <w:r>
              <w:rPr>
                <w:rFonts w:hint="eastAsia" w:cs="Times New Roman"/>
                <w:sz w:val="24"/>
                <w:szCs w:val="24"/>
                <w:lang w:eastAsia="zh-CN"/>
              </w:rPr>
              <w:t>了</w:t>
            </w:r>
            <w:r>
              <w:rPr>
                <w:rFonts w:hint="default" w:ascii="Times New Roman" w:hAnsi="Times New Roman" w:eastAsia="宋体" w:cs="Times New Roman"/>
                <w:sz w:val="24"/>
                <w:szCs w:val="24"/>
              </w:rPr>
              <w:t>38.18%</w:t>
            </w:r>
            <w:r>
              <w:rPr>
                <w:rFonts w:hint="eastAsia" w:cs="Times New Roman"/>
                <w:sz w:val="24"/>
                <w:szCs w:val="24"/>
                <w:lang w:eastAsia="zh-CN"/>
              </w:rPr>
              <w:t>，</w:t>
            </w:r>
            <w:r>
              <w:rPr>
                <w:rFonts w:hint="eastAsia"/>
                <w:sz w:val="24"/>
              </w:rPr>
              <w:t>后续公司</w:t>
            </w:r>
            <w:r>
              <w:rPr>
                <w:rFonts w:hint="eastAsia"/>
                <w:sz w:val="24"/>
                <w:lang w:val="en-US" w:eastAsia="zh-CN"/>
              </w:rPr>
              <w:t>也</w:t>
            </w:r>
            <w:r>
              <w:rPr>
                <w:rFonts w:hint="eastAsia"/>
                <w:sz w:val="24"/>
              </w:rPr>
              <w:t>将</w:t>
            </w:r>
            <w:r>
              <w:rPr>
                <w:rFonts w:hint="eastAsia"/>
                <w:sz w:val="24"/>
                <w:lang w:val="en-US" w:eastAsia="zh-CN"/>
              </w:rPr>
              <w:t>继续</w:t>
            </w:r>
            <w:r>
              <w:rPr>
                <w:rFonts w:hint="eastAsia"/>
                <w:sz w:val="24"/>
              </w:rPr>
              <w:t>做好战略性原材料保障，针对IC芯片、电子元器件等长周期关键物料，将结合订单情况、产品迭代规划与上下游市场供需进行综合研判，统筹备货节奏，做好供应链波动与原材料价格波动风险对冲，为核心产品的产能释放与订单交付筑牢供应链支撑。</w:t>
            </w:r>
          </w:p>
          <w:p w14:paraId="42BCE2AF">
            <w:pPr>
              <w:keepNext w:val="0"/>
              <w:keepLines w:val="0"/>
              <w:suppressLineNumbers w:val="0"/>
              <w:spacing w:before="0" w:beforeAutospacing="0" w:after="0" w:afterAutospacing="0" w:line="360" w:lineRule="auto"/>
              <w:ind w:left="0" w:right="0" w:firstLine="480" w:firstLineChars="200"/>
              <w:rPr>
                <w:rFonts w:hint="eastAsia"/>
                <w:sz w:val="24"/>
              </w:rPr>
            </w:pPr>
          </w:p>
          <w:p w14:paraId="4DC6E055">
            <w:pPr>
              <w:keepNext w:val="0"/>
              <w:keepLines w:val="0"/>
              <w:suppressLineNumbers w:val="0"/>
              <w:spacing w:before="0" w:beforeAutospacing="0" w:after="0" w:afterAutospacing="0" w:line="360" w:lineRule="auto"/>
              <w:ind w:left="0" w:right="0" w:firstLine="480" w:firstLineChars="200"/>
              <w:rPr>
                <w:rFonts w:hint="eastAsia"/>
                <w:sz w:val="24"/>
              </w:rPr>
            </w:pPr>
            <w:r>
              <w:rPr>
                <w:rFonts w:hint="eastAsia"/>
                <w:sz w:val="24"/>
              </w:rPr>
              <w:t>Q</w:t>
            </w:r>
            <w:r>
              <w:rPr>
                <w:rFonts w:hint="eastAsia"/>
                <w:sz w:val="24"/>
                <w:lang w:val="en-US" w:eastAsia="zh-CN"/>
              </w:rPr>
              <w:t>5</w:t>
            </w:r>
            <w:r>
              <w:rPr>
                <w:rFonts w:hint="eastAsia"/>
                <w:sz w:val="24"/>
              </w:rPr>
              <w:t>：公司毛利率长期维持高位且持续提升，产品结构不断向高端迁移。请问公司</w:t>
            </w:r>
            <w:r>
              <w:rPr>
                <w:rFonts w:hint="eastAsia"/>
                <w:sz w:val="24"/>
                <w:lang w:val="en-US" w:eastAsia="zh-CN"/>
              </w:rPr>
              <w:t>对未来发展预期如何</w:t>
            </w:r>
            <w:r>
              <w:rPr>
                <w:rFonts w:hint="eastAsia"/>
                <w:sz w:val="24"/>
              </w:rPr>
              <w:t>？</w:t>
            </w:r>
          </w:p>
          <w:p w14:paraId="5E04D42A">
            <w:pPr>
              <w:keepNext w:val="0"/>
              <w:keepLines w:val="0"/>
              <w:suppressLineNumbers w:val="0"/>
              <w:spacing w:before="0" w:beforeAutospacing="0" w:after="0" w:afterAutospacing="0" w:line="360" w:lineRule="auto"/>
              <w:ind w:left="0" w:right="0" w:firstLine="480" w:firstLineChars="200"/>
              <w:rPr>
                <w:rFonts w:hint="eastAsia"/>
                <w:sz w:val="24"/>
              </w:rPr>
            </w:pPr>
            <w:r>
              <w:rPr>
                <w:rFonts w:hint="eastAsia"/>
                <w:sz w:val="24"/>
              </w:rPr>
              <w:t>A</w:t>
            </w:r>
            <w:r>
              <w:rPr>
                <w:rFonts w:hint="eastAsia"/>
                <w:sz w:val="24"/>
                <w:lang w:val="en-US" w:eastAsia="zh-CN"/>
              </w:rPr>
              <w:t>5</w:t>
            </w:r>
            <w:r>
              <w:rPr>
                <w:rFonts w:hint="eastAsia"/>
                <w:sz w:val="24"/>
              </w:rPr>
              <w:t>：2026年上半年，公司综合毛利率达63.89%，同比提升3.83个百分点，主要得益于高端产品收入占比持续提升至40%（同比提高10个百分点）、产品结构不断优化，收入增速明显快于成本增速。从更长周期看，公司产品档次结构持续上移，上半年高端产品实现量价齐升，销售收入同比增长65.75%，销售均价同比提高22.09%，增长质量不断提升。</w:t>
            </w:r>
          </w:p>
          <w:p w14:paraId="10833095">
            <w:pPr>
              <w:keepNext w:val="0"/>
              <w:keepLines w:val="0"/>
              <w:suppressLineNumbers w:val="0"/>
              <w:spacing w:before="0" w:beforeAutospacing="0" w:after="0" w:afterAutospacing="0" w:line="360" w:lineRule="auto"/>
              <w:ind w:left="0" w:right="0" w:firstLine="480" w:firstLineChars="200"/>
              <w:rPr>
                <w:rFonts w:hint="eastAsia"/>
                <w:sz w:val="24"/>
              </w:rPr>
            </w:pPr>
            <w:r>
              <w:rPr>
                <w:rFonts w:hint="eastAsia"/>
                <w:sz w:val="24"/>
              </w:rPr>
              <w:t>公司自主品牌“SIGLENT”已成为全球知名的通用电子测试测量仪器品牌，产品及服务遍及全球80多个国家和地区，是全球极少数同时拥有数字示波器、矢量网络分析仪</w:t>
            </w:r>
            <w:r>
              <w:rPr>
                <w:rFonts w:hint="eastAsia"/>
                <w:sz w:val="24"/>
                <w:lang w:eastAsia="zh-CN"/>
              </w:rPr>
              <w:t>、</w:t>
            </w:r>
            <w:r>
              <w:rPr>
                <w:rFonts w:hint="eastAsia"/>
                <w:sz w:val="24"/>
              </w:rPr>
              <w:t>信号发生器和频谱分析仪四大主力产品，且四大主力产品全线进入高端领域的企业之一。随着国产浪潮持续推进，以及高速通信</w:t>
            </w:r>
            <w:r>
              <w:rPr>
                <w:rFonts w:hint="eastAsia"/>
                <w:sz w:val="24"/>
                <w:lang w:val="en-US" w:eastAsia="zh-CN"/>
              </w:rPr>
              <w:t>数据中心</w:t>
            </w:r>
            <w:r>
              <w:rPr>
                <w:rFonts w:hint="eastAsia"/>
                <w:sz w:val="24"/>
              </w:rPr>
              <w:t>等新兴下游需求释放，公司在国内技术领先的基础上，正加速向中高端市场渗透，市场份额与品牌认可度有望持续提升。公司对未来</w:t>
            </w:r>
            <w:r>
              <w:rPr>
                <w:rFonts w:hint="eastAsia"/>
                <w:sz w:val="24"/>
                <w:lang w:val="en-US" w:eastAsia="zh-CN"/>
              </w:rPr>
              <w:t>发展</w:t>
            </w:r>
            <w:r>
              <w:rPr>
                <w:rFonts w:hint="eastAsia"/>
                <w:sz w:val="24"/>
              </w:rPr>
              <w:t>保持信心，将继续坚持高端化战略和创新驱动，推动业绩实现高质量、可持续增长。</w:t>
            </w:r>
          </w:p>
        </w:tc>
      </w:tr>
    </w:tbl>
    <w:p w14:paraId="63475C9D"/>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FFA57">
    <w:pPr>
      <w:pStyle w:val="4"/>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40F36">
    <w:pPr>
      <w:pStyle w:val="5"/>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9BC"/>
    <w:rsid w:val="00001D2D"/>
    <w:rsid w:val="00006CFA"/>
    <w:rsid w:val="000108DF"/>
    <w:rsid w:val="00010C04"/>
    <w:rsid w:val="0001137C"/>
    <w:rsid w:val="00012802"/>
    <w:rsid w:val="00012D00"/>
    <w:rsid w:val="0001392A"/>
    <w:rsid w:val="0001509B"/>
    <w:rsid w:val="00015915"/>
    <w:rsid w:val="00016F33"/>
    <w:rsid w:val="000207F0"/>
    <w:rsid w:val="00020C91"/>
    <w:rsid w:val="000220C0"/>
    <w:rsid w:val="0002224B"/>
    <w:rsid w:val="0002563C"/>
    <w:rsid w:val="00025F83"/>
    <w:rsid w:val="00027453"/>
    <w:rsid w:val="00027509"/>
    <w:rsid w:val="0003030A"/>
    <w:rsid w:val="0003076F"/>
    <w:rsid w:val="0003092C"/>
    <w:rsid w:val="0003379A"/>
    <w:rsid w:val="00033A71"/>
    <w:rsid w:val="00034B32"/>
    <w:rsid w:val="00035B98"/>
    <w:rsid w:val="00036C7F"/>
    <w:rsid w:val="00041AC3"/>
    <w:rsid w:val="00042777"/>
    <w:rsid w:val="00043072"/>
    <w:rsid w:val="00044CFF"/>
    <w:rsid w:val="0004718B"/>
    <w:rsid w:val="000524CA"/>
    <w:rsid w:val="000540CE"/>
    <w:rsid w:val="00054AC3"/>
    <w:rsid w:val="00063BE0"/>
    <w:rsid w:val="000650D4"/>
    <w:rsid w:val="00070BDB"/>
    <w:rsid w:val="00070D04"/>
    <w:rsid w:val="00071324"/>
    <w:rsid w:val="00071B9C"/>
    <w:rsid w:val="00072F55"/>
    <w:rsid w:val="000739C6"/>
    <w:rsid w:val="00075434"/>
    <w:rsid w:val="00076F7A"/>
    <w:rsid w:val="00077472"/>
    <w:rsid w:val="000800A8"/>
    <w:rsid w:val="00081B4D"/>
    <w:rsid w:val="00084872"/>
    <w:rsid w:val="00084F09"/>
    <w:rsid w:val="00085A29"/>
    <w:rsid w:val="000905E5"/>
    <w:rsid w:val="000906B0"/>
    <w:rsid w:val="0009077C"/>
    <w:rsid w:val="000907C3"/>
    <w:rsid w:val="0009088F"/>
    <w:rsid w:val="00090A1C"/>
    <w:rsid w:val="00091277"/>
    <w:rsid w:val="00092089"/>
    <w:rsid w:val="00094275"/>
    <w:rsid w:val="0009546A"/>
    <w:rsid w:val="000958F1"/>
    <w:rsid w:val="000959AF"/>
    <w:rsid w:val="00096BD4"/>
    <w:rsid w:val="00097A53"/>
    <w:rsid w:val="000A1834"/>
    <w:rsid w:val="000A1849"/>
    <w:rsid w:val="000A1CC7"/>
    <w:rsid w:val="000A2AC6"/>
    <w:rsid w:val="000A33B0"/>
    <w:rsid w:val="000A3534"/>
    <w:rsid w:val="000A541B"/>
    <w:rsid w:val="000A54F4"/>
    <w:rsid w:val="000A6DE6"/>
    <w:rsid w:val="000A6EB7"/>
    <w:rsid w:val="000B1723"/>
    <w:rsid w:val="000B19DD"/>
    <w:rsid w:val="000B1AF7"/>
    <w:rsid w:val="000B2C71"/>
    <w:rsid w:val="000B64D7"/>
    <w:rsid w:val="000B69A5"/>
    <w:rsid w:val="000B7444"/>
    <w:rsid w:val="000B7F2C"/>
    <w:rsid w:val="000C0DB0"/>
    <w:rsid w:val="000C148E"/>
    <w:rsid w:val="000C20DB"/>
    <w:rsid w:val="000C2210"/>
    <w:rsid w:val="000C2262"/>
    <w:rsid w:val="000C234D"/>
    <w:rsid w:val="000C2CDF"/>
    <w:rsid w:val="000C3C0F"/>
    <w:rsid w:val="000C45C2"/>
    <w:rsid w:val="000C4FEB"/>
    <w:rsid w:val="000C6D25"/>
    <w:rsid w:val="000D04C7"/>
    <w:rsid w:val="000D18A3"/>
    <w:rsid w:val="000D1F04"/>
    <w:rsid w:val="000D2064"/>
    <w:rsid w:val="000D5A43"/>
    <w:rsid w:val="000D6C22"/>
    <w:rsid w:val="000D7463"/>
    <w:rsid w:val="000D7B74"/>
    <w:rsid w:val="000E10BB"/>
    <w:rsid w:val="000E21F3"/>
    <w:rsid w:val="000E5FCC"/>
    <w:rsid w:val="000E686E"/>
    <w:rsid w:val="000E75B6"/>
    <w:rsid w:val="000E7DFE"/>
    <w:rsid w:val="000F021E"/>
    <w:rsid w:val="000F1760"/>
    <w:rsid w:val="000F1F69"/>
    <w:rsid w:val="000F1F6B"/>
    <w:rsid w:val="000F26D6"/>
    <w:rsid w:val="000F4489"/>
    <w:rsid w:val="000F5FD4"/>
    <w:rsid w:val="000F625B"/>
    <w:rsid w:val="000F6AA6"/>
    <w:rsid w:val="0010000B"/>
    <w:rsid w:val="001035FD"/>
    <w:rsid w:val="001057A4"/>
    <w:rsid w:val="00105AB3"/>
    <w:rsid w:val="00106882"/>
    <w:rsid w:val="001071E4"/>
    <w:rsid w:val="00107963"/>
    <w:rsid w:val="0011286C"/>
    <w:rsid w:val="0011402F"/>
    <w:rsid w:val="00114371"/>
    <w:rsid w:val="00117229"/>
    <w:rsid w:val="00120030"/>
    <w:rsid w:val="001230EE"/>
    <w:rsid w:val="00123271"/>
    <w:rsid w:val="00131AF4"/>
    <w:rsid w:val="00132408"/>
    <w:rsid w:val="0013240D"/>
    <w:rsid w:val="001326E6"/>
    <w:rsid w:val="00135D8F"/>
    <w:rsid w:val="00137C9D"/>
    <w:rsid w:val="0014120D"/>
    <w:rsid w:val="0014189D"/>
    <w:rsid w:val="00143637"/>
    <w:rsid w:val="00145003"/>
    <w:rsid w:val="0014523F"/>
    <w:rsid w:val="0014776D"/>
    <w:rsid w:val="00152F1B"/>
    <w:rsid w:val="00154082"/>
    <w:rsid w:val="0015555D"/>
    <w:rsid w:val="0015743F"/>
    <w:rsid w:val="0016018A"/>
    <w:rsid w:val="00163134"/>
    <w:rsid w:val="00163BF3"/>
    <w:rsid w:val="00164573"/>
    <w:rsid w:val="00165FB6"/>
    <w:rsid w:val="00167C75"/>
    <w:rsid w:val="00167DE1"/>
    <w:rsid w:val="0017193B"/>
    <w:rsid w:val="00172095"/>
    <w:rsid w:val="001757CF"/>
    <w:rsid w:val="001762A7"/>
    <w:rsid w:val="00176421"/>
    <w:rsid w:val="00176993"/>
    <w:rsid w:val="00184A14"/>
    <w:rsid w:val="00184FBB"/>
    <w:rsid w:val="00185732"/>
    <w:rsid w:val="001866DC"/>
    <w:rsid w:val="00191542"/>
    <w:rsid w:val="00194FE8"/>
    <w:rsid w:val="001971B7"/>
    <w:rsid w:val="001A1719"/>
    <w:rsid w:val="001A18F6"/>
    <w:rsid w:val="001A28DC"/>
    <w:rsid w:val="001A36D0"/>
    <w:rsid w:val="001A3D41"/>
    <w:rsid w:val="001A6960"/>
    <w:rsid w:val="001A75CE"/>
    <w:rsid w:val="001A783B"/>
    <w:rsid w:val="001B115E"/>
    <w:rsid w:val="001B186F"/>
    <w:rsid w:val="001B1D6E"/>
    <w:rsid w:val="001B51EF"/>
    <w:rsid w:val="001B5339"/>
    <w:rsid w:val="001B5E00"/>
    <w:rsid w:val="001B7871"/>
    <w:rsid w:val="001B7971"/>
    <w:rsid w:val="001C1FF9"/>
    <w:rsid w:val="001C2316"/>
    <w:rsid w:val="001C315E"/>
    <w:rsid w:val="001C3A12"/>
    <w:rsid w:val="001C4DA1"/>
    <w:rsid w:val="001C5BC0"/>
    <w:rsid w:val="001D0B7C"/>
    <w:rsid w:val="001D0E24"/>
    <w:rsid w:val="001D12E8"/>
    <w:rsid w:val="001D1AFB"/>
    <w:rsid w:val="001D35D9"/>
    <w:rsid w:val="001D408C"/>
    <w:rsid w:val="001D44CD"/>
    <w:rsid w:val="001D6879"/>
    <w:rsid w:val="001E078C"/>
    <w:rsid w:val="001E1C39"/>
    <w:rsid w:val="001E1F54"/>
    <w:rsid w:val="001E2588"/>
    <w:rsid w:val="001E5056"/>
    <w:rsid w:val="001E6A1E"/>
    <w:rsid w:val="001E7E39"/>
    <w:rsid w:val="001F0832"/>
    <w:rsid w:val="001F0A66"/>
    <w:rsid w:val="001F1F59"/>
    <w:rsid w:val="001F2183"/>
    <w:rsid w:val="001F3253"/>
    <w:rsid w:val="001F42CB"/>
    <w:rsid w:val="001F4664"/>
    <w:rsid w:val="001F596C"/>
    <w:rsid w:val="001F5CAE"/>
    <w:rsid w:val="001F61FA"/>
    <w:rsid w:val="001F73C1"/>
    <w:rsid w:val="001F7745"/>
    <w:rsid w:val="001F7FC2"/>
    <w:rsid w:val="00202CC2"/>
    <w:rsid w:val="00203001"/>
    <w:rsid w:val="002035ED"/>
    <w:rsid w:val="0020367B"/>
    <w:rsid w:val="002038D0"/>
    <w:rsid w:val="00203C01"/>
    <w:rsid w:val="00203F1B"/>
    <w:rsid w:val="002051C2"/>
    <w:rsid w:val="00205D7B"/>
    <w:rsid w:val="002065F6"/>
    <w:rsid w:val="00210FE7"/>
    <w:rsid w:val="00211009"/>
    <w:rsid w:val="00212747"/>
    <w:rsid w:val="00213894"/>
    <w:rsid w:val="00215AE9"/>
    <w:rsid w:val="00220809"/>
    <w:rsid w:val="00220CFB"/>
    <w:rsid w:val="00222BD0"/>
    <w:rsid w:val="00224FD4"/>
    <w:rsid w:val="002270A1"/>
    <w:rsid w:val="0023009E"/>
    <w:rsid w:val="00230B33"/>
    <w:rsid w:val="00230E56"/>
    <w:rsid w:val="00232B1D"/>
    <w:rsid w:val="00232E81"/>
    <w:rsid w:val="00233531"/>
    <w:rsid w:val="0023375E"/>
    <w:rsid w:val="002369B1"/>
    <w:rsid w:val="002370BE"/>
    <w:rsid w:val="0023727C"/>
    <w:rsid w:val="00243BC6"/>
    <w:rsid w:val="00246852"/>
    <w:rsid w:val="00246B0B"/>
    <w:rsid w:val="00247D3B"/>
    <w:rsid w:val="00251419"/>
    <w:rsid w:val="00252210"/>
    <w:rsid w:val="0025391A"/>
    <w:rsid w:val="00253EBA"/>
    <w:rsid w:val="0025459A"/>
    <w:rsid w:val="002547A8"/>
    <w:rsid w:val="00255704"/>
    <w:rsid w:val="00257CCB"/>
    <w:rsid w:val="00260B2B"/>
    <w:rsid w:val="00260B94"/>
    <w:rsid w:val="00260C09"/>
    <w:rsid w:val="00260E56"/>
    <w:rsid w:val="002620BB"/>
    <w:rsid w:val="00262893"/>
    <w:rsid w:val="00262C85"/>
    <w:rsid w:val="002630C1"/>
    <w:rsid w:val="0026611F"/>
    <w:rsid w:val="00266ABF"/>
    <w:rsid w:val="00266C6F"/>
    <w:rsid w:val="002702F1"/>
    <w:rsid w:val="0027062B"/>
    <w:rsid w:val="00270669"/>
    <w:rsid w:val="00272325"/>
    <w:rsid w:val="00272977"/>
    <w:rsid w:val="00275251"/>
    <w:rsid w:val="00276798"/>
    <w:rsid w:val="0027679C"/>
    <w:rsid w:val="00276C81"/>
    <w:rsid w:val="00276D91"/>
    <w:rsid w:val="00280508"/>
    <w:rsid w:val="00280651"/>
    <w:rsid w:val="00280C90"/>
    <w:rsid w:val="00281F23"/>
    <w:rsid w:val="00281F42"/>
    <w:rsid w:val="0028396B"/>
    <w:rsid w:val="002849F5"/>
    <w:rsid w:val="002860AA"/>
    <w:rsid w:val="00286110"/>
    <w:rsid w:val="0028663C"/>
    <w:rsid w:val="00290792"/>
    <w:rsid w:val="0029098C"/>
    <w:rsid w:val="00295613"/>
    <w:rsid w:val="00297206"/>
    <w:rsid w:val="002A214D"/>
    <w:rsid w:val="002A2BB8"/>
    <w:rsid w:val="002A2D54"/>
    <w:rsid w:val="002A3D3E"/>
    <w:rsid w:val="002A3DB9"/>
    <w:rsid w:val="002A4B73"/>
    <w:rsid w:val="002A5783"/>
    <w:rsid w:val="002A579C"/>
    <w:rsid w:val="002A5F3F"/>
    <w:rsid w:val="002A62F0"/>
    <w:rsid w:val="002A6A2A"/>
    <w:rsid w:val="002B0CDA"/>
    <w:rsid w:val="002B2394"/>
    <w:rsid w:val="002B3F4E"/>
    <w:rsid w:val="002B453C"/>
    <w:rsid w:val="002B5563"/>
    <w:rsid w:val="002B76A9"/>
    <w:rsid w:val="002C1807"/>
    <w:rsid w:val="002C7145"/>
    <w:rsid w:val="002C7446"/>
    <w:rsid w:val="002D0AF8"/>
    <w:rsid w:val="002D123D"/>
    <w:rsid w:val="002D129E"/>
    <w:rsid w:val="002D1F01"/>
    <w:rsid w:val="002D3259"/>
    <w:rsid w:val="002D4E9A"/>
    <w:rsid w:val="002D5809"/>
    <w:rsid w:val="002E2B9A"/>
    <w:rsid w:val="002E4737"/>
    <w:rsid w:val="002E54AD"/>
    <w:rsid w:val="002E6C29"/>
    <w:rsid w:val="002E747A"/>
    <w:rsid w:val="00300A63"/>
    <w:rsid w:val="00303093"/>
    <w:rsid w:val="00303F25"/>
    <w:rsid w:val="00304875"/>
    <w:rsid w:val="00305900"/>
    <w:rsid w:val="00306CF4"/>
    <w:rsid w:val="00306F38"/>
    <w:rsid w:val="00310408"/>
    <w:rsid w:val="00310FD7"/>
    <w:rsid w:val="00311072"/>
    <w:rsid w:val="003123C2"/>
    <w:rsid w:val="003124F8"/>
    <w:rsid w:val="0031260C"/>
    <w:rsid w:val="00312792"/>
    <w:rsid w:val="00313674"/>
    <w:rsid w:val="00316F8C"/>
    <w:rsid w:val="003172B4"/>
    <w:rsid w:val="00317342"/>
    <w:rsid w:val="003207DD"/>
    <w:rsid w:val="0032257D"/>
    <w:rsid w:val="003236E7"/>
    <w:rsid w:val="00323BC8"/>
    <w:rsid w:val="00324DEE"/>
    <w:rsid w:val="00325D85"/>
    <w:rsid w:val="00327B7B"/>
    <w:rsid w:val="00330661"/>
    <w:rsid w:val="003335D3"/>
    <w:rsid w:val="003344E8"/>
    <w:rsid w:val="00335A34"/>
    <w:rsid w:val="0033715F"/>
    <w:rsid w:val="0034057E"/>
    <w:rsid w:val="00343E43"/>
    <w:rsid w:val="003446E5"/>
    <w:rsid w:val="00346F44"/>
    <w:rsid w:val="00347A3C"/>
    <w:rsid w:val="003517B2"/>
    <w:rsid w:val="003525C5"/>
    <w:rsid w:val="00352C2D"/>
    <w:rsid w:val="003558BD"/>
    <w:rsid w:val="00360BD5"/>
    <w:rsid w:val="00361CB1"/>
    <w:rsid w:val="00362638"/>
    <w:rsid w:val="00363010"/>
    <w:rsid w:val="00365F2B"/>
    <w:rsid w:val="00366E7C"/>
    <w:rsid w:val="0037151F"/>
    <w:rsid w:val="00371E9B"/>
    <w:rsid w:val="0037305C"/>
    <w:rsid w:val="00373814"/>
    <w:rsid w:val="00376964"/>
    <w:rsid w:val="0038359E"/>
    <w:rsid w:val="003842BC"/>
    <w:rsid w:val="0038789D"/>
    <w:rsid w:val="003879E7"/>
    <w:rsid w:val="00390DD4"/>
    <w:rsid w:val="003917AD"/>
    <w:rsid w:val="00394647"/>
    <w:rsid w:val="003954A5"/>
    <w:rsid w:val="00395548"/>
    <w:rsid w:val="003A002A"/>
    <w:rsid w:val="003A0FCD"/>
    <w:rsid w:val="003A1615"/>
    <w:rsid w:val="003A1BD5"/>
    <w:rsid w:val="003A1BF9"/>
    <w:rsid w:val="003A30E3"/>
    <w:rsid w:val="003A391A"/>
    <w:rsid w:val="003A3993"/>
    <w:rsid w:val="003A53F8"/>
    <w:rsid w:val="003A569B"/>
    <w:rsid w:val="003A574D"/>
    <w:rsid w:val="003A5880"/>
    <w:rsid w:val="003A5ED0"/>
    <w:rsid w:val="003A6555"/>
    <w:rsid w:val="003B1881"/>
    <w:rsid w:val="003B3B43"/>
    <w:rsid w:val="003B5A34"/>
    <w:rsid w:val="003C0314"/>
    <w:rsid w:val="003C2656"/>
    <w:rsid w:val="003C3064"/>
    <w:rsid w:val="003C30E4"/>
    <w:rsid w:val="003C46A0"/>
    <w:rsid w:val="003C50C8"/>
    <w:rsid w:val="003C655B"/>
    <w:rsid w:val="003C7210"/>
    <w:rsid w:val="003D07EE"/>
    <w:rsid w:val="003D32F6"/>
    <w:rsid w:val="003D3748"/>
    <w:rsid w:val="003D4E9E"/>
    <w:rsid w:val="003D546C"/>
    <w:rsid w:val="003D60F7"/>
    <w:rsid w:val="003D6EC9"/>
    <w:rsid w:val="003D730D"/>
    <w:rsid w:val="003E08D0"/>
    <w:rsid w:val="003E0D9D"/>
    <w:rsid w:val="003E2653"/>
    <w:rsid w:val="003E3089"/>
    <w:rsid w:val="003E30FD"/>
    <w:rsid w:val="003E3741"/>
    <w:rsid w:val="003E3B84"/>
    <w:rsid w:val="003E5247"/>
    <w:rsid w:val="003E6146"/>
    <w:rsid w:val="003E687C"/>
    <w:rsid w:val="003F0C9A"/>
    <w:rsid w:val="003F1D9B"/>
    <w:rsid w:val="003F2F3C"/>
    <w:rsid w:val="003F30F2"/>
    <w:rsid w:val="003F48BB"/>
    <w:rsid w:val="003F756C"/>
    <w:rsid w:val="0040210F"/>
    <w:rsid w:val="0040316D"/>
    <w:rsid w:val="00403C44"/>
    <w:rsid w:val="00405576"/>
    <w:rsid w:val="0040602B"/>
    <w:rsid w:val="00406994"/>
    <w:rsid w:val="00406F55"/>
    <w:rsid w:val="004101D8"/>
    <w:rsid w:val="00412651"/>
    <w:rsid w:val="00412D01"/>
    <w:rsid w:val="00413BA4"/>
    <w:rsid w:val="00413CB3"/>
    <w:rsid w:val="004152D8"/>
    <w:rsid w:val="004166BF"/>
    <w:rsid w:val="00416F76"/>
    <w:rsid w:val="00422C3C"/>
    <w:rsid w:val="0042518E"/>
    <w:rsid w:val="004254D8"/>
    <w:rsid w:val="00425E55"/>
    <w:rsid w:val="0042682E"/>
    <w:rsid w:val="0043114A"/>
    <w:rsid w:val="00435308"/>
    <w:rsid w:val="00435BEB"/>
    <w:rsid w:val="0043619E"/>
    <w:rsid w:val="004371B7"/>
    <w:rsid w:val="004376E3"/>
    <w:rsid w:val="004407E2"/>
    <w:rsid w:val="00441100"/>
    <w:rsid w:val="0044193F"/>
    <w:rsid w:val="00441D38"/>
    <w:rsid w:val="00445595"/>
    <w:rsid w:val="00446210"/>
    <w:rsid w:val="00447F1E"/>
    <w:rsid w:val="00450785"/>
    <w:rsid w:val="00454BB2"/>
    <w:rsid w:val="0045579F"/>
    <w:rsid w:val="004561B7"/>
    <w:rsid w:val="00460B48"/>
    <w:rsid w:val="00461252"/>
    <w:rsid w:val="00461684"/>
    <w:rsid w:val="00461FD7"/>
    <w:rsid w:val="0046286D"/>
    <w:rsid w:val="00462FAA"/>
    <w:rsid w:val="00464D1B"/>
    <w:rsid w:val="00465734"/>
    <w:rsid w:val="00467591"/>
    <w:rsid w:val="0047117A"/>
    <w:rsid w:val="0047151F"/>
    <w:rsid w:val="00472AE5"/>
    <w:rsid w:val="00473974"/>
    <w:rsid w:val="00475168"/>
    <w:rsid w:val="004759DC"/>
    <w:rsid w:val="00475F56"/>
    <w:rsid w:val="004772E3"/>
    <w:rsid w:val="0047796F"/>
    <w:rsid w:val="00477AF2"/>
    <w:rsid w:val="0048108D"/>
    <w:rsid w:val="00483543"/>
    <w:rsid w:val="004835A6"/>
    <w:rsid w:val="00483CF8"/>
    <w:rsid w:val="00484678"/>
    <w:rsid w:val="00486E86"/>
    <w:rsid w:val="0049216E"/>
    <w:rsid w:val="004924DD"/>
    <w:rsid w:val="00493382"/>
    <w:rsid w:val="004934DC"/>
    <w:rsid w:val="00493B01"/>
    <w:rsid w:val="00493ED4"/>
    <w:rsid w:val="00494C5D"/>
    <w:rsid w:val="0049585A"/>
    <w:rsid w:val="0049669B"/>
    <w:rsid w:val="004978D5"/>
    <w:rsid w:val="004A1AF7"/>
    <w:rsid w:val="004A2AF7"/>
    <w:rsid w:val="004A33CB"/>
    <w:rsid w:val="004B10F8"/>
    <w:rsid w:val="004B2E06"/>
    <w:rsid w:val="004B32B6"/>
    <w:rsid w:val="004B4429"/>
    <w:rsid w:val="004B5014"/>
    <w:rsid w:val="004B5C57"/>
    <w:rsid w:val="004C02F7"/>
    <w:rsid w:val="004C0839"/>
    <w:rsid w:val="004C0EBD"/>
    <w:rsid w:val="004C0F9D"/>
    <w:rsid w:val="004C115A"/>
    <w:rsid w:val="004C37B4"/>
    <w:rsid w:val="004C5703"/>
    <w:rsid w:val="004C5D51"/>
    <w:rsid w:val="004C777B"/>
    <w:rsid w:val="004D086C"/>
    <w:rsid w:val="004D0960"/>
    <w:rsid w:val="004D11FC"/>
    <w:rsid w:val="004D1D94"/>
    <w:rsid w:val="004D39AD"/>
    <w:rsid w:val="004D3FAC"/>
    <w:rsid w:val="004D4A23"/>
    <w:rsid w:val="004D4ACB"/>
    <w:rsid w:val="004D4E1D"/>
    <w:rsid w:val="004D4F7D"/>
    <w:rsid w:val="004D5EA9"/>
    <w:rsid w:val="004D77D7"/>
    <w:rsid w:val="004E1F6B"/>
    <w:rsid w:val="004E45A6"/>
    <w:rsid w:val="004E5734"/>
    <w:rsid w:val="004E6612"/>
    <w:rsid w:val="004E6C16"/>
    <w:rsid w:val="004F0DD3"/>
    <w:rsid w:val="004F6D6C"/>
    <w:rsid w:val="0050179B"/>
    <w:rsid w:val="00503388"/>
    <w:rsid w:val="005033EA"/>
    <w:rsid w:val="005047F2"/>
    <w:rsid w:val="00505D71"/>
    <w:rsid w:val="00506243"/>
    <w:rsid w:val="005108EB"/>
    <w:rsid w:val="005125D1"/>
    <w:rsid w:val="0051311B"/>
    <w:rsid w:val="005133E4"/>
    <w:rsid w:val="00513C51"/>
    <w:rsid w:val="005215CE"/>
    <w:rsid w:val="005222C7"/>
    <w:rsid w:val="00527D84"/>
    <w:rsid w:val="00530388"/>
    <w:rsid w:val="00531341"/>
    <w:rsid w:val="00533A35"/>
    <w:rsid w:val="00537BFC"/>
    <w:rsid w:val="0054023F"/>
    <w:rsid w:val="005421A5"/>
    <w:rsid w:val="00542D2A"/>
    <w:rsid w:val="00544441"/>
    <w:rsid w:val="00545BEA"/>
    <w:rsid w:val="00546090"/>
    <w:rsid w:val="00546BCC"/>
    <w:rsid w:val="00546DDA"/>
    <w:rsid w:val="00546FEF"/>
    <w:rsid w:val="00546FF2"/>
    <w:rsid w:val="00547F43"/>
    <w:rsid w:val="00553E4E"/>
    <w:rsid w:val="00553EE7"/>
    <w:rsid w:val="00555040"/>
    <w:rsid w:val="005557AA"/>
    <w:rsid w:val="00556165"/>
    <w:rsid w:val="005566E5"/>
    <w:rsid w:val="00557303"/>
    <w:rsid w:val="00557C0D"/>
    <w:rsid w:val="005615F7"/>
    <w:rsid w:val="00565A01"/>
    <w:rsid w:val="00565D62"/>
    <w:rsid w:val="005667BC"/>
    <w:rsid w:val="00571383"/>
    <w:rsid w:val="00571CBA"/>
    <w:rsid w:val="0057233F"/>
    <w:rsid w:val="0057564C"/>
    <w:rsid w:val="005778ED"/>
    <w:rsid w:val="0058105E"/>
    <w:rsid w:val="00582715"/>
    <w:rsid w:val="00582B9C"/>
    <w:rsid w:val="00583CCA"/>
    <w:rsid w:val="00585A03"/>
    <w:rsid w:val="005867BE"/>
    <w:rsid w:val="005871F3"/>
    <w:rsid w:val="00591FAF"/>
    <w:rsid w:val="005923CB"/>
    <w:rsid w:val="005933C1"/>
    <w:rsid w:val="00593DD2"/>
    <w:rsid w:val="00595163"/>
    <w:rsid w:val="00595485"/>
    <w:rsid w:val="00595801"/>
    <w:rsid w:val="00596066"/>
    <w:rsid w:val="00596BB7"/>
    <w:rsid w:val="00596E21"/>
    <w:rsid w:val="005A050E"/>
    <w:rsid w:val="005A2A91"/>
    <w:rsid w:val="005A4463"/>
    <w:rsid w:val="005A6B89"/>
    <w:rsid w:val="005A77E3"/>
    <w:rsid w:val="005A7A92"/>
    <w:rsid w:val="005A7FD7"/>
    <w:rsid w:val="005B1071"/>
    <w:rsid w:val="005B6501"/>
    <w:rsid w:val="005B66BA"/>
    <w:rsid w:val="005B68E5"/>
    <w:rsid w:val="005B7022"/>
    <w:rsid w:val="005C036E"/>
    <w:rsid w:val="005C270B"/>
    <w:rsid w:val="005C375E"/>
    <w:rsid w:val="005C4F02"/>
    <w:rsid w:val="005C5032"/>
    <w:rsid w:val="005C7021"/>
    <w:rsid w:val="005D1DEB"/>
    <w:rsid w:val="005D50AB"/>
    <w:rsid w:val="005D6131"/>
    <w:rsid w:val="005D7F30"/>
    <w:rsid w:val="005E0845"/>
    <w:rsid w:val="005E13E6"/>
    <w:rsid w:val="005E2E13"/>
    <w:rsid w:val="005E2F0E"/>
    <w:rsid w:val="005E4BB5"/>
    <w:rsid w:val="005F1FFD"/>
    <w:rsid w:val="005F2A18"/>
    <w:rsid w:val="005F55C0"/>
    <w:rsid w:val="005F7958"/>
    <w:rsid w:val="006016F2"/>
    <w:rsid w:val="006028CB"/>
    <w:rsid w:val="00605A39"/>
    <w:rsid w:val="00605DAE"/>
    <w:rsid w:val="006064D8"/>
    <w:rsid w:val="006071A6"/>
    <w:rsid w:val="00611B73"/>
    <w:rsid w:val="00612476"/>
    <w:rsid w:val="00612995"/>
    <w:rsid w:val="00617BE9"/>
    <w:rsid w:val="00621CA1"/>
    <w:rsid w:val="006232EE"/>
    <w:rsid w:val="006243D3"/>
    <w:rsid w:val="006266CC"/>
    <w:rsid w:val="00632405"/>
    <w:rsid w:val="00633340"/>
    <w:rsid w:val="0064054F"/>
    <w:rsid w:val="00641AA6"/>
    <w:rsid w:val="00643DF4"/>
    <w:rsid w:val="006457B7"/>
    <w:rsid w:val="00646C9B"/>
    <w:rsid w:val="00651AAB"/>
    <w:rsid w:val="006529D0"/>
    <w:rsid w:val="006534AB"/>
    <w:rsid w:val="006536A5"/>
    <w:rsid w:val="00654D39"/>
    <w:rsid w:val="00660822"/>
    <w:rsid w:val="00661BFE"/>
    <w:rsid w:val="00663440"/>
    <w:rsid w:val="00663B2D"/>
    <w:rsid w:val="006640E6"/>
    <w:rsid w:val="00665E3B"/>
    <w:rsid w:val="00665E99"/>
    <w:rsid w:val="006668DA"/>
    <w:rsid w:val="00667058"/>
    <w:rsid w:val="006675D0"/>
    <w:rsid w:val="006678DC"/>
    <w:rsid w:val="00670B44"/>
    <w:rsid w:val="0067153D"/>
    <w:rsid w:val="0067268A"/>
    <w:rsid w:val="00674A1F"/>
    <w:rsid w:val="00674E2E"/>
    <w:rsid w:val="006755A0"/>
    <w:rsid w:val="0067657C"/>
    <w:rsid w:val="00676693"/>
    <w:rsid w:val="00677F15"/>
    <w:rsid w:val="006805A6"/>
    <w:rsid w:val="00681959"/>
    <w:rsid w:val="00682512"/>
    <w:rsid w:val="0068270B"/>
    <w:rsid w:val="00682C65"/>
    <w:rsid w:val="00683511"/>
    <w:rsid w:val="00686A15"/>
    <w:rsid w:val="00687E5F"/>
    <w:rsid w:val="00690A4D"/>
    <w:rsid w:val="00690EE9"/>
    <w:rsid w:val="0069230B"/>
    <w:rsid w:val="00693138"/>
    <w:rsid w:val="00694A65"/>
    <w:rsid w:val="00695137"/>
    <w:rsid w:val="0069605E"/>
    <w:rsid w:val="00696C34"/>
    <w:rsid w:val="006975F4"/>
    <w:rsid w:val="0069786A"/>
    <w:rsid w:val="00697F82"/>
    <w:rsid w:val="006A0218"/>
    <w:rsid w:val="006A059B"/>
    <w:rsid w:val="006A2B41"/>
    <w:rsid w:val="006A375D"/>
    <w:rsid w:val="006A4246"/>
    <w:rsid w:val="006A5256"/>
    <w:rsid w:val="006A533C"/>
    <w:rsid w:val="006A5D41"/>
    <w:rsid w:val="006A6E9E"/>
    <w:rsid w:val="006A7086"/>
    <w:rsid w:val="006B036F"/>
    <w:rsid w:val="006B0D09"/>
    <w:rsid w:val="006B0E99"/>
    <w:rsid w:val="006B3A7E"/>
    <w:rsid w:val="006B3B69"/>
    <w:rsid w:val="006B55DA"/>
    <w:rsid w:val="006B6E11"/>
    <w:rsid w:val="006B7C4D"/>
    <w:rsid w:val="006C1487"/>
    <w:rsid w:val="006C25E1"/>
    <w:rsid w:val="006C34A7"/>
    <w:rsid w:val="006C3A9A"/>
    <w:rsid w:val="006C3D06"/>
    <w:rsid w:val="006C7293"/>
    <w:rsid w:val="006C75D3"/>
    <w:rsid w:val="006C7B59"/>
    <w:rsid w:val="006D0648"/>
    <w:rsid w:val="006D098E"/>
    <w:rsid w:val="006D0B94"/>
    <w:rsid w:val="006D0E1B"/>
    <w:rsid w:val="006D1932"/>
    <w:rsid w:val="006D1A45"/>
    <w:rsid w:val="006D1D52"/>
    <w:rsid w:val="006D32F4"/>
    <w:rsid w:val="006D38FA"/>
    <w:rsid w:val="006D3E32"/>
    <w:rsid w:val="006D4B1B"/>
    <w:rsid w:val="006D58C7"/>
    <w:rsid w:val="006D6C67"/>
    <w:rsid w:val="006D71AE"/>
    <w:rsid w:val="006D768F"/>
    <w:rsid w:val="006E126E"/>
    <w:rsid w:val="006E1BC9"/>
    <w:rsid w:val="006E2C3B"/>
    <w:rsid w:val="006E358D"/>
    <w:rsid w:val="006E4FF9"/>
    <w:rsid w:val="006E6039"/>
    <w:rsid w:val="006E7B1C"/>
    <w:rsid w:val="006F074A"/>
    <w:rsid w:val="006F0A60"/>
    <w:rsid w:val="006F18FD"/>
    <w:rsid w:val="006F193E"/>
    <w:rsid w:val="006F351A"/>
    <w:rsid w:val="006F4FE9"/>
    <w:rsid w:val="006F784E"/>
    <w:rsid w:val="006F7CFB"/>
    <w:rsid w:val="00700336"/>
    <w:rsid w:val="0070260C"/>
    <w:rsid w:val="0070626D"/>
    <w:rsid w:val="00706457"/>
    <w:rsid w:val="00706EEC"/>
    <w:rsid w:val="0071150A"/>
    <w:rsid w:val="007117AA"/>
    <w:rsid w:val="00711D71"/>
    <w:rsid w:val="00712B9A"/>
    <w:rsid w:val="00713DF1"/>
    <w:rsid w:val="00721577"/>
    <w:rsid w:val="00724A12"/>
    <w:rsid w:val="00725DA3"/>
    <w:rsid w:val="0073139A"/>
    <w:rsid w:val="0073299C"/>
    <w:rsid w:val="007346A7"/>
    <w:rsid w:val="007352C4"/>
    <w:rsid w:val="00735595"/>
    <w:rsid w:val="00736C51"/>
    <w:rsid w:val="00740766"/>
    <w:rsid w:val="0074349D"/>
    <w:rsid w:val="00743C30"/>
    <w:rsid w:val="00744905"/>
    <w:rsid w:val="00744BA2"/>
    <w:rsid w:val="007459AB"/>
    <w:rsid w:val="00745B0C"/>
    <w:rsid w:val="00745BF5"/>
    <w:rsid w:val="00746FCA"/>
    <w:rsid w:val="00747024"/>
    <w:rsid w:val="00751C76"/>
    <w:rsid w:val="007532E7"/>
    <w:rsid w:val="007538E7"/>
    <w:rsid w:val="00753C9F"/>
    <w:rsid w:val="007541D8"/>
    <w:rsid w:val="00755A08"/>
    <w:rsid w:val="00757859"/>
    <w:rsid w:val="00760ABB"/>
    <w:rsid w:val="00760E55"/>
    <w:rsid w:val="00762EC1"/>
    <w:rsid w:val="007632DB"/>
    <w:rsid w:val="0076531F"/>
    <w:rsid w:val="007655EB"/>
    <w:rsid w:val="007659D8"/>
    <w:rsid w:val="0076713D"/>
    <w:rsid w:val="007671D8"/>
    <w:rsid w:val="0076731E"/>
    <w:rsid w:val="007678EC"/>
    <w:rsid w:val="007710F2"/>
    <w:rsid w:val="0077219E"/>
    <w:rsid w:val="0077316B"/>
    <w:rsid w:val="00776A89"/>
    <w:rsid w:val="00780E44"/>
    <w:rsid w:val="007818FE"/>
    <w:rsid w:val="007851B7"/>
    <w:rsid w:val="007873D5"/>
    <w:rsid w:val="007916BA"/>
    <w:rsid w:val="00792409"/>
    <w:rsid w:val="00793B9D"/>
    <w:rsid w:val="0079480A"/>
    <w:rsid w:val="00794B28"/>
    <w:rsid w:val="00794D14"/>
    <w:rsid w:val="007952F9"/>
    <w:rsid w:val="00797668"/>
    <w:rsid w:val="0079779F"/>
    <w:rsid w:val="007A003B"/>
    <w:rsid w:val="007A1068"/>
    <w:rsid w:val="007A1943"/>
    <w:rsid w:val="007A2782"/>
    <w:rsid w:val="007A4413"/>
    <w:rsid w:val="007A47CB"/>
    <w:rsid w:val="007B13B5"/>
    <w:rsid w:val="007B2281"/>
    <w:rsid w:val="007B23C7"/>
    <w:rsid w:val="007B32D5"/>
    <w:rsid w:val="007B6A43"/>
    <w:rsid w:val="007B7455"/>
    <w:rsid w:val="007C07DF"/>
    <w:rsid w:val="007C338A"/>
    <w:rsid w:val="007C4851"/>
    <w:rsid w:val="007C4DEF"/>
    <w:rsid w:val="007C51BB"/>
    <w:rsid w:val="007C5585"/>
    <w:rsid w:val="007C6F6C"/>
    <w:rsid w:val="007C75BD"/>
    <w:rsid w:val="007D0041"/>
    <w:rsid w:val="007D0A5A"/>
    <w:rsid w:val="007D0CEC"/>
    <w:rsid w:val="007D329E"/>
    <w:rsid w:val="007D4B3F"/>
    <w:rsid w:val="007D585B"/>
    <w:rsid w:val="007D5ACD"/>
    <w:rsid w:val="007D6AFA"/>
    <w:rsid w:val="007D7AA3"/>
    <w:rsid w:val="007E0044"/>
    <w:rsid w:val="007E0A52"/>
    <w:rsid w:val="007E0E0A"/>
    <w:rsid w:val="007E180A"/>
    <w:rsid w:val="007E1BAF"/>
    <w:rsid w:val="007E26B0"/>
    <w:rsid w:val="007E50E7"/>
    <w:rsid w:val="007E6483"/>
    <w:rsid w:val="007E6DA7"/>
    <w:rsid w:val="007F0DA2"/>
    <w:rsid w:val="007F18C1"/>
    <w:rsid w:val="007F5D18"/>
    <w:rsid w:val="00801D47"/>
    <w:rsid w:val="00803B10"/>
    <w:rsid w:val="00806F23"/>
    <w:rsid w:val="00807787"/>
    <w:rsid w:val="00810E83"/>
    <w:rsid w:val="00810ED1"/>
    <w:rsid w:val="00811324"/>
    <w:rsid w:val="00812D25"/>
    <w:rsid w:val="00812F43"/>
    <w:rsid w:val="00813760"/>
    <w:rsid w:val="00815CBC"/>
    <w:rsid w:val="00815F35"/>
    <w:rsid w:val="008203F4"/>
    <w:rsid w:val="00820FC0"/>
    <w:rsid w:val="008233DE"/>
    <w:rsid w:val="008259D8"/>
    <w:rsid w:val="008359C1"/>
    <w:rsid w:val="008372BA"/>
    <w:rsid w:val="00837DAC"/>
    <w:rsid w:val="008423C5"/>
    <w:rsid w:val="008430A7"/>
    <w:rsid w:val="0084481F"/>
    <w:rsid w:val="008449D6"/>
    <w:rsid w:val="00845B6F"/>
    <w:rsid w:val="00846033"/>
    <w:rsid w:val="0084624D"/>
    <w:rsid w:val="008470E9"/>
    <w:rsid w:val="008519E9"/>
    <w:rsid w:val="00853ADA"/>
    <w:rsid w:val="00856538"/>
    <w:rsid w:val="00856FCB"/>
    <w:rsid w:val="00857014"/>
    <w:rsid w:val="0085731C"/>
    <w:rsid w:val="00863645"/>
    <w:rsid w:val="00870207"/>
    <w:rsid w:val="00871CE9"/>
    <w:rsid w:val="008729F9"/>
    <w:rsid w:val="008741C5"/>
    <w:rsid w:val="0087509C"/>
    <w:rsid w:val="00876C81"/>
    <w:rsid w:val="00880F3D"/>
    <w:rsid w:val="00881636"/>
    <w:rsid w:val="00883CF1"/>
    <w:rsid w:val="008851CB"/>
    <w:rsid w:val="00891242"/>
    <w:rsid w:val="00893E9F"/>
    <w:rsid w:val="00894DF1"/>
    <w:rsid w:val="008962C5"/>
    <w:rsid w:val="00896EE7"/>
    <w:rsid w:val="00897A2E"/>
    <w:rsid w:val="008A0665"/>
    <w:rsid w:val="008A1215"/>
    <w:rsid w:val="008A58B3"/>
    <w:rsid w:val="008A5993"/>
    <w:rsid w:val="008A799F"/>
    <w:rsid w:val="008B0BC2"/>
    <w:rsid w:val="008B2CCE"/>
    <w:rsid w:val="008B3958"/>
    <w:rsid w:val="008B3EF4"/>
    <w:rsid w:val="008B7143"/>
    <w:rsid w:val="008B72C7"/>
    <w:rsid w:val="008B7E9A"/>
    <w:rsid w:val="008C08EF"/>
    <w:rsid w:val="008C0AF1"/>
    <w:rsid w:val="008C1B65"/>
    <w:rsid w:val="008C2AC3"/>
    <w:rsid w:val="008C440B"/>
    <w:rsid w:val="008C4E8A"/>
    <w:rsid w:val="008C53BD"/>
    <w:rsid w:val="008C5A18"/>
    <w:rsid w:val="008C694D"/>
    <w:rsid w:val="008D32B4"/>
    <w:rsid w:val="008D33D1"/>
    <w:rsid w:val="008D5451"/>
    <w:rsid w:val="008D6020"/>
    <w:rsid w:val="008E0118"/>
    <w:rsid w:val="008E2F0A"/>
    <w:rsid w:val="008E77F9"/>
    <w:rsid w:val="008F06BE"/>
    <w:rsid w:val="008F082B"/>
    <w:rsid w:val="008F2436"/>
    <w:rsid w:val="008F33FF"/>
    <w:rsid w:val="008F3D90"/>
    <w:rsid w:val="008F3DB4"/>
    <w:rsid w:val="009005F6"/>
    <w:rsid w:val="00900A16"/>
    <w:rsid w:val="00901779"/>
    <w:rsid w:val="00902AE8"/>
    <w:rsid w:val="009030C1"/>
    <w:rsid w:val="00904790"/>
    <w:rsid w:val="00905150"/>
    <w:rsid w:val="00906145"/>
    <w:rsid w:val="0091263A"/>
    <w:rsid w:val="009142C2"/>
    <w:rsid w:val="00916518"/>
    <w:rsid w:val="00916A5A"/>
    <w:rsid w:val="009177FE"/>
    <w:rsid w:val="00920CB7"/>
    <w:rsid w:val="009230DA"/>
    <w:rsid w:val="009231E3"/>
    <w:rsid w:val="0092376A"/>
    <w:rsid w:val="00923ED6"/>
    <w:rsid w:val="00926783"/>
    <w:rsid w:val="009314B1"/>
    <w:rsid w:val="009317A1"/>
    <w:rsid w:val="0093211D"/>
    <w:rsid w:val="009325FC"/>
    <w:rsid w:val="0093395F"/>
    <w:rsid w:val="00935152"/>
    <w:rsid w:val="0093552E"/>
    <w:rsid w:val="00936AED"/>
    <w:rsid w:val="00940BE1"/>
    <w:rsid w:val="009424AF"/>
    <w:rsid w:val="00943BBB"/>
    <w:rsid w:val="00943F4C"/>
    <w:rsid w:val="00944359"/>
    <w:rsid w:val="009446E8"/>
    <w:rsid w:val="009453E1"/>
    <w:rsid w:val="00946C85"/>
    <w:rsid w:val="00946C9F"/>
    <w:rsid w:val="00947672"/>
    <w:rsid w:val="009476E3"/>
    <w:rsid w:val="00951CB9"/>
    <w:rsid w:val="009557BD"/>
    <w:rsid w:val="00955921"/>
    <w:rsid w:val="0096012C"/>
    <w:rsid w:val="009617D3"/>
    <w:rsid w:val="00962BBA"/>
    <w:rsid w:val="009642D3"/>
    <w:rsid w:val="00965216"/>
    <w:rsid w:val="009655E8"/>
    <w:rsid w:val="0097000D"/>
    <w:rsid w:val="0097065A"/>
    <w:rsid w:val="00971963"/>
    <w:rsid w:val="00972BF5"/>
    <w:rsid w:val="00974E78"/>
    <w:rsid w:val="009807A5"/>
    <w:rsid w:val="00982373"/>
    <w:rsid w:val="00982E12"/>
    <w:rsid w:val="00983D58"/>
    <w:rsid w:val="00984AC6"/>
    <w:rsid w:val="0098601B"/>
    <w:rsid w:val="0098664F"/>
    <w:rsid w:val="0098697D"/>
    <w:rsid w:val="009870EA"/>
    <w:rsid w:val="00990148"/>
    <w:rsid w:val="00994910"/>
    <w:rsid w:val="00994F32"/>
    <w:rsid w:val="00994F91"/>
    <w:rsid w:val="00995D04"/>
    <w:rsid w:val="00997D13"/>
    <w:rsid w:val="009A3394"/>
    <w:rsid w:val="009A4B00"/>
    <w:rsid w:val="009A6331"/>
    <w:rsid w:val="009A77E8"/>
    <w:rsid w:val="009B122A"/>
    <w:rsid w:val="009B1A77"/>
    <w:rsid w:val="009B2544"/>
    <w:rsid w:val="009B2EBC"/>
    <w:rsid w:val="009B567A"/>
    <w:rsid w:val="009B6900"/>
    <w:rsid w:val="009B6EAF"/>
    <w:rsid w:val="009B7169"/>
    <w:rsid w:val="009C0A26"/>
    <w:rsid w:val="009C3895"/>
    <w:rsid w:val="009C570B"/>
    <w:rsid w:val="009C5F84"/>
    <w:rsid w:val="009C6D4B"/>
    <w:rsid w:val="009D1E26"/>
    <w:rsid w:val="009D325A"/>
    <w:rsid w:val="009D37B7"/>
    <w:rsid w:val="009D415E"/>
    <w:rsid w:val="009D6A8F"/>
    <w:rsid w:val="009D7799"/>
    <w:rsid w:val="009D7B1A"/>
    <w:rsid w:val="009E14AD"/>
    <w:rsid w:val="009E1BCB"/>
    <w:rsid w:val="009E2CF0"/>
    <w:rsid w:val="009E3221"/>
    <w:rsid w:val="009E3DA0"/>
    <w:rsid w:val="009E58B1"/>
    <w:rsid w:val="009E6E03"/>
    <w:rsid w:val="009E7380"/>
    <w:rsid w:val="009E7E71"/>
    <w:rsid w:val="009F0882"/>
    <w:rsid w:val="009F0CB6"/>
    <w:rsid w:val="009F13B3"/>
    <w:rsid w:val="009F1D09"/>
    <w:rsid w:val="009F2EB1"/>
    <w:rsid w:val="009F37EC"/>
    <w:rsid w:val="009F4106"/>
    <w:rsid w:val="009F4625"/>
    <w:rsid w:val="009F60CC"/>
    <w:rsid w:val="009F6E98"/>
    <w:rsid w:val="009F7A77"/>
    <w:rsid w:val="00A01056"/>
    <w:rsid w:val="00A0151D"/>
    <w:rsid w:val="00A01943"/>
    <w:rsid w:val="00A01F00"/>
    <w:rsid w:val="00A021FF"/>
    <w:rsid w:val="00A04206"/>
    <w:rsid w:val="00A04842"/>
    <w:rsid w:val="00A107BB"/>
    <w:rsid w:val="00A10F40"/>
    <w:rsid w:val="00A14D3F"/>
    <w:rsid w:val="00A15A73"/>
    <w:rsid w:val="00A16D45"/>
    <w:rsid w:val="00A171D9"/>
    <w:rsid w:val="00A175BA"/>
    <w:rsid w:val="00A21202"/>
    <w:rsid w:val="00A2236D"/>
    <w:rsid w:val="00A236D8"/>
    <w:rsid w:val="00A23D85"/>
    <w:rsid w:val="00A270B9"/>
    <w:rsid w:val="00A308EA"/>
    <w:rsid w:val="00A30EA4"/>
    <w:rsid w:val="00A30FF4"/>
    <w:rsid w:val="00A3168A"/>
    <w:rsid w:val="00A31DE7"/>
    <w:rsid w:val="00A323FD"/>
    <w:rsid w:val="00A33858"/>
    <w:rsid w:val="00A35732"/>
    <w:rsid w:val="00A40842"/>
    <w:rsid w:val="00A4115F"/>
    <w:rsid w:val="00A41807"/>
    <w:rsid w:val="00A446C0"/>
    <w:rsid w:val="00A50D3F"/>
    <w:rsid w:val="00A52DA7"/>
    <w:rsid w:val="00A54526"/>
    <w:rsid w:val="00A56AEC"/>
    <w:rsid w:val="00A647EB"/>
    <w:rsid w:val="00A64FFE"/>
    <w:rsid w:val="00A67A11"/>
    <w:rsid w:val="00A70194"/>
    <w:rsid w:val="00A704D2"/>
    <w:rsid w:val="00A71269"/>
    <w:rsid w:val="00A71397"/>
    <w:rsid w:val="00A72742"/>
    <w:rsid w:val="00A7321D"/>
    <w:rsid w:val="00A74C97"/>
    <w:rsid w:val="00A755CB"/>
    <w:rsid w:val="00A76C6A"/>
    <w:rsid w:val="00A76FBE"/>
    <w:rsid w:val="00A77A89"/>
    <w:rsid w:val="00A832A5"/>
    <w:rsid w:val="00A83A0A"/>
    <w:rsid w:val="00A8451D"/>
    <w:rsid w:val="00A84F47"/>
    <w:rsid w:val="00A87CF7"/>
    <w:rsid w:val="00A9299E"/>
    <w:rsid w:val="00A936B9"/>
    <w:rsid w:val="00A953D5"/>
    <w:rsid w:val="00A959FB"/>
    <w:rsid w:val="00A95A20"/>
    <w:rsid w:val="00A96D01"/>
    <w:rsid w:val="00A96E26"/>
    <w:rsid w:val="00A977DD"/>
    <w:rsid w:val="00AA007C"/>
    <w:rsid w:val="00AA43E7"/>
    <w:rsid w:val="00AA45BF"/>
    <w:rsid w:val="00AA765C"/>
    <w:rsid w:val="00AB031A"/>
    <w:rsid w:val="00AB21CF"/>
    <w:rsid w:val="00AB49CD"/>
    <w:rsid w:val="00AB6275"/>
    <w:rsid w:val="00AC0C28"/>
    <w:rsid w:val="00AC0ECF"/>
    <w:rsid w:val="00AC186C"/>
    <w:rsid w:val="00AC32EC"/>
    <w:rsid w:val="00AC3F98"/>
    <w:rsid w:val="00AC43DA"/>
    <w:rsid w:val="00AC512D"/>
    <w:rsid w:val="00AC65FC"/>
    <w:rsid w:val="00AD03E3"/>
    <w:rsid w:val="00AD22CC"/>
    <w:rsid w:val="00AD2852"/>
    <w:rsid w:val="00AD381F"/>
    <w:rsid w:val="00AD65B3"/>
    <w:rsid w:val="00AD6D49"/>
    <w:rsid w:val="00AE0537"/>
    <w:rsid w:val="00AE05FF"/>
    <w:rsid w:val="00AE0690"/>
    <w:rsid w:val="00AE10CE"/>
    <w:rsid w:val="00AE19BC"/>
    <w:rsid w:val="00AE200E"/>
    <w:rsid w:val="00AE3578"/>
    <w:rsid w:val="00AE4F24"/>
    <w:rsid w:val="00AE7904"/>
    <w:rsid w:val="00AF24CC"/>
    <w:rsid w:val="00AF3A5E"/>
    <w:rsid w:val="00AF3C74"/>
    <w:rsid w:val="00AF6870"/>
    <w:rsid w:val="00AF6989"/>
    <w:rsid w:val="00AF7252"/>
    <w:rsid w:val="00B076FD"/>
    <w:rsid w:val="00B07A75"/>
    <w:rsid w:val="00B07F51"/>
    <w:rsid w:val="00B111C4"/>
    <w:rsid w:val="00B11D26"/>
    <w:rsid w:val="00B13C8A"/>
    <w:rsid w:val="00B14B36"/>
    <w:rsid w:val="00B160C7"/>
    <w:rsid w:val="00B16646"/>
    <w:rsid w:val="00B16A18"/>
    <w:rsid w:val="00B17C27"/>
    <w:rsid w:val="00B202A7"/>
    <w:rsid w:val="00B203F7"/>
    <w:rsid w:val="00B20A19"/>
    <w:rsid w:val="00B21219"/>
    <w:rsid w:val="00B217E7"/>
    <w:rsid w:val="00B21B60"/>
    <w:rsid w:val="00B2233B"/>
    <w:rsid w:val="00B23F02"/>
    <w:rsid w:val="00B23FDE"/>
    <w:rsid w:val="00B24725"/>
    <w:rsid w:val="00B26925"/>
    <w:rsid w:val="00B26C17"/>
    <w:rsid w:val="00B275C8"/>
    <w:rsid w:val="00B300DF"/>
    <w:rsid w:val="00B300F1"/>
    <w:rsid w:val="00B30DC0"/>
    <w:rsid w:val="00B314C6"/>
    <w:rsid w:val="00B32FD4"/>
    <w:rsid w:val="00B348CD"/>
    <w:rsid w:val="00B353A4"/>
    <w:rsid w:val="00B370DC"/>
    <w:rsid w:val="00B401A9"/>
    <w:rsid w:val="00B4137A"/>
    <w:rsid w:val="00B424D1"/>
    <w:rsid w:val="00B429F4"/>
    <w:rsid w:val="00B4314F"/>
    <w:rsid w:val="00B4349F"/>
    <w:rsid w:val="00B45793"/>
    <w:rsid w:val="00B47731"/>
    <w:rsid w:val="00B50A92"/>
    <w:rsid w:val="00B51D2A"/>
    <w:rsid w:val="00B53B8A"/>
    <w:rsid w:val="00B55E12"/>
    <w:rsid w:val="00B56CFB"/>
    <w:rsid w:val="00B57B91"/>
    <w:rsid w:val="00B57E25"/>
    <w:rsid w:val="00B61969"/>
    <w:rsid w:val="00B6371F"/>
    <w:rsid w:val="00B65E15"/>
    <w:rsid w:val="00B67F22"/>
    <w:rsid w:val="00B70D8B"/>
    <w:rsid w:val="00B71F29"/>
    <w:rsid w:val="00B72D39"/>
    <w:rsid w:val="00B749BC"/>
    <w:rsid w:val="00B7536B"/>
    <w:rsid w:val="00B7612A"/>
    <w:rsid w:val="00B778A2"/>
    <w:rsid w:val="00B77F59"/>
    <w:rsid w:val="00B811B3"/>
    <w:rsid w:val="00B812EE"/>
    <w:rsid w:val="00B863E6"/>
    <w:rsid w:val="00B872BC"/>
    <w:rsid w:val="00B87BEF"/>
    <w:rsid w:val="00B906C8"/>
    <w:rsid w:val="00B91ED6"/>
    <w:rsid w:val="00B92934"/>
    <w:rsid w:val="00B9376A"/>
    <w:rsid w:val="00B94875"/>
    <w:rsid w:val="00B9501C"/>
    <w:rsid w:val="00B950D7"/>
    <w:rsid w:val="00B95197"/>
    <w:rsid w:val="00B95333"/>
    <w:rsid w:val="00B95924"/>
    <w:rsid w:val="00B97721"/>
    <w:rsid w:val="00B977DD"/>
    <w:rsid w:val="00BA002B"/>
    <w:rsid w:val="00BA05D2"/>
    <w:rsid w:val="00BA0795"/>
    <w:rsid w:val="00BA2F68"/>
    <w:rsid w:val="00BA4835"/>
    <w:rsid w:val="00BA65E2"/>
    <w:rsid w:val="00BA7EAC"/>
    <w:rsid w:val="00BB1565"/>
    <w:rsid w:val="00BB390A"/>
    <w:rsid w:val="00BB57A8"/>
    <w:rsid w:val="00BB6E95"/>
    <w:rsid w:val="00BB6F20"/>
    <w:rsid w:val="00BC06F3"/>
    <w:rsid w:val="00BC36E0"/>
    <w:rsid w:val="00BD1698"/>
    <w:rsid w:val="00BD1CA7"/>
    <w:rsid w:val="00BD2468"/>
    <w:rsid w:val="00BD2F0F"/>
    <w:rsid w:val="00BD34EC"/>
    <w:rsid w:val="00BD4AD7"/>
    <w:rsid w:val="00BD6906"/>
    <w:rsid w:val="00BD70FC"/>
    <w:rsid w:val="00BD79A0"/>
    <w:rsid w:val="00BE0465"/>
    <w:rsid w:val="00BE0DB7"/>
    <w:rsid w:val="00BE22DF"/>
    <w:rsid w:val="00BE3879"/>
    <w:rsid w:val="00BE38A4"/>
    <w:rsid w:val="00BE4721"/>
    <w:rsid w:val="00BF05F7"/>
    <w:rsid w:val="00BF2017"/>
    <w:rsid w:val="00C03009"/>
    <w:rsid w:val="00C03F10"/>
    <w:rsid w:val="00C041DF"/>
    <w:rsid w:val="00C05201"/>
    <w:rsid w:val="00C0527A"/>
    <w:rsid w:val="00C0569B"/>
    <w:rsid w:val="00C06FC2"/>
    <w:rsid w:val="00C1009B"/>
    <w:rsid w:val="00C110F4"/>
    <w:rsid w:val="00C12B0D"/>
    <w:rsid w:val="00C149C2"/>
    <w:rsid w:val="00C15FF4"/>
    <w:rsid w:val="00C168E2"/>
    <w:rsid w:val="00C2052E"/>
    <w:rsid w:val="00C22438"/>
    <w:rsid w:val="00C224A5"/>
    <w:rsid w:val="00C25FF2"/>
    <w:rsid w:val="00C26945"/>
    <w:rsid w:val="00C27992"/>
    <w:rsid w:val="00C31BEB"/>
    <w:rsid w:val="00C33560"/>
    <w:rsid w:val="00C34690"/>
    <w:rsid w:val="00C353F1"/>
    <w:rsid w:val="00C3599B"/>
    <w:rsid w:val="00C35F60"/>
    <w:rsid w:val="00C3718F"/>
    <w:rsid w:val="00C37428"/>
    <w:rsid w:val="00C4077A"/>
    <w:rsid w:val="00C433EB"/>
    <w:rsid w:val="00C43461"/>
    <w:rsid w:val="00C475B0"/>
    <w:rsid w:val="00C4777C"/>
    <w:rsid w:val="00C47F1F"/>
    <w:rsid w:val="00C54E69"/>
    <w:rsid w:val="00C561BC"/>
    <w:rsid w:val="00C5676A"/>
    <w:rsid w:val="00C56BCC"/>
    <w:rsid w:val="00C57BCE"/>
    <w:rsid w:val="00C57DCD"/>
    <w:rsid w:val="00C60290"/>
    <w:rsid w:val="00C62C0B"/>
    <w:rsid w:val="00C6443F"/>
    <w:rsid w:val="00C66377"/>
    <w:rsid w:val="00C66415"/>
    <w:rsid w:val="00C66658"/>
    <w:rsid w:val="00C7340C"/>
    <w:rsid w:val="00C7636C"/>
    <w:rsid w:val="00C76A95"/>
    <w:rsid w:val="00C76BA3"/>
    <w:rsid w:val="00C80769"/>
    <w:rsid w:val="00C81986"/>
    <w:rsid w:val="00C82910"/>
    <w:rsid w:val="00C82912"/>
    <w:rsid w:val="00C8332E"/>
    <w:rsid w:val="00C8727A"/>
    <w:rsid w:val="00C90706"/>
    <w:rsid w:val="00C9202D"/>
    <w:rsid w:val="00C97111"/>
    <w:rsid w:val="00C97824"/>
    <w:rsid w:val="00CA0EC6"/>
    <w:rsid w:val="00CA13D1"/>
    <w:rsid w:val="00CA2B32"/>
    <w:rsid w:val="00CA31C7"/>
    <w:rsid w:val="00CA702F"/>
    <w:rsid w:val="00CB2856"/>
    <w:rsid w:val="00CB493B"/>
    <w:rsid w:val="00CB6217"/>
    <w:rsid w:val="00CB6D09"/>
    <w:rsid w:val="00CC099F"/>
    <w:rsid w:val="00CC1664"/>
    <w:rsid w:val="00CC35A9"/>
    <w:rsid w:val="00CD040E"/>
    <w:rsid w:val="00CD1917"/>
    <w:rsid w:val="00CD468D"/>
    <w:rsid w:val="00CD4749"/>
    <w:rsid w:val="00CD5541"/>
    <w:rsid w:val="00CD5A6A"/>
    <w:rsid w:val="00CD6E4B"/>
    <w:rsid w:val="00CD7D57"/>
    <w:rsid w:val="00CE101C"/>
    <w:rsid w:val="00CE4783"/>
    <w:rsid w:val="00CE587E"/>
    <w:rsid w:val="00CF0945"/>
    <w:rsid w:val="00CF13E2"/>
    <w:rsid w:val="00CF1E77"/>
    <w:rsid w:val="00CF2284"/>
    <w:rsid w:val="00CF5D90"/>
    <w:rsid w:val="00CF699B"/>
    <w:rsid w:val="00CF7ABB"/>
    <w:rsid w:val="00CF7C0A"/>
    <w:rsid w:val="00D009DE"/>
    <w:rsid w:val="00D02521"/>
    <w:rsid w:val="00D064A1"/>
    <w:rsid w:val="00D065B8"/>
    <w:rsid w:val="00D06F9E"/>
    <w:rsid w:val="00D07979"/>
    <w:rsid w:val="00D1003F"/>
    <w:rsid w:val="00D10E5A"/>
    <w:rsid w:val="00D13A91"/>
    <w:rsid w:val="00D140A2"/>
    <w:rsid w:val="00D157E9"/>
    <w:rsid w:val="00D20B34"/>
    <w:rsid w:val="00D211A1"/>
    <w:rsid w:val="00D218D3"/>
    <w:rsid w:val="00D22AF2"/>
    <w:rsid w:val="00D246CC"/>
    <w:rsid w:val="00D31EF1"/>
    <w:rsid w:val="00D34507"/>
    <w:rsid w:val="00D35672"/>
    <w:rsid w:val="00D36106"/>
    <w:rsid w:val="00D40538"/>
    <w:rsid w:val="00D40F20"/>
    <w:rsid w:val="00D42C28"/>
    <w:rsid w:val="00D431DA"/>
    <w:rsid w:val="00D44AF0"/>
    <w:rsid w:val="00D44B1F"/>
    <w:rsid w:val="00D450DF"/>
    <w:rsid w:val="00D45BBD"/>
    <w:rsid w:val="00D51322"/>
    <w:rsid w:val="00D525AD"/>
    <w:rsid w:val="00D53ADC"/>
    <w:rsid w:val="00D61085"/>
    <w:rsid w:val="00D625BD"/>
    <w:rsid w:val="00D629FA"/>
    <w:rsid w:val="00D640DD"/>
    <w:rsid w:val="00D65A27"/>
    <w:rsid w:val="00D713DC"/>
    <w:rsid w:val="00D71917"/>
    <w:rsid w:val="00D72326"/>
    <w:rsid w:val="00D74FA2"/>
    <w:rsid w:val="00D75A46"/>
    <w:rsid w:val="00D77B1E"/>
    <w:rsid w:val="00D8153A"/>
    <w:rsid w:val="00D82ECC"/>
    <w:rsid w:val="00D842DC"/>
    <w:rsid w:val="00D8495E"/>
    <w:rsid w:val="00D85936"/>
    <w:rsid w:val="00D8749D"/>
    <w:rsid w:val="00D902B4"/>
    <w:rsid w:val="00D9271A"/>
    <w:rsid w:val="00D9507A"/>
    <w:rsid w:val="00D95B80"/>
    <w:rsid w:val="00DA2DEA"/>
    <w:rsid w:val="00DA695D"/>
    <w:rsid w:val="00DB1824"/>
    <w:rsid w:val="00DB2CFC"/>
    <w:rsid w:val="00DB3822"/>
    <w:rsid w:val="00DB3B87"/>
    <w:rsid w:val="00DB4054"/>
    <w:rsid w:val="00DB471B"/>
    <w:rsid w:val="00DB4B80"/>
    <w:rsid w:val="00DB627C"/>
    <w:rsid w:val="00DB6290"/>
    <w:rsid w:val="00DB7A4D"/>
    <w:rsid w:val="00DC012F"/>
    <w:rsid w:val="00DC15DF"/>
    <w:rsid w:val="00DC1C06"/>
    <w:rsid w:val="00DC591E"/>
    <w:rsid w:val="00DC5E4D"/>
    <w:rsid w:val="00DD0FB2"/>
    <w:rsid w:val="00DD112E"/>
    <w:rsid w:val="00DD435B"/>
    <w:rsid w:val="00DD47E3"/>
    <w:rsid w:val="00DD57B8"/>
    <w:rsid w:val="00DD7EDC"/>
    <w:rsid w:val="00DE0F6D"/>
    <w:rsid w:val="00DE6589"/>
    <w:rsid w:val="00DF427A"/>
    <w:rsid w:val="00DF45D0"/>
    <w:rsid w:val="00DF57FD"/>
    <w:rsid w:val="00DF5877"/>
    <w:rsid w:val="00DF789C"/>
    <w:rsid w:val="00DF7949"/>
    <w:rsid w:val="00DF7FD2"/>
    <w:rsid w:val="00E02930"/>
    <w:rsid w:val="00E0393E"/>
    <w:rsid w:val="00E05C44"/>
    <w:rsid w:val="00E102BD"/>
    <w:rsid w:val="00E1345E"/>
    <w:rsid w:val="00E156E7"/>
    <w:rsid w:val="00E15BA6"/>
    <w:rsid w:val="00E162A4"/>
    <w:rsid w:val="00E1669C"/>
    <w:rsid w:val="00E169AE"/>
    <w:rsid w:val="00E201D4"/>
    <w:rsid w:val="00E21133"/>
    <w:rsid w:val="00E23A1D"/>
    <w:rsid w:val="00E23AE7"/>
    <w:rsid w:val="00E25308"/>
    <w:rsid w:val="00E262A9"/>
    <w:rsid w:val="00E2729D"/>
    <w:rsid w:val="00E3001F"/>
    <w:rsid w:val="00E3269A"/>
    <w:rsid w:val="00E32FD4"/>
    <w:rsid w:val="00E3375E"/>
    <w:rsid w:val="00E36ED9"/>
    <w:rsid w:val="00E37A7D"/>
    <w:rsid w:val="00E37B05"/>
    <w:rsid w:val="00E40C4F"/>
    <w:rsid w:val="00E41E16"/>
    <w:rsid w:val="00E4433F"/>
    <w:rsid w:val="00E44CBE"/>
    <w:rsid w:val="00E45C16"/>
    <w:rsid w:val="00E46882"/>
    <w:rsid w:val="00E477E1"/>
    <w:rsid w:val="00E50130"/>
    <w:rsid w:val="00E50DFE"/>
    <w:rsid w:val="00E540D1"/>
    <w:rsid w:val="00E5495E"/>
    <w:rsid w:val="00E54F18"/>
    <w:rsid w:val="00E603CD"/>
    <w:rsid w:val="00E618FA"/>
    <w:rsid w:val="00E62F11"/>
    <w:rsid w:val="00E63D9D"/>
    <w:rsid w:val="00E64F89"/>
    <w:rsid w:val="00E66485"/>
    <w:rsid w:val="00E668B2"/>
    <w:rsid w:val="00E66ED9"/>
    <w:rsid w:val="00E704A3"/>
    <w:rsid w:val="00E7093D"/>
    <w:rsid w:val="00E71E06"/>
    <w:rsid w:val="00E729B0"/>
    <w:rsid w:val="00E72F7F"/>
    <w:rsid w:val="00E76587"/>
    <w:rsid w:val="00E77698"/>
    <w:rsid w:val="00E77CAD"/>
    <w:rsid w:val="00E80343"/>
    <w:rsid w:val="00E80E31"/>
    <w:rsid w:val="00E81760"/>
    <w:rsid w:val="00E8273C"/>
    <w:rsid w:val="00E83987"/>
    <w:rsid w:val="00E84987"/>
    <w:rsid w:val="00E85122"/>
    <w:rsid w:val="00E85B37"/>
    <w:rsid w:val="00E85CD1"/>
    <w:rsid w:val="00E860F9"/>
    <w:rsid w:val="00E8682E"/>
    <w:rsid w:val="00E86E7E"/>
    <w:rsid w:val="00E92013"/>
    <w:rsid w:val="00E92B5E"/>
    <w:rsid w:val="00E93ADF"/>
    <w:rsid w:val="00E94603"/>
    <w:rsid w:val="00EA0410"/>
    <w:rsid w:val="00EA0A97"/>
    <w:rsid w:val="00EA2B2D"/>
    <w:rsid w:val="00EA2C39"/>
    <w:rsid w:val="00EA2E5E"/>
    <w:rsid w:val="00EA42A2"/>
    <w:rsid w:val="00EA4525"/>
    <w:rsid w:val="00EA46CC"/>
    <w:rsid w:val="00EA5C11"/>
    <w:rsid w:val="00EB0575"/>
    <w:rsid w:val="00EB0CFB"/>
    <w:rsid w:val="00EB0FE3"/>
    <w:rsid w:val="00EB138E"/>
    <w:rsid w:val="00EB19F2"/>
    <w:rsid w:val="00EB26C8"/>
    <w:rsid w:val="00EB31C2"/>
    <w:rsid w:val="00EB71FF"/>
    <w:rsid w:val="00EC21A5"/>
    <w:rsid w:val="00EC2F50"/>
    <w:rsid w:val="00EC3C78"/>
    <w:rsid w:val="00EC3EB2"/>
    <w:rsid w:val="00EC5F00"/>
    <w:rsid w:val="00EC7E72"/>
    <w:rsid w:val="00ED0657"/>
    <w:rsid w:val="00ED1331"/>
    <w:rsid w:val="00ED275B"/>
    <w:rsid w:val="00ED2917"/>
    <w:rsid w:val="00ED3266"/>
    <w:rsid w:val="00ED4ADD"/>
    <w:rsid w:val="00ED712C"/>
    <w:rsid w:val="00EE1087"/>
    <w:rsid w:val="00EE42BF"/>
    <w:rsid w:val="00EE6E33"/>
    <w:rsid w:val="00EE7607"/>
    <w:rsid w:val="00EE774B"/>
    <w:rsid w:val="00EF1E60"/>
    <w:rsid w:val="00EF2737"/>
    <w:rsid w:val="00EF2832"/>
    <w:rsid w:val="00EF297A"/>
    <w:rsid w:val="00EF335B"/>
    <w:rsid w:val="00EF6DDF"/>
    <w:rsid w:val="00EF7DCF"/>
    <w:rsid w:val="00F00C8F"/>
    <w:rsid w:val="00F04502"/>
    <w:rsid w:val="00F047E7"/>
    <w:rsid w:val="00F1075C"/>
    <w:rsid w:val="00F11DF6"/>
    <w:rsid w:val="00F124C7"/>
    <w:rsid w:val="00F13789"/>
    <w:rsid w:val="00F143FC"/>
    <w:rsid w:val="00F16AB9"/>
    <w:rsid w:val="00F17432"/>
    <w:rsid w:val="00F205A3"/>
    <w:rsid w:val="00F2262F"/>
    <w:rsid w:val="00F2368D"/>
    <w:rsid w:val="00F24578"/>
    <w:rsid w:val="00F2495B"/>
    <w:rsid w:val="00F261E6"/>
    <w:rsid w:val="00F274A7"/>
    <w:rsid w:val="00F34CE4"/>
    <w:rsid w:val="00F365AC"/>
    <w:rsid w:val="00F375D2"/>
    <w:rsid w:val="00F37849"/>
    <w:rsid w:val="00F37989"/>
    <w:rsid w:val="00F415AE"/>
    <w:rsid w:val="00F41FCE"/>
    <w:rsid w:val="00F42917"/>
    <w:rsid w:val="00F42E9E"/>
    <w:rsid w:val="00F472F3"/>
    <w:rsid w:val="00F472FB"/>
    <w:rsid w:val="00F47F01"/>
    <w:rsid w:val="00F500C3"/>
    <w:rsid w:val="00F52A16"/>
    <w:rsid w:val="00F541DB"/>
    <w:rsid w:val="00F5551D"/>
    <w:rsid w:val="00F55D2F"/>
    <w:rsid w:val="00F609CC"/>
    <w:rsid w:val="00F63722"/>
    <w:rsid w:val="00F64D63"/>
    <w:rsid w:val="00F64ED9"/>
    <w:rsid w:val="00F668F2"/>
    <w:rsid w:val="00F6698E"/>
    <w:rsid w:val="00F677F4"/>
    <w:rsid w:val="00F70FD9"/>
    <w:rsid w:val="00F71B60"/>
    <w:rsid w:val="00F72DD6"/>
    <w:rsid w:val="00F742CF"/>
    <w:rsid w:val="00F76896"/>
    <w:rsid w:val="00F7784C"/>
    <w:rsid w:val="00F839C5"/>
    <w:rsid w:val="00F83C69"/>
    <w:rsid w:val="00F84F16"/>
    <w:rsid w:val="00F84F8E"/>
    <w:rsid w:val="00F854FF"/>
    <w:rsid w:val="00F86ADC"/>
    <w:rsid w:val="00F87B23"/>
    <w:rsid w:val="00F94443"/>
    <w:rsid w:val="00F94FC7"/>
    <w:rsid w:val="00F95C8B"/>
    <w:rsid w:val="00F972E6"/>
    <w:rsid w:val="00FA1325"/>
    <w:rsid w:val="00FA1490"/>
    <w:rsid w:val="00FA3600"/>
    <w:rsid w:val="00FA3F99"/>
    <w:rsid w:val="00FA47F0"/>
    <w:rsid w:val="00FA64BB"/>
    <w:rsid w:val="00FB2950"/>
    <w:rsid w:val="00FB3141"/>
    <w:rsid w:val="00FB4758"/>
    <w:rsid w:val="00FB48CB"/>
    <w:rsid w:val="00FB520D"/>
    <w:rsid w:val="00FB67D8"/>
    <w:rsid w:val="00FC053E"/>
    <w:rsid w:val="00FC0E13"/>
    <w:rsid w:val="00FC2CA7"/>
    <w:rsid w:val="00FC4242"/>
    <w:rsid w:val="00FC648B"/>
    <w:rsid w:val="00FC7222"/>
    <w:rsid w:val="00FD0402"/>
    <w:rsid w:val="00FD0628"/>
    <w:rsid w:val="00FD168B"/>
    <w:rsid w:val="00FD2813"/>
    <w:rsid w:val="00FD3905"/>
    <w:rsid w:val="00FD3EE0"/>
    <w:rsid w:val="00FD49A7"/>
    <w:rsid w:val="00FD5F4A"/>
    <w:rsid w:val="00FD64C7"/>
    <w:rsid w:val="00FD6E58"/>
    <w:rsid w:val="00FE01A6"/>
    <w:rsid w:val="00FE099D"/>
    <w:rsid w:val="00FE2E42"/>
    <w:rsid w:val="00FE4141"/>
    <w:rsid w:val="00FE47B0"/>
    <w:rsid w:val="00FE4929"/>
    <w:rsid w:val="00FE5249"/>
    <w:rsid w:val="00FE7CE4"/>
    <w:rsid w:val="00FF065E"/>
    <w:rsid w:val="00FF2AE4"/>
    <w:rsid w:val="00FF3F96"/>
    <w:rsid w:val="00FF52CD"/>
    <w:rsid w:val="00FF614A"/>
    <w:rsid w:val="00FF769D"/>
    <w:rsid w:val="00FF7A45"/>
    <w:rsid w:val="0101642B"/>
    <w:rsid w:val="014B38A5"/>
    <w:rsid w:val="016A347B"/>
    <w:rsid w:val="02753E85"/>
    <w:rsid w:val="02CC3F80"/>
    <w:rsid w:val="042E0790"/>
    <w:rsid w:val="060E4278"/>
    <w:rsid w:val="06B07B82"/>
    <w:rsid w:val="06DF2215"/>
    <w:rsid w:val="07493558"/>
    <w:rsid w:val="07707231"/>
    <w:rsid w:val="07BC5DA1"/>
    <w:rsid w:val="07D23B28"/>
    <w:rsid w:val="08253C58"/>
    <w:rsid w:val="08A96637"/>
    <w:rsid w:val="09C02629"/>
    <w:rsid w:val="0A5627EE"/>
    <w:rsid w:val="0AA7129C"/>
    <w:rsid w:val="0B50723E"/>
    <w:rsid w:val="0BF958B8"/>
    <w:rsid w:val="0C637445"/>
    <w:rsid w:val="0E225F44"/>
    <w:rsid w:val="0E3A5F83"/>
    <w:rsid w:val="0FC71A98"/>
    <w:rsid w:val="11561326"/>
    <w:rsid w:val="11AD1ABA"/>
    <w:rsid w:val="12913BB7"/>
    <w:rsid w:val="12A762DD"/>
    <w:rsid w:val="13307389"/>
    <w:rsid w:val="135D699C"/>
    <w:rsid w:val="14465682"/>
    <w:rsid w:val="144E4CA0"/>
    <w:rsid w:val="154716B1"/>
    <w:rsid w:val="154C4F1A"/>
    <w:rsid w:val="15755FA6"/>
    <w:rsid w:val="1638114C"/>
    <w:rsid w:val="16A668AC"/>
    <w:rsid w:val="16D90A2F"/>
    <w:rsid w:val="17546308"/>
    <w:rsid w:val="17DE3E23"/>
    <w:rsid w:val="18493992"/>
    <w:rsid w:val="193630C5"/>
    <w:rsid w:val="194A1770"/>
    <w:rsid w:val="19810F0A"/>
    <w:rsid w:val="19C239FC"/>
    <w:rsid w:val="1A475CB0"/>
    <w:rsid w:val="1AC11F06"/>
    <w:rsid w:val="1B555762"/>
    <w:rsid w:val="1BD23C9F"/>
    <w:rsid w:val="1C694603"/>
    <w:rsid w:val="1CEE4B08"/>
    <w:rsid w:val="1D6152DA"/>
    <w:rsid w:val="1E556CA9"/>
    <w:rsid w:val="1E617257"/>
    <w:rsid w:val="1E7D45CD"/>
    <w:rsid w:val="1EBA7398"/>
    <w:rsid w:val="1FA252D0"/>
    <w:rsid w:val="1FF94191"/>
    <w:rsid w:val="20684DD7"/>
    <w:rsid w:val="2092466C"/>
    <w:rsid w:val="20994D8B"/>
    <w:rsid w:val="20D912DF"/>
    <w:rsid w:val="20F546B7"/>
    <w:rsid w:val="251F57E3"/>
    <w:rsid w:val="25A16BBC"/>
    <w:rsid w:val="26832765"/>
    <w:rsid w:val="268A3AF4"/>
    <w:rsid w:val="26D63F03"/>
    <w:rsid w:val="26E74AA2"/>
    <w:rsid w:val="27280C17"/>
    <w:rsid w:val="280E605F"/>
    <w:rsid w:val="289522DC"/>
    <w:rsid w:val="28BF4345"/>
    <w:rsid w:val="28C02A73"/>
    <w:rsid w:val="2A5E32CD"/>
    <w:rsid w:val="2A798E91"/>
    <w:rsid w:val="2AC86999"/>
    <w:rsid w:val="2B1C2A88"/>
    <w:rsid w:val="2BB37649"/>
    <w:rsid w:val="2D3E73E6"/>
    <w:rsid w:val="2E304F81"/>
    <w:rsid w:val="2E6115DE"/>
    <w:rsid w:val="2F2F1D03"/>
    <w:rsid w:val="309061AB"/>
    <w:rsid w:val="30A8270F"/>
    <w:rsid w:val="3152520E"/>
    <w:rsid w:val="31BB7257"/>
    <w:rsid w:val="31CD2AE7"/>
    <w:rsid w:val="328F5FEE"/>
    <w:rsid w:val="331C7060"/>
    <w:rsid w:val="332E3848"/>
    <w:rsid w:val="33C323F3"/>
    <w:rsid w:val="33EF143A"/>
    <w:rsid w:val="34AE6BFF"/>
    <w:rsid w:val="352716A0"/>
    <w:rsid w:val="35DD2AFA"/>
    <w:rsid w:val="37490E61"/>
    <w:rsid w:val="37F30DCD"/>
    <w:rsid w:val="381C0324"/>
    <w:rsid w:val="386C12AB"/>
    <w:rsid w:val="38FB618B"/>
    <w:rsid w:val="398B5761"/>
    <w:rsid w:val="3B253993"/>
    <w:rsid w:val="3B8D7772"/>
    <w:rsid w:val="3BC401C6"/>
    <w:rsid w:val="3C247732"/>
    <w:rsid w:val="3CAF1767"/>
    <w:rsid w:val="3D097B26"/>
    <w:rsid w:val="3D0C6BB9"/>
    <w:rsid w:val="3D281519"/>
    <w:rsid w:val="3D6E2B00"/>
    <w:rsid w:val="3DDA6CB7"/>
    <w:rsid w:val="3F5D7BA0"/>
    <w:rsid w:val="3FC25C55"/>
    <w:rsid w:val="4007616B"/>
    <w:rsid w:val="4024421A"/>
    <w:rsid w:val="40FE2CBD"/>
    <w:rsid w:val="42334BE8"/>
    <w:rsid w:val="43244531"/>
    <w:rsid w:val="43747266"/>
    <w:rsid w:val="43A96511"/>
    <w:rsid w:val="44044A8E"/>
    <w:rsid w:val="44466E54"/>
    <w:rsid w:val="44BB380A"/>
    <w:rsid w:val="456A4DC4"/>
    <w:rsid w:val="46F51CAF"/>
    <w:rsid w:val="487D4E0F"/>
    <w:rsid w:val="48A44149"/>
    <w:rsid w:val="4A9621B8"/>
    <w:rsid w:val="4B05076D"/>
    <w:rsid w:val="4BD061D0"/>
    <w:rsid w:val="4CBA03DF"/>
    <w:rsid w:val="4CFD207A"/>
    <w:rsid w:val="4D0A4797"/>
    <w:rsid w:val="4D1D44CA"/>
    <w:rsid w:val="4DAB1A24"/>
    <w:rsid w:val="4DF96CE5"/>
    <w:rsid w:val="4E7B76FB"/>
    <w:rsid w:val="4F302BDB"/>
    <w:rsid w:val="50CF1F80"/>
    <w:rsid w:val="51A21442"/>
    <w:rsid w:val="51AB6549"/>
    <w:rsid w:val="51DF61F2"/>
    <w:rsid w:val="523919CF"/>
    <w:rsid w:val="52765F6B"/>
    <w:rsid w:val="536B275A"/>
    <w:rsid w:val="53C41B44"/>
    <w:rsid w:val="53E977FC"/>
    <w:rsid w:val="544E58B1"/>
    <w:rsid w:val="5454111A"/>
    <w:rsid w:val="54BC6CBF"/>
    <w:rsid w:val="5570385F"/>
    <w:rsid w:val="55B55BE8"/>
    <w:rsid w:val="55D02A22"/>
    <w:rsid w:val="55DD28E5"/>
    <w:rsid w:val="55F10BEA"/>
    <w:rsid w:val="565C42B5"/>
    <w:rsid w:val="56B714EC"/>
    <w:rsid w:val="56CF2CD9"/>
    <w:rsid w:val="58AB1524"/>
    <w:rsid w:val="5AC75083"/>
    <w:rsid w:val="5B2630E4"/>
    <w:rsid w:val="5B4A5024"/>
    <w:rsid w:val="5BC36B85"/>
    <w:rsid w:val="5C25514A"/>
    <w:rsid w:val="5D525626"/>
    <w:rsid w:val="5E14191A"/>
    <w:rsid w:val="5E912F6A"/>
    <w:rsid w:val="61043970"/>
    <w:rsid w:val="619012B7"/>
    <w:rsid w:val="62516C98"/>
    <w:rsid w:val="62966DA1"/>
    <w:rsid w:val="62F6525B"/>
    <w:rsid w:val="631416F0"/>
    <w:rsid w:val="63B773AF"/>
    <w:rsid w:val="648C7EFE"/>
    <w:rsid w:val="651D2E62"/>
    <w:rsid w:val="65387C9C"/>
    <w:rsid w:val="65F31E15"/>
    <w:rsid w:val="66410DD2"/>
    <w:rsid w:val="66A852F5"/>
    <w:rsid w:val="66B94E0C"/>
    <w:rsid w:val="66DC1E93"/>
    <w:rsid w:val="674A63AC"/>
    <w:rsid w:val="68161876"/>
    <w:rsid w:val="685F19E3"/>
    <w:rsid w:val="68723AE7"/>
    <w:rsid w:val="68FA0C7A"/>
    <w:rsid w:val="69B144C0"/>
    <w:rsid w:val="69B55D5F"/>
    <w:rsid w:val="6A6D03E7"/>
    <w:rsid w:val="6AE83F12"/>
    <w:rsid w:val="6B0C76DF"/>
    <w:rsid w:val="6B5B191B"/>
    <w:rsid w:val="6B923E7E"/>
    <w:rsid w:val="6C9277A6"/>
    <w:rsid w:val="6C975BF0"/>
    <w:rsid w:val="6CB95B66"/>
    <w:rsid w:val="6CD62F24"/>
    <w:rsid w:val="6EE862ED"/>
    <w:rsid w:val="6F8F0E00"/>
    <w:rsid w:val="6F936B31"/>
    <w:rsid w:val="7036571F"/>
    <w:rsid w:val="71325EE7"/>
    <w:rsid w:val="71573B9F"/>
    <w:rsid w:val="71C11019"/>
    <w:rsid w:val="73AB1B34"/>
    <w:rsid w:val="74A94712"/>
    <w:rsid w:val="7530273D"/>
    <w:rsid w:val="75A35605"/>
    <w:rsid w:val="75BE41ED"/>
    <w:rsid w:val="75C07904"/>
    <w:rsid w:val="75DC4D0C"/>
    <w:rsid w:val="75E579CC"/>
    <w:rsid w:val="7601057E"/>
    <w:rsid w:val="764510FA"/>
    <w:rsid w:val="766A77DA"/>
    <w:rsid w:val="76B64EC4"/>
    <w:rsid w:val="76CB0842"/>
    <w:rsid w:val="77147E3D"/>
    <w:rsid w:val="7725204A"/>
    <w:rsid w:val="7750356B"/>
    <w:rsid w:val="77B238DE"/>
    <w:rsid w:val="782F13D2"/>
    <w:rsid w:val="79181E66"/>
    <w:rsid w:val="7A0F14BB"/>
    <w:rsid w:val="7A3F3423"/>
    <w:rsid w:val="7B036915"/>
    <w:rsid w:val="7B851309"/>
    <w:rsid w:val="7C6F6241"/>
    <w:rsid w:val="7CFE5817"/>
    <w:rsid w:val="7DF53C39"/>
    <w:rsid w:val="7E3C285D"/>
    <w:rsid w:val="7E886109"/>
    <w:rsid w:val="7EB268B9"/>
    <w:rsid w:val="7EC62364"/>
    <w:rsid w:val="7F511C2E"/>
    <w:rsid w:val="BFB3E010"/>
    <w:rsid w:val="FFBB51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unhideWhenUsed/>
    <w:qFormat/>
    <w:uiPriority w:val="1"/>
  </w:style>
  <w:style w:type="table" w:default="1" w:styleId="8">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alloon Text"/>
    <w:basedOn w:val="1"/>
    <w:link w:val="19"/>
    <w:semiHidden/>
    <w:unhideWhenUsed/>
    <w:qFormat/>
    <w:uiPriority w:val="99"/>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18"/>
    <w:semiHidden/>
    <w:unhideWhenUsed/>
    <w:qFormat/>
    <w:uiPriority w:val="99"/>
    <w:rPr>
      <w:b/>
      <w:bCs/>
    </w:rPr>
  </w:style>
  <w:style w:type="table" w:styleId="9">
    <w:name w:val="Table Grid"/>
    <w:basedOn w:val="8"/>
    <w:qFormat/>
    <w:uiPriority w:val="0"/>
    <w:pPr>
      <w:widowControl w:val="0"/>
      <w:jc w:val="both"/>
    </w:pPr>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Emphasis"/>
    <w:basedOn w:val="10"/>
    <w:qFormat/>
    <w:uiPriority w:val="20"/>
    <w:rPr>
      <w:i/>
      <w:iCs/>
    </w:rPr>
  </w:style>
  <w:style w:type="character" w:styleId="13">
    <w:name w:val="annotation reference"/>
    <w:basedOn w:val="10"/>
    <w:semiHidden/>
    <w:unhideWhenUsed/>
    <w:qFormat/>
    <w:uiPriority w:val="99"/>
    <w:rPr>
      <w:sz w:val="21"/>
      <w:szCs w:val="21"/>
    </w:rPr>
  </w:style>
  <w:style w:type="character" w:customStyle="1" w:styleId="14">
    <w:name w:val="页脚 字符"/>
    <w:basedOn w:val="10"/>
    <w:link w:val="4"/>
    <w:qFormat/>
    <w:uiPriority w:val="0"/>
    <w:rPr>
      <w:rFonts w:ascii="Times New Roman" w:hAnsi="Times New Roman" w:eastAsia="宋体" w:cs="Times New Roman"/>
      <w:sz w:val="18"/>
      <w:szCs w:val="18"/>
    </w:rPr>
  </w:style>
  <w:style w:type="character" w:customStyle="1" w:styleId="15">
    <w:name w:val="页眉 字符"/>
    <w:basedOn w:val="10"/>
    <w:link w:val="5"/>
    <w:qFormat/>
    <w:uiPriority w:val="0"/>
    <w:rPr>
      <w:rFonts w:ascii="Times New Roman" w:hAnsi="Times New Roman" w:eastAsia="宋体" w:cs="Times New Roman"/>
      <w:sz w:val="18"/>
      <w:szCs w:val="18"/>
    </w:rPr>
  </w:style>
  <w:style w:type="paragraph" w:customStyle="1" w:styleId="16">
    <w:name w:val="_Style 6"/>
    <w:basedOn w:val="1"/>
    <w:qFormat/>
    <w:uiPriority w:val="34"/>
    <w:pPr>
      <w:ind w:firstLine="420" w:firstLineChars="200"/>
    </w:pPr>
    <w:rPr>
      <w:rFonts w:ascii="Calibri" w:hAnsi="Calibri"/>
      <w:szCs w:val="22"/>
    </w:rPr>
  </w:style>
  <w:style w:type="character" w:customStyle="1" w:styleId="17">
    <w:name w:val="批注文字 字符"/>
    <w:basedOn w:val="10"/>
    <w:link w:val="2"/>
    <w:qFormat/>
    <w:uiPriority w:val="99"/>
    <w:rPr>
      <w:rFonts w:ascii="Times New Roman" w:hAnsi="Times New Roman" w:eastAsia="宋体" w:cs="Times New Roman"/>
      <w:szCs w:val="24"/>
    </w:rPr>
  </w:style>
  <w:style w:type="character" w:customStyle="1" w:styleId="18">
    <w:name w:val="批注主题 字符"/>
    <w:basedOn w:val="17"/>
    <w:link w:val="7"/>
    <w:semiHidden/>
    <w:qFormat/>
    <w:uiPriority w:val="99"/>
    <w:rPr>
      <w:rFonts w:ascii="Times New Roman" w:hAnsi="Times New Roman" w:eastAsia="宋体" w:cs="Times New Roman"/>
      <w:b/>
      <w:bCs/>
      <w:szCs w:val="24"/>
    </w:rPr>
  </w:style>
  <w:style w:type="character" w:customStyle="1" w:styleId="19">
    <w:name w:val="批注框文本 字符"/>
    <w:basedOn w:val="10"/>
    <w:link w:val="3"/>
    <w:semiHidden/>
    <w:qFormat/>
    <w:uiPriority w:val="99"/>
    <w:rPr>
      <w:rFonts w:ascii="Times New Roman" w:hAnsi="Times New Roman" w:eastAsia="宋体" w:cs="Times New Roman"/>
      <w:sz w:val="18"/>
      <w:szCs w:val="18"/>
    </w:rPr>
  </w:style>
  <w:style w:type="paragraph" w:customStyle="1" w:styleId="20">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1">
    <w:name w:val="55"/>
    <w:qFormat/>
    <w:uiPriority w:val="0"/>
    <w:rPr>
      <w:rFonts w:ascii="宋体" w:hAnsi="宋体" w:eastAsia="宋体" w:cs="宋体"/>
      <w:sz w:val="21"/>
      <w:szCs w:val="24"/>
      <w:lang w:val="en-US" w:eastAsia="zh-CN" w:bidi="ar-SA"/>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7892C-BB8B-411E-B1B1-C7EDC735CFCE}">
  <ds:schemaRefs/>
</ds:datastoreItem>
</file>

<file path=docProps/app.xml><?xml version="1.0" encoding="utf-8"?>
<Properties xmlns="http://schemas.openxmlformats.org/officeDocument/2006/extended-properties" xmlns:vt="http://schemas.openxmlformats.org/officeDocument/2006/docPropsVTypes">
  <Template>Normal</Template>
  <Pages>6</Pages>
  <Words>4391</Words>
  <Characters>4924</Characters>
  <Lines>88</Lines>
  <Paragraphs>39</Paragraphs>
  <TotalTime>3</TotalTime>
  <ScaleCrop>false</ScaleCrop>
  <LinksUpToDate>false</LinksUpToDate>
  <CharactersWithSpaces>5096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2024-08-31T18:26:00Z</dcterms:created>
  <dc:creator>ZQ-毛佳红</dc:creator>
  <cp:lastModifiedBy>782592</cp:lastModifiedBy>
  <dcterms:modified xsi:type="dcterms:W3CDTF">2026-08-19T07:30:49Z</dcterms:modified>
  <cp:revision>444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B2EB7FCE62D911A29DA72467212A40AB_43</vt:lpwstr>
  </property>
  <property fmtid="{D5CDD505-2E9C-101B-9397-08002B2CF9AE}" pid="4" name="KSOTemplateDocerSaveRecord">
    <vt:lpwstr>eyJoZGlkIjoiNmViMWYwNmIwNDdhNWE4NWJiNDAzODFlNWY1OTQzMmQiLCJ1c2VySWQiOiI1OTM4NjMzNTEifQ==</vt:lpwstr>
  </property>
</Properties>
</file>