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72A3" w:rsidRDefault="002012D1">
      <w:pPr>
        <w:rPr>
          <w:rFonts w:ascii="宋体" w:hAnsi="宋体"/>
          <w:bCs/>
          <w:sz w:val="24"/>
        </w:rPr>
      </w:pPr>
      <w:r>
        <w:rPr>
          <w:rFonts w:ascii="宋体" w:hAnsi="宋体" w:hint="eastAsia"/>
          <w:bCs/>
          <w:sz w:val="24"/>
        </w:rPr>
        <w:t>公司</w:t>
      </w:r>
      <w:r>
        <w:rPr>
          <w:rFonts w:ascii="宋体" w:hAnsi="宋体"/>
          <w:bCs/>
          <w:sz w:val="24"/>
        </w:rPr>
        <w:t>代码：</w:t>
      </w:r>
      <w:r>
        <w:rPr>
          <w:bCs/>
          <w:sz w:val="24"/>
        </w:rPr>
        <w:t xml:space="preserve">688278    </w:t>
      </w:r>
      <w:r>
        <w:rPr>
          <w:rFonts w:ascii="宋体" w:hAnsi="宋体"/>
          <w:bCs/>
          <w:sz w:val="24"/>
        </w:rPr>
        <w:t xml:space="preserve">                     </w:t>
      </w:r>
      <w:r>
        <w:rPr>
          <w:bCs/>
          <w:sz w:val="24"/>
        </w:rPr>
        <w:t xml:space="preserve">         </w:t>
      </w:r>
      <w:r>
        <w:rPr>
          <w:rFonts w:ascii="宋体" w:hAnsi="宋体" w:hint="eastAsia"/>
          <w:bCs/>
          <w:sz w:val="24"/>
        </w:rPr>
        <w:t>公司简称：</w:t>
      </w:r>
      <w:proofErr w:type="gramStart"/>
      <w:r>
        <w:rPr>
          <w:rFonts w:ascii="宋体" w:hAnsi="宋体"/>
          <w:bCs/>
          <w:sz w:val="24"/>
        </w:rPr>
        <w:t>特宝生物</w:t>
      </w:r>
      <w:proofErr w:type="gramEnd"/>
    </w:p>
    <w:p w:rsidR="00BA72A3" w:rsidRDefault="00BA72A3"/>
    <w:p w:rsidR="00BA72A3" w:rsidRDefault="00BA72A3"/>
    <w:p w:rsidR="00BA72A3" w:rsidRDefault="00BA72A3"/>
    <w:p w:rsidR="00BA72A3" w:rsidRDefault="00BA72A3"/>
    <w:p w:rsidR="00BA72A3" w:rsidRDefault="00BA72A3"/>
    <w:p w:rsidR="00BA72A3" w:rsidRDefault="00BA72A3"/>
    <w:p w:rsidR="00BA72A3" w:rsidRDefault="00BA72A3"/>
    <w:p w:rsidR="00BA72A3" w:rsidRDefault="00BA72A3"/>
    <w:p w:rsidR="00BA72A3" w:rsidRDefault="002012D1">
      <w:pPr>
        <w:autoSpaceDE w:val="0"/>
        <w:autoSpaceDN w:val="0"/>
        <w:adjustRightInd w:val="0"/>
        <w:spacing w:beforeLines="50" w:before="156" w:afterLines="50" w:after="156" w:line="720" w:lineRule="exact"/>
        <w:jc w:val="center"/>
        <w:rPr>
          <w:rFonts w:ascii="黑体" w:eastAsia="黑体" w:hAnsi="黑体" w:cs="黑体"/>
          <w:color w:val="000000"/>
          <w:kern w:val="0"/>
          <w:sz w:val="48"/>
          <w:szCs w:val="48"/>
        </w:rPr>
      </w:pPr>
      <w:r>
        <w:rPr>
          <w:rFonts w:ascii="黑体" w:eastAsia="黑体" w:hAnsi="黑体" w:cs="黑体" w:hint="eastAsia"/>
          <w:color w:val="000000"/>
          <w:kern w:val="0"/>
          <w:sz w:val="48"/>
          <w:szCs w:val="48"/>
        </w:rPr>
        <w:t>厦门特宝生物工程股份有限公司</w:t>
      </w:r>
    </w:p>
    <w:p w:rsidR="00BA72A3" w:rsidRDefault="002012D1">
      <w:pPr>
        <w:autoSpaceDE w:val="0"/>
        <w:autoSpaceDN w:val="0"/>
        <w:adjustRightInd w:val="0"/>
        <w:spacing w:beforeLines="50" w:before="156" w:afterLines="50" w:after="156" w:line="720" w:lineRule="exact"/>
        <w:jc w:val="center"/>
        <w:rPr>
          <w:rFonts w:ascii="黑体" w:eastAsia="黑体" w:hAnsi="黑体" w:cs="黑体"/>
          <w:color w:val="000000"/>
          <w:sz w:val="48"/>
          <w:szCs w:val="48"/>
        </w:rPr>
      </w:pPr>
      <w:r>
        <w:rPr>
          <w:rFonts w:ascii="黑体" w:eastAsia="黑体" w:hAnsi="黑体" w:cs="黑体" w:hint="eastAsia"/>
          <w:color w:val="000000"/>
          <w:kern w:val="0"/>
          <w:sz w:val="48"/>
          <w:szCs w:val="48"/>
        </w:rPr>
        <w:t>投资者关系活动记录表</w:t>
      </w:r>
    </w:p>
    <w:p w:rsidR="00BA72A3" w:rsidRDefault="00BA72A3">
      <w:pPr>
        <w:autoSpaceDE w:val="0"/>
        <w:autoSpaceDN w:val="0"/>
        <w:adjustRightInd w:val="0"/>
        <w:spacing w:beforeLines="50" w:before="156" w:afterLines="50" w:after="156" w:line="720" w:lineRule="exact"/>
        <w:ind w:rightChars="-24" w:right="-50"/>
        <w:jc w:val="center"/>
        <w:rPr>
          <w:rFonts w:eastAsia="黑体"/>
          <w:color w:val="000000"/>
          <w:sz w:val="44"/>
          <w:szCs w:val="34"/>
        </w:rPr>
      </w:pPr>
    </w:p>
    <w:p w:rsidR="00BA72A3" w:rsidRDefault="00BA72A3"/>
    <w:p w:rsidR="00BA72A3" w:rsidRDefault="00BA72A3"/>
    <w:p w:rsidR="00BA72A3" w:rsidRDefault="002012D1">
      <w:pPr>
        <w:jc w:val="center"/>
      </w:pPr>
      <w:r>
        <w:rPr>
          <w:noProof/>
        </w:rPr>
        <w:drawing>
          <wp:inline distT="0" distB="0" distL="0" distR="0">
            <wp:extent cx="2876550" cy="1275080"/>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2899288" cy="1285466"/>
                    </a:xfrm>
                    <a:prstGeom prst="rect">
                      <a:avLst/>
                    </a:prstGeom>
                    <a:noFill/>
                    <a:ln>
                      <a:noFill/>
                    </a:ln>
                  </pic:spPr>
                </pic:pic>
              </a:graphicData>
            </a:graphic>
          </wp:inline>
        </w:drawing>
      </w:r>
    </w:p>
    <w:p w:rsidR="00BA72A3" w:rsidRDefault="00BA72A3">
      <w:pPr>
        <w:jc w:val="center"/>
      </w:pPr>
    </w:p>
    <w:p w:rsidR="00BA72A3" w:rsidRDefault="00BA72A3">
      <w:pPr>
        <w:autoSpaceDE w:val="0"/>
        <w:autoSpaceDN w:val="0"/>
        <w:adjustRightInd w:val="0"/>
        <w:rPr>
          <w:rFonts w:ascii="宋体" w:hAnsi="宋体" w:cs="黑体"/>
          <w:b/>
          <w:color w:val="000000"/>
          <w:kern w:val="0"/>
          <w:sz w:val="24"/>
        </w:rPr>
      </w:pPr>
    </w:p>
    <w:p w:rsidR="00BA72A3" w:rsidRDefault="00BA72A3">
      <w:pPr>
        <w:autoSpaceDE w:val="0"/>
        <w:autoSpaceDN w:val="0"/>
        <w:adjustRightInd w:val="0"/>
        <w:rPr>
          <w:rFonts w:ascii="宋体" w:hAnsi="宋体" w:cs="黑体"/>
          <w:b/>
          <w:color w:val="000000"/>
          <w:kern w:val="0"/>
          <w:sz w:val="24"/>
        </w:rPr>
      </w:pPr>
    </w:p>
    <w:p w:rsidR="00BA72A3" w:rsidRDefault="00BA72A3">
      <w:pPr>
        <w:autoSpaceDE w:val="0"/>
        <w:autoSpaceDN w:val="0"/>
        <w:adjustRightInd w:val="0"/>
        <w:spacing w:beforeLines="100" w:before="312"/>
        <w:rPr>
          <w:rFonts w:ascii="黑体" w:eastAsia="黑体" w:cs="黑体"/>
          <w:color w:val="000000"/>
          <w:kern w:val="0"/>
          <w:sz w:val="32"/>
          <w:szCs w:val="28"/>
        </w:rPr>
      </w:pPr>
    </w:p>
    <w:p w:rsidR="00BA72A3" w:rsidRDefault="00BA72A3">
      <w:pPr>
        <w:rPr>
          <w:rFonts w:ascii="黑体" w:eastAsia="黑体" w:cs="黑体"/>
          <w:sz w:val="32"/>
          <w:szCs w:val="28"/>
        </w:rPr>
      </w:pPr>
    </w:p>
    <w:p w:rsidR="00BA72A3" w:rsidRDefault="00BA72A3">
      <w:pPr>
        <w:rPr>
          <w:rFonts w:ascii="黑体" w:eastAsia="黑体" w:cs="黑体"/>
          <w:sz w:val="32"/>
          <w:szCs w:val="28"/>
        </w:rPr>
      </w:pPr>
    </w:p>
    <w:p w:rsidR="00BA72A3" w:rsidRDefault="00BA72A3">
      <w:pPr>
        <w:rPr>
          <w:rFonts w:ascii="黑体" w:eastAsia="黑体" w:cs="黑体"/>
          <w:sz w:val="32"/>
          <w:szCs w:val="28"/>
        </w:rPr>
      </w:pPr>
    </w:p>
    <w:p w:rsidR="00BA72A3" w:rsidRDefault="00BA72A3">
      <w:pPr>
        <w:rPr>
          <w:rFonts w:ascii="黑体" w:eastAsia="黑体" w:cs="黑体"/>
          <w:sz w:val="32"/>
          <w:szCs w:val="28"/>
        </w:rPr>
      </w:pPr>
    </w:p>
    <w:p w:rsidR="00BA72A3" w:rsidRDefault="00BA72A3">
      <w:pPr>
        <w:rPr>
          <w:rFonts w:ascii="黑体" w:eastAsia="黑体" w:cs="黑体"/>
          <w:sz w:val="32"/>
          <w:szCs w:val="28"/>
        </w:rPr>
      </w:pPr>
    </w:p>
    <w:p w:rsidR="00BA72A3" w:rsidRDefault="002012D1">
      <w:pPr>
        <w:widowControl/>
        <w:jc w:val="left"/>
        <w:rPr>
          <w:rFonts w:ascii="黑体" w:eastAsia="黑体" w:cs="黑体"/>
          <w:sz w:val="32"/>
          <w:szCs w:val="28"/>
        </w:rPr>
      </w:pPr>
      <w:r>
        <w:rPr>
          <w:rFonts w:ascii="黑体" w:eastAsia="黑体" w:cs="黑体"/>
          <w:sz w:val="32"/>
          <w:szCs w:val="28"/>
        </w:rPr>
        <w:br w:type="page"/>
      </w:r>
    </w:p>
    <w:p w:rsidR="00BA72A3" w:rsidRDefault="002012D1">
      <w:pPr>
        <w:autoSpaceDE w:val="0"/>
        <w:autoSpaceDN w:val="0"/>
        <w:adjustRightInd w:val="0"/>
        <w:spacing w:beforeLines="100" w:before="312"/>
        <w:jc w:val="center"/>
        <w:rPr>
          <w:rFonts w:ascii="黑体" w:eastAsia="黑体" w:cs="黑体"/>
          <w:color w:val="000000"/>
          <w:kern w:val="0"/>
          <w:sz w:val="36"/>
          <w:szCs w:val="36"/>
        </w:rPr>
      </w:pPr>
      <w:r>
        <w:rPr>
          <w:rFonts w:ascii="黑体" w:eastAsia="黑体" w:cs="黑体" w:hint="eastAsia"/>
          <w:color w:val="000000"/>
          <w:kern w:val="0"/>
          <w:sz w:val="36"/>
          <w:szCs w:val="36"/>
        </w:rPr>
        <w:lastRenderedPageBreak/>
        <w:t>厦门特宝生物工程股份有限公司</w:t>
      </w:r>
    </w:p>
    <w:p w:rsidR="00BA72A3" w:rsidRDefault="002012D1">
      <w:pPr>
        <w:autoSpaceDE w:val="0"/>
        <w:autoSpaceDN w:val="0"/>
        <w:adjustRightInd w:val="0"/>
        <w:spacing w:afterLines="100" w:after="312"/>
        <w:jc w:val="center"/>
        <w:rPr>
          <w:rFonts w:ascii="黑体" w:eastAsia="黑体" w:cs="黑体"/>
          <w:color w:val="000000"/>
          <w:kern w:val="0"/>
          <w:sz w:val="36"/>
          <w:szCs w:val="36"/>
        </w:rPr>
      </w:pPr>
      <w:r>
        <w:rPr>
          <w:rFonts w:ascii="黑体" w:eastAsia="黑体" w:cs="黑体" w:hint="eastAsia"/>
          <w:color w:val="000000"/>
          <w:kern w:val="0"/>
          <w:sz w:val="36"/>
          <w:szCs w:val="36"/>
        </w:rPr>
        <w:t>投资者关系活动记录表</w:t>
      </w:r>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5"/>
        <w:gridCol w:w="5915"/>
      </w:tblGrid>
      <w:tr w:rsidR="00BA72A3">
        <w:trPr>
          <w:trHeight w:val="2260"/>
          <w:jc w:val="center"/>
        </w:trPr>
        <w:tc>
          <w:tcPr>
            <w:tcW w:w="1437" w:type="pct"/>
            <w:vAlign w:val="center"/>
          </w:tcPr>
          <w:p w:rsidR="00BA72A3" w:rsidRDefault="002012D1">
            <w:pPr>
              <w:autoSpaceDE w:val="0"/>
              <w:autoSpaceDN w:val="0"/>
              <w:adjustRightInd w:val="0"/>
              <w:spacing w:line="460" w:lineRule="exact"/>
              <w:jc w:val="center"/>
              <w:rPr>
                <w:rFonts w:ascii="宋体" w:hAnsi="Calibri" w:cs="宋体"/>
                <w:color w:val="000000"/>
                <w:kern w:val="0"/>
                <w:sz w:val="24"/>
              </w:rPr>
            </w:pPr>
            <w:r>
              <w:rPr>
                <w:rFonts w:ascii="宋体" w:hAnsi="Calibri" w:cs="宋体" w:hint="eastAsia"/>
                <w:color w:val="000000"/>
                <w:kern w:val="0"/>
                <w:sz w:val="24"/>
              </w:rPr>
              <w:t>投资者关系活动类别</w:t>
            </w:r>
          </w:p>
        </w:tc>
        <w:tc>
          <w:tcPr>
            <w:tcW w:w="3563" w:type="pct"/>
            <w:vAlign w:val="center"/>
          </w:tcPr>
          <w:p w:rsidR="00BA72A3" w:rsidRDefault="002012D1">
            <w:pPr>
              <w:autoSpaceDE w:val="0"/>
              <w:autoSpaceDN w:val="0"/>
              <w:adjustRightInd w:val="0"/>
              <w:spacing w:line="460" w:lineRule="exact"/>
              <w:rPr>
                <w:rFonts w:ascii="宋体" w:hAnsi="Calibri" w:cs="宋体"/>
                <w:color w:val="000000"/>
                <w:kern w:val="0"/>
                <w:sz w:val="24"/>
              </w:rPr>
            </w:pPr>
            <w:r>
              <w:rPr>
                <w:rFonts w:ascii="宋体" w:hAnsi="Calibri" w:cs="宋体" w:hint="eastAsia"/>
                <w:color w:val="000000"/>
                <w:kern w:val="0"/>
                <w:sz w:val="24"/>
                <w:lang w:bidi="ar"/>
              </w:rPr>
              <w:t>□特定对象调研     □分析师会议</w:t>
            </w:r>
          </w:p>
          <w:p w:rsidR="00BA72A3" w:rsidRDefault="002012D1">
            <w:pPr>
              <w:autoSpaceDE w:val="0"/>
              <w:autoSpaceDN w:val="0"/>
              <w:adjustRightInd w:val="0"/>
              <w:spacing w:line="460" w:lineRule="exact"/>
              <w:rPr>
                <w:rFonts w:ascii="宋体" w:hAnsi="Calibri" w:cs="宋体"/>
                <w:color w:val="000000"/>
                <w:kern w:val="0"/>
                <w:sz w:val="24"/>
              </w:rPr>
            </w:pPr>
            <w:r>
              <w:rPr>
                <w:rFonts w:ascii="宋体" w:hAnsi="Calibri" w:cs="宋体" w:hint="eastAsia"/>
                <w:color w:val="000000"/>
                <w:kern w:val="0"/>
                <w:sz w:val="24"/>
                <w:lang w:bidi="ar"/>
              </w:rPr>
              <w:t>□媒体采访         □业绩说明会</w:t>
            </w:r>
          </w:p>
          <w:p w:rsidR="00BA72A3" w:rsidRDefault="002012D1">
            <w:pPr>
              <w:autoSpaceDE w:val="0"/>
              <w:autoSpaceDN w:val="0"/>
              <w:adjustRightInd w:val="0"/>
              <w:spacing w:line="460" w:lineRule="exact"/>
              <w:rPr>
                <w:rFonts w:ascii="宋体" w:hAnsi="Calibri" w:cs="宋体"/>
                <w:color w:val="000000"/>
                <w:kern w:val="0"/>
                <w:sz w:val="24"/>
              </w:rPr>
            </w:pPr>
            <w:r>
              <w:rPr>
                <w:rFonts w:ascii="宋体" w:hAnsi="Calibri" w:cs="宋体" w:hint="eastAsia"/>
                <w:color w:val="000000"/>
                <w:kern w:val="0"/>
                <w:sz w:val="24"/>
                <w:lang w:bidi="ar"/>
              </w:rPr>
              <w:t xml:space="preserve">□新闻发布会       </w:t>
            </w:r>
            <w:r w:rsidR="00202B81">
              <w:rPr>
                <w:rFonts w:ascii="宋体" w:hAnsi="Calibri" w:cs="宋体" w:hint="eastAsia"/>
                <w:color w:val="000000"/>
                <w:kern w:val="0"/>
                <w:sz w:val="24"/>
                <w:lang w:bidi="ar"/>
              </w:rPr>
              <w:t>□</w:t>
            </w:r>
            <w:r>
              <w:rPr>
                <w:rFonts w:ascii="宋体" w:hAnsi="Calibri" w:cs="宋体" w:hint="eastAsia"/>
                <w:color w:val="000000"/>
                <w:kern w:val="0"/>
                <w:sz w:val="24"/>
                <w:lang w:bidi="ar"/>
              </w:rPr>
              <w:t>路演活动</w:t>
            </w:r>
          </w:p>
          <w:p w:rsidR="00BA72A3" w:rsidRDefault="00202B81">
            <w:pPr>
              <w:autoSpaceDE w:val="0"/>
              <w:autoSpaceDN w:val="0"/>
              <w:adjustRightInd w:val="0"/>
              <w:spacing w:line="460" w:lineRule="exact"/>
              <w:rPr>
                <w:rFonts w:ascii="宋体" w:hAnsi="Calibri" w:cs="宋体"/>
                <w:color w:val="000000"/>
                <w:kern w:val="0"/>
                <w:sz w:val="24"/>
                <w:lang w:eastAsia="zh"/>
              </w:rPr>
            </w:pPr>
            <w:r>
              <w:rPr>
                <w:rFonts w:ascii="宋体" w:hAnsi="Calibri" w:cs="宋体" w:hint="eastAsia"/>
                <w:color w:val="000000"/>
                <w:kern w:val="0"/>
                <w:sz w:val="24"/>
                <w:lang w:bidi="ar"/>
              </w:rPr>
              <w:t>□</w:t>
            </w:r>
            <w:r w:rsidR="002012D1">
              <w:rPr>
                <w:rFonts w:ascii="宋体" w:hAnsi="Calibri" w:cs="宋体" w:hint="eastAsia"/>
                <w:color w:val="000000"/>
                <w:kern w:val="0"/>
                <w:sz w:val="24"/>
                <w:lang w:bidi="ar"/>
              </w:rPr>
              <w:t>现场参观</w:t>
            </w:r>
            <w:r w:rsidR="002012D1">
              <w:rPr>
                <w:rFonts w:ascii="宋体" w:hAnsi="Calibri" w:cs="宋体" w:hint="eastAsia"/>
                <w:color w:val="000000"/>
                <w:kern w:val="0"/>
                <w:sz w:val="24"/>
                <w:lang w:eastAsia="zh" w:bidi="ar"/>
              </w:rPr>
              <w:t xml:space="preserve">         </w:t>
            </w:r>
            <w:r w:rsidR="002012D1">
              <w:rPr>
                <w:rFonts w:ascii="宋体" w:hAnsi="Calibri" w:cs="宋体" w:hint="eastAsia"/>
                <w:color w:val="000000"/>
                <w:kern w:val="0"/>
                <w:sz w:val="24"/>
                <w:lang w:bidi="ar"/>
              </w:rPr>
              <w:sym w:font="Wingdings 2" w:char="0052"/>
            </w:r>
            <w:r w:rsidR="002012D1">
              <w:rPr>
                <w:rFonts w:ascii="宋体" w:hAnsi="Calibri" w:cs="宋体" w:hint="eastAsia"/>
                <w:color w:val="000000"/>
                <w:kern w:val="0"/>
                <w:sz w:val="24"/>
                <w:lang w:eastAsia="zh" w:bidi="ar"/>
              </w:rPr>
              <w:t>电话会议</w:t>
            </w:r>
          </w:p>
          <w:p w:rsidR="00BA72A3" w:rsidRDefault="00202B81" w:rsidP="00202B81">
            <w:pPr>
              <w:widowControl/>
              <w:spacing w:line="460" w:lineRule="exact"/>
              <w:jc w:val="left"/>
              <w:rPr>
                <w:rFonts w:ascii="宋体" w:hAnsi="Calibri" w:cs="宋体"/>
                <w:color w:val="000000"/>
                <w:kern w:val="0"/>
                <w:sz w:val="24"/>
              </w:rPr>
            </w:pPr>
            <w:r>
              <w:rPr>
                <w:rFonts w:ascii="宋体" w:hAnsi="Calibri" w:cs="宋体" w:hint="eastAsia"/>
                <w:color w:val="000000"/>
                <w:kern w:val="0"/>
                <w:sz w:val="24"/>
                <w:lang w:bidi="ar"/>
              </w:rPr>
              <w:t>□</w:t>
            </w:r>
            <w:r w:rsidR="002012D1">
              <w:rPr>
                <w:rFonts w:ascii="宋体" w:hAnsi="Calibri" w:cs="宋体" w:hint="eastAsia"/>
                <w:color w:val="000000"/>
                <w:sz w:val="24"/>
                <w:lang w:bidi="ar"/>
              </w:rPr>
              <w:t>其他</w:t>
            </w:r>
          </w:p>
        </w:tc>
      </w:tr>
      <w:tr w:rsidR="00BA72A3" w:rsidRPr="00202B81" w:rsidTr="00A25EF1">
        <w:trPr>
          <w:trHeight w:val="10338"/>
          <w:jc w:val="center"/>
        </w:trPr>
        <w:tc>
          <w:tcPr>
            <w:tcW w:w="1437" w:type="pct"/>
            <w:vAlign w:val="center"/>
          </w:tcPr>
          <w:p w:rsidR="00BA72A3" w:rsidRDefault="002012D1">
            <w:pPr>
              <w:autoSpaceDE w:val="0"/>
              <w:autoSpaceDN w:val="0"/>
              <w:adjustRightInd w:val="0"/>
              <w:jc w:val="center"/>
              <w:rPr>
                <w:rFonts w:ascii="宋体" w:hAnsi="Calibri" w:cs="宋体"/>
                <w:color w:val="000000"/>
                <w:kern w:val="0"/>
                <w:sz w:val="24"/>
              </w:rPr>
            </w:pPr>
            <w:r>
              <w:rPr>
                <w:rFonts w:ascii="宋体" w:hAnsi="Calibri" w:cs="宋体" w:hint="eastAsia"/>
                <w:color w:val="000000"/>
                <w:kern w:val="0"/>
                <w:sz w:val="24"/>
              </w:rPr>
              <w:t>参与单位名称</w:t>
            </w:r>
          </w:p>
        </w:tc>
        <w:tc>
          <w:tcPr>
            <w:tcW w:w="3563" w:type="pct"/>
            <w:vAlign w:val="center"/>
          </w:tcPr>
          <w:p w:rsidR="00BA72A3" w:rsidRPr="00716BC2" w:rsidRDefault="00716BC2">
            <w:pPr>
              <w:autoSpaceDE w:val="0"/>
              <w:autoSpaceDN w:val="0"/>
              <w:adjustRightInd w:val="0"/>
              <w:spacing w:line="460" w:lineRule="exact"/>
              <w:rPr>
                <w:color w:val="000000"/>
                <w:kern w:val="0"/>
                <w:sz w:val="24"/>
                <w:lang w:eastAsia="zh"/>
              </w:rPr>
            </w:pPr>
            <w:r w:rsidRPr="00716BC2">
              <w:rPr>
                <w:rFonts w:hint="eastAsia"/>
                <w:color w:val="000000"/>
                <w:kern w:val="0"/>
                <w:sz w:val="24"/>
                <w:lang w:eastAsia="zh"/>
              </w:rPr>
              <w:t>国金证券；国泰海通证券；兴业证券；中信证券；中金公司；中信建投证券；广发证券；东吴证券；国海证券；西部证券；银河证券；国盛证券；华创证券；平安证券；东财证券；华泰证券；申万宏源证券；国信证券；东方证券；光大证券；长江证券；中泰证券；开源证券；中邮证券；万联证券；国融证券；华创证券自营；华泰证券自营；中金资管；上海东方证券资产管理有限公司；中信证券资产管理部；财通证券资产管理有限公司；国投证券资产管理有限公司；中银资产管理有限公司；南方基金管理股份有限公司；嘉实基金管理有限公司；富国基金管理有限公司；招商基金管理有限公司；鹏华基金管理有限公司；工银瑞信基金管理有限公司；天弘基金管理有限公司；中欧基金管理有限公司；交银施罗德基金管理有限公司；国泰基金管理有限公司；泰康资产管理有限责任公司；中国人寿养老保险股份有限公司；大家资产管理有限责任公司；建信养老；华泰资产管理有限公司；渤海人寿保险股份有限公司；</w:t>
            </w:r>
            <w:r w:rsidRPr="00716BC2">
              <w:rPr>
                <w:rFonts w:hint="eastAsia"/>
                <w:color w:val="000000"/>
                <w:kern w:val="0"/>
                <w:sz w:val="24"/>
                <w:lang w:eastAsia="zh"/>
              </w:rPr>
              <w:t>HSBC Global Asset Management (Hong Kong) Limited</w:t>
            </w:r>
            <w:r w:rsidRPr="00716BC2">
              <w:rPr>
                <w:rFonts w:hint="eastAsia"/>
                <w:color w:val="000000"/>
                <w:kern w:val="0"/>
                <w:sz w:val="24"/>
                <w:lang w:eastAsia="zh"/>
              </w:rPr>
              <w:t>；</w:t>
            </w:r>
            <w:r w:rsidRPr="00716BC2">
              <w:rPr>
                <w:rFonts w:hint="eastAsia"/>
                <w:color w:val="000000"/>
                <w:kern w:val="0"/>
                <w:sz w:val="24"/>
                <w:lang w:eastAsia="zh"/>
              </w:rPr>
              <w:t>Jain Global (Hong Kong) Limited</w:t>
            </w:r>
            <w:r w:rsidRPr="00716BC2">
              <w:rPr>
                <w:rFonts w:hint="eastAsia"/>
                <w:color w:val="000000"/>
                <w:kern w:val="0"/>
                <w:sz w:val="24"/>
                <w:lang w:eastAsia="zh"/>
              </w:rPr>
              <w:t>；中国东方国际资产管理有限公司；上海高毅资产管理合伙企业（有限合伙）；淡水泉（北京）投资管理有限公司；幻方量化；上海明汯投资管理有限公司；清池资本；银河基金管理有限公</w:t>
            </w:r>
            <w:r w:rsidRPr="00716BC2">
              <w:rPr>
                <w:rFonts w:hint="eastAsia"/>
                <w:color w:val="000000"/>
                <w:kern w:val="0"/>
                <w:sz w:val="24"/>
                <w:lang w:eastAsia="zh"/>
              </w:rPr>
              <w:lastRenderedPageBreak/>
              <w:t>司；浦银安盛基金管理有限公司；申万菱信基金管理有限公司；长城基金管理有限公司；长盛基金管理有限公司；平安基金管理有限公司；兴银基金；红塔红土基金管理有限公司；华泰保兴基金管理有限公司；路博迈基金管理（中国）有限公司；鹏扬基金管理有限公司；淳厚基金管理有限公司；明亚基金管理有限责任公司；天治基金管理有限公司；泰信基金管理有限公司；博远基金管理有限公司；富安达基金管理有限公司；富荣基金管理有限公司；华融基金管理有限公司；华宝信托有限责任公司；中融汇信期货有限公司；上海彤源投资发展有限公司；上海易正朗投资管理有限公司；上海泾溪投资管理合伙企业；上海贺腾资产管理有限公司；上海途灵资产管理有限公司；上海复霈投资管理有限公司；北京富智投资管理有限公司；广东正圆私募基金管理有限公司；广州市航长投资管理有限公司；景合私募基金管理（海南）有限公司；杭州汇升投资管理有限公司；深圳前海承势资本管理合伙企业（有限合伙）——连丰私募基金；深圳市尚诚资产管理有限责任公司；深圳市正德泰投资有限公司；深圳市道林资产管理有限公司；湖南长心私募基金管理有限公司；福建天朗资产管理有限公司；荷荷（北京）私募基金管理有限公司；谦璞投资</w:t>
            </w:r>
          </w:p>
        </w:tc>
      </w:tr>
      <w:tr w:rsidR="00BA72A3">
        <w:trPr>
          <w:trHeight w:val="624"/>
          <w:jc w:val="center"/>
        </w:trPr>
        <w:tc>
          <w:tcPr>
            <w:tcW w:w="1437" w:type="pct"/>
            <w:vAlign w:val="center"/>
          </w:tcPr>
          <w:p w:rsidR="00BA72A3" w:rsidRDefault="002012D1">
            <w:pPr>
              <w:autoSpaceDE w:val="0"/>
              <w:autoSpaceDN w:val="0"/>
              <w:adjustRightInd w:val="0"/>
              <w:jc w:val="center"/>
              <w:rPr>
                <w:rFonts w:ascii="宋体" w:hAnsi="Calibri" w:cs="宋体"/>
                <w:color w:val="000000"/>
                <w:kern w:val="0"/>
                <w:sz w:val="24"/>
              </w:rPr>
            </w:pPr>
            <w:r>
              <w:rPr>
                <w:rFonts w:ascii="宋体" w:hAnsi="Calibri" w:cs="宋体" w:hint="eastAsia"/>
                <w:color w:val="000000"/>
                <w:kern w:val="0"/>
                <w:sz w:val="24"/>
              </w:rPr>
              <w:lastRenderedPageBreak/>
              <w:t>时间</w:t>
            </w:r>
          </w:p>
        </w:tc>
        <w:tc>
          <w:tcPr>
            <w:tcW w:w="3563" w:type="pct"/>
            <w:vAlign w:val="center"/>
          </w:tcPr>
          <w:p w:rsidR="00BA72A3" w:rsidRDefault="002012D1">
            <w:pPr>
              <w:autoSpaceDE w:val="0"/>
              <w:autoSpaceDN w:val="0"/>
              <w:adjustRightInd w:val="0"/>
              <w:rPr>
                <w:color w:val="000000"/>
                <w:kern w:val="0"/>
                <w:sz w:val="24"/>
              </w:rPr>
            </w:pPr>
            <w:r>
              <w:rPr>
                <w:rFonts w:hint="eastAsia"/>
                <w:kern w:val="0"/>
                <w:sz w:val="24"/>
              </w:rPr>
              <w:t>2026</w:t>
            </w:r>
            <w:r>
              <w:rPr>
                <w:rFonts w:hint="eastAsia"/>
                <w:kern w:val="0"/>
                <w:sz w:val="24"/>
              </w:rPr>
              <w:t>年</w:t>
            </w:r>
            <w:r>
              <w:rPr>
                <w:rFonts w:hint="eastAsia"/>
                <w:kern w:val="0"/>
                <w:sz w:val="24"/>
                <w:lang w:eastAsia="zh"/>
              </w:rPr>
              <w:t>8</w:t>
            </w:r>
            <w:r>
              <w:rPr>
                <w:rFonts w:hint="eastAsia"/>
                <w:kern w:val="0"/>
                <w:sz w:val="24"/>
              </w:rPr>
              <w:t>月</w:t>
            </w:r>
            <w:r>
              <w:rPr>
                <w:rFonts w:hint="eastAsia"/>
                <w:kern w:val="0"/>
                <w:sz w:val="24"/>
                <w:lang w:eastAsia="zh"/>
              </w:rPr>
              <w:t>19</w:t>
            </w:r>
            <w:r>
              <w:rPr>
                <w:rFonts w:hint="eastAsia"/>
                <w:kern w:val="0"/>
                <w:sz w:val="24"/>
              </w:rPr>
              <w:t>日</w:t>
            </w:r>
            <w:r>
              <w:rPr>
                <w:rFonts w:hint="eastAsia"/>
                <w:kern w:val="0"/>
                <w:sz w:val="24"/>
              </w:rPr>
              <w:t xml:space="preserve"> 9:</w:t>
            </w:r>
            <w:r>
              <w:rPr>
                <w:rFonts w:hint="eastAsia"/>
                <w:kern w:val="0"/>
                <w:sz w:val="24"/>
                <w:lang w:eastAsia="zh"/>
              </w:rPr>
              <w:t>3</w:t>
            </w:r>
            <w:r>
              <w:rPr>
                <w:kern w:val="0"/>
                <w:sz w:val="24"/>
              </w:rPr>
              <w:t>0-</w:t>
            </w:r>
            <w:r>
              <w:rPr>
                <w:rFonts w:hint="eastAsia"/>
                <w:kern w:val="0"/>
                <w:sz w:val="24"/>
              </w:rPr>
              <w:t>10:</w:t>
            </w:r>
            <w:r>
              <w:rPr>
                <w:rFonts w:hint="eastAsia"/>
                <w:kern w:val="0"/>
                <w:sz w:val="24"/>
                <w:lang w:eastAsia="zh"/>
              </w:rPr>
              <w:t>3</w:t>
            </w:r>
            <w:r>
              <w:rPr>
                <w:kern w:val="0"/>
                <w:sz w:val="24"/>
              </w:rPr>
              <w:t>0</w:t>
            </w:r>
          </w:p>
        </w:tc>
      </w:tr>
      <w:tr w:rsidR="00BA72A3">
        <w:trPr>
          <w:trHeight w:val="624"/>
          <w:jc w:val="center"/>
        </w:trPr>
        <w:tc>
          <w:tcPr>
            <w:tcW w:w="1437" w:type="pct"/>
            <w:vAlign w:val="center"/>
          </w:tcPr>
          <w:p w:rsidR="00BA72A3" w:rsidRDefault="002012D1">
            <w:pPr>
              <w:autoSpaceDE w:val="0"/>
              <w:autoSpaceDN w:val="0"/>
              <w:adjustRightInd w:val="0"/>
              <w:jc w:val="center"/>
              <w:rPr>
                <w:rFonts w:ascii="宋体" w:hAnsi="Calibri" w:cs="宋体"/>
                <w:color w:val="000000"/>
                <w:kern w:val="0"/>
                <w:sz w:val="24"/>
              </w:rPr>
            </w:pPr>
            <w:r>
              <w:rPr>
                <w:rFonts w:ascii="宋体" w:hAnsi="Calibri" w:cs="宋体" w:hint="eastAsia"/>
                <w:color w:val="000000"/>
                <w:kern w:val="0"/>
                <w:sz w:val="24"/>
              </w:rPr>
              <w:t>地点</w:t>
            </w:r>
          </w:p>
        </w:tc>
        <w:tc>
          <w:tcPr>
            <w:tcW w:w="3563" w:type="pct"/>
            <w:vAlign w:val="center"/>
          </w:tcPr>
          <w:p w:rsidR="00BA72A3" w:rsidRDefault="002012D1">
            <w:pPr>
              <w:autoSpaceDE w:val="0"/>
              <w:autoSpaceDN w:val="0"/>
              <w:adjustRightInd w:val="0"/>
              <w:rPr>
                <w:rFonts w:ascii="宋体" w:hAnsi="Calibri" w:cs="宋体"/>
                <w:color w:val="000000"/>
                <w:kern w:val="0"/>
                <w:sz w:val="24"/>
              </w:rPr>
            </w:pPr>
            <w:r>
              <w:rPr>
                <w:rFonts w:ascii="宋体" w:hAnsi="Calibri" w:cs="宋体" w:hint="eastAsia"/>
                <w:color w:val="000000"/>
                <w:kern w:val="0"/>
                <w:sz w:val="24"/>
              </w:rPr>
              <w:t>电话会议</w:t>
            </w:r>
          </w:p>
        </w:tc>
      </w:tr>
      <w:tr w:rsidR="00BA72A3" w:rsidTr="00A3369B">
        <w:trPr>
          <w:trHeight w:val="1077"/>
          <w:jc w:val="center"/>
        </w:trPr>
        <w:tc>
          <w:tcPr>
            <w:tcW w:w="1437" w:type="pct"/>
            <w:vAlign w:val="center"/>
          </w:tcPr>
          <w:p w:rsidR="00BA72A3" w:rsidRDefault="002012D1">
            <w:pPr>
              <w:pStyle w:val="af5"/>
              <w:ind w:firstLineChars="0" w:firstLine="0"/>
              <w:jc w:val="center"/>
              <w:rPr>
                <w:shd w:val="clear" w:color="auto" w:fill="auto"/>
              </w:rPr>
            </w:pPr>
            <w:r>
              <w:rPr>
                <w:rFonts w:hint="eastAsia"/>
                <w:shd w:val="clear" w:color="auto" w:fill="auto"/>
              </w:rPr>
              <w:t>公司接待人员姓名</w:t>
            </w:r>
          </w:p>
        </w:tc>
        <w:tc>
          <w:tcPr>
            <w:tcW w:w="3563" w:type="pct"/>
            <w:vAlign w:val="center"/>
          </w:tcPr>
          <w:p w:rsidR="00BA72A3" w:rsidRDefault="002012D1">
            <w:pPr>
              <w:pStyle w:val="af5"/>
              <w:ind w:firstLineChars="0" w:firstLine="0"/>
              <w:rPr>
                <w:shd w:val="clear" w:color="auto" w:fill="auto"/>
              </w:rPr>
            </w:pPr>
            <w:r>
              <w:rPr>
                <w:rFonts w:hint="eastAsia"/>
                <w:shd w:val="clear" w:color="auto" w:fill="auto"/>
              </w:rPr>
              <w:t>董事长、总经理</w:t>
            </w:r>
            <w:r>
              <w:rPr>
                <w:rFonts w:hint="eastAsia"/>
                <w:shd w:val="clear" w:color="auto" w:fill="auto"/>
              </w:rPr>
              <w:t xml:space="preserve">   </w:t>
            </w:r>
            <w:r>
              <w:rPr>
                <w:rFonts w:hint="eastAsia"/>
                <w:shd w:val="clear" w:color="auto" w:fill="auto"/>
              </w:rPr>
              <w:t>孙黎先生</w:t>
            </w:r>
          </w:p>
          <w:p w:rsidR="00BA72A3" w:rsidRDefault="002012D1">
            <w:pPr>
              <w:pStyle w:val="af5"/>
              <w:ind w:firstLineChars="0" w:firstLine="0"/>
              <w:rPr>
                <w:shd w:val="clear" w:color="auto" w:fill="auto"/>
              </w:rPr>
            </w:pPr>
            <w:r>
              <w:rPr>
                <w:rFonts w:hint="eastAsia"/>
                <w:shd w:val="clear" w:color="auto" w:fill="auto"/>
              </w:rPr>
              <w:t>副总经理、</w:t>
            </w:r>
            <w:r>
              <w:rPr>
                <w:rFonts w:hint="eastAsia"/>
                <w:shd w:val="clear" w:color="auto" w:fill="auto"/>
                <w:lang w:eastAsia="zh"/>
              </w:rPr>
              <w:t>董事会秘书</w:t>
            </w:r>
            <w:r>
              <w:rPr>
                <w:rFonts w:hint="eastAsia"/>
                <w:shd w:val="clear" w:color="auto" w:fill="auto"/>
              </w:rPr>
              <w:t>、财务总监</w:t>
            </w:r>
            <w:r>
              <w:rPr>
                <w:rFonts w:hint="eastAsia"/>
                <w:shd w:val="clear" w:color="auto" w:fill="auto"/>
              </w:rPr>
              <w:t xml:space="preserve">   </w:t>
            </w:r>
            <w:r>
              <w:rPr>
                <w:rFonts w:hint="eastAsia"/>
                <w:shd w:val="clear" w:color="auto" w:fill="auto"/>
              </w:rPr>
              <w:t>杨毅玲女士</w:t>
            </w:r>
          </w:p>
        </w:tc>
      </w:tr>
      <w:tr w:rsidR="00BA72A3" w:rsidTr="00D80DDB">
        <w:trPr>
          <w:trHeight w:val="2117"/>
          <w:jc w:val="center"/>
        </w:trPr>
        <w:tc>
          <w:tcPr>
            <w:tcW w:w="1437" w:type="pct"/>
            <w:vAlign w:val="center"/>
          </w:tcPr>
          <w:p w:rsidR="00BA72A3" w:rsidRDefault="002012D1">
            <w:pPr>
              <w:autoSpaceDE w:val="0"/>
              <w:autoSpaceDN w:val="0"/>
              <w:adjustRightInd w:val="0"/>
              <w:jc w:val="center"/>
              <w:rPr>
                <w:rFonts w:ascii="宋体" w:hAnsi="Calibri" w:cs="宋体"/>
                <w:color w:val="000000"/>
                <w:kern w:val="0"/>
                <w:sz w:val="24"/>
              </w:rPr>
            </w:pPr>
            <w:r>
              <w:rPr>
                <w:rFonts w:ascii="宋体" w:hAnsi="Calibri" w:cs="宋体" w:hint="eastAsia"/>
                <w:color w:val="000000"/>
                <w:kern w:val="0"/>
                <w:sz w:val="24"/>
              </w:rPr>
              <w:lastRenderedPageBreak/>
              <w:t>投资者关系活动主要内容介绍</w:t>
            </w:r>
          </w:p>
        </w:tc>
        <w:tc>
          <w:tcPr>
            <w:tcW w:w="3563" w:type="pct"/>
            <w:shd w:val="clear" w:color="auto" w:fill="auto"/>
            <w:vAlign w:val="center"/>
          </w:tcPr>
          <w:p w:rsidR="00BA72A3" w:rsidRDefault="002012D1">
            <w:pPr>
              <w:pStyle w:val="af5"/>
              <w:spacing w:beforeLines="50" w:before="156" w:afterLines="50" w:after="156"/>
              <w:ind w:firstLine="482"/>
              <w:rPr>
                <w:b/>
                <w:color w:val="000000"/>
                <w:szCs w:val="24"/>
                <w:shd w:val="clear" w:color="auto" w:fill="auto"/>
                <w:lang w:eastAsia="zh"/>
              </w:rPr>
            </w:pPr>
            <w:r>
              <w:rPr>
                <w:rFonts w:hint="eastAsia"/>
                <w:b/>
                <w:color w:val="000000"/>
                <w:szCs w:val="24"/>
                <w:shd w:val="clear" w:color="auto" w:fill="auto"/>
              </w:rPr>
              <w:t>一、</w:t>
            </w:r>
            <w:r>
              <w:rPr>
                <w:rFonts w:hint="eastAsia"/>
                <w:b/>
                <w:color w:val="000000"/>
                <w:szCs w:val="24"/>
                <w:shd w:val="clear" w:color="auto" w:fill="auto"/>
                <w:lang w:eastAsia="zh"/>
              </w:rPr>
              <w:t>公司生长激素</w:t>
            </w:r>
            <w:proofErr w:type="gramStart"/>
            <w:r>
              <w:rPr>
                <w:rFonts w:hint="eastAsia"/>
                <w:b/>
                <w:color w:val="000000"/>
                <w:szCs w:val="24"/>
                <w:shd w:val="clear" w:color="auto" w:fill="auto"/>
                <w:lang w:eastAsia="zh"/>
              </w:rPr>
              <w:t>益佩生</w:t>
            </w:r>
            <w:proofErr w:type="gramEnd"/>
            <w:r>
              <w:rPr>
                <w:rFonts w:hint="eastAsia"/>
                <w:b/>
                <w:color w:val="000000"/>
                <w:szCs w:val="24"/>
                <w:shd w:val="clear" w:color="auto" w:fill="auto"/>
                <w:lang w:eastAsia="zh"/>
              </w:rPr>
              <w:t>暑期销售情况如何？全年预计对利润的增厚大致是多少？如何展望明年的销售？</w:t>
            </w:r>
          </w:p>
          <w:p w:rsidR="00BA72A3" w:rsidRDefault="002012D1">
            <w:pPr>
              <w:pStyle w:val="af5"/>
              <w:ind w:firstLine="480"/>
              <w:rPr>
                <w:color w:val="000000"/>
                <w:szCs w:val="24"/>
                <w:shd w:val="clear" w:color="auto" w:fill="auto"/>
              </w:rPr>
            </w:pPr>
            <w:r>
              <w:rPr>
                <w:rFonts w:hint="eastAsia"/>
                <w:color w:val="000000"/>
                <w:szCs w:val="24"/>
                <w:shd w:val="clear" w:color="auto" w:fill="auto"/>
              </w:rPr>
              <w:t>答：</w:t>
            </w:r>
            <w:proofErr w:type="gramStart"/>
            <w:r>
              <w:rPr>
                <w:rFonts w:hint="eastAsia"/>
                <w:color w:val="000000"/>
                <w:szCs w:val="24"/>
                <w:shd w:val="clear" w:color="auto" w:fill="auto"/>
              </w:rPr>
              <w:t>益佩生</w:t>
            </w:r>
            <w:proofErr w:type="gramEnd"/>
            <w:r>
              <w:rPr>
                <w:rFonts w:hint="eastAsia"/>
                <w:color w:val="000000"/>
                <w:szCs w:val="24"/>
                <w:shd w:val="clear" w:color="auto" w:fill="auto"/>
              </w:rPr>
              <w:t>目前销售情况基本符合预期。</w:t>
            </w:r>
            <w:proofErr w:type="gramStart"/>
            <w:r>
              <w:rPr>
                <w:rFonts w:hint="eastAsia"/>
                <w:color w:val="000000"/>
                <w:szCs w:val="24"/>
                <w:shd w:val="clear" w:color="auto" w:fill="auto"/>
              </w:rPr>
              <w:t>益佩生于</w:t>
            </w:r>
            <w:proofErr w:type="gramEnd"/>
            <w:r>
              <w:rPr>
                <w:rFonts w:hint="eastAsia"/>
                <w:color w:val="000000"/>
                <w:szCs w:val="24"/>
                <w:shd w:val="clear" w:color="auto" w:fill="auto"/>
              </w:rPr>
              <w:t>2025</w:t>
            </w:r>
            <w:r>
              <w:rPr>
                <w:rFonts w:hint="eastAsia"/>
                <w:color w:val="000000"/>
                <w:szCs w:val="24"/>
                <w:shd w:val="clear" w:color="auto" w:fill="auto"/>
              </w:rPr>
              <w:t>年</w:t>
            </w:r>
            <w:r>
              <w:rPr>
                <w:rFonts w:hint="eastAsia"/>
                <w:color w:val="000000"/>
                <w:szCs w:val="24"/>
                <w:shd w:val="clear" w:color="auto" w:fill="auto"/>
              </w:rPr>
              <w:t>5</w:t>
            </w:r>
            <w:r>
              <w:rPr>
                <w:rFonts w:hint="eastAsia"/>
                <w:color w:val="000000"/>
                <w:szCs w:val="24"/>
                <w:shd w:val="clear" w:color="auto" w:fill="auto"/>
              </w:rPr>
              <w:t>月获批，并于</w:t>
            </w:r>
            <w:r>
              <w:rPr>
                <w:rFonts w:hint="eastAsia"/>
                <w:color w:val="000000"/>
                <w:szCs w:val="24"/>
                <w:shd w:val="clear" w:color="auto" w:fill="auto"/>
              </w:rPr>
              <w:t>2025</w:t>
            </w:r>
            <w:r>
              <w:rPr>
                <w:rFonts w:hint="eastAsia"/>
                <w:color w:val="000000"/>
                <w:szCs w:val="24"/>
                <w:shd w:val="clear" w:color="auto" w:fill="auto"/>
              </w:rPr>
              <w:t>年</w:t>
            </w:r>
            <w:r>
              <w:rPr>
                <w:rFonts w:hint="eastAsia"/>
                <w:color w:val="000000"/>
                <w:szCs w:val="24"/>
                <w:shd w:val="clear" w:color="auto" w:fill="auto"/>
              </w:rPr>
              <w:t>12</w:t>
            </w:r>
            <w:r>
              <w:rPr>
                <w:rFonts w:hint="eastAsia"/>
                <w:color w:val="000000"/>
                <w:szCs w:val="24"/>
                <w:shd w:val="clear" w:color="auto" w:fill="auto"/>
              </w:rPr>
              <w:t>月纳入国家</w:t>
            </w:r>
            <w:proofErr w:type="gramStart"/>
            <w:r>
              <w:rPr>
                <w:rFonts w:hint="eastAsia"/>
                <w:color w:val="000000"/>
                <w:szCs w:val="24"/>
                <w:shd w:val="clear" w:color="auto" w:fill="auto"/>
              </w:rPr>
              <w:t>医</w:t>
            </w:r>
            <w:proofErr w:type="gramEnd"/>
            <w:r>
              <w:rPr>
                <w:rFonts w:hint="eastAsia"/>
                <w:color w:val="000000"/>
                <w:szCs w:val="24"/>
                <w:shd w:val="clear" w:color="auto" w:fill="auto"/>
              </w:rPr>
              <w:t>保目录，在治疗效果、安全性和使用便捷性方面具备显著的差异化优势，上市后快速获得医生和患者的认可。公司正按计划稳步开展市场推广活动，相信</w:t>
            </w:r>
            <w:r>
              <w:rPr>
                <w:rFonts w:hint="eastAsia"/>
                <w:color w:val="000000"/>
                <w:szCs w:val="24"/>
                <w:shd w:val="clear" w:color="auto" w:fill="auto"/>
              </w:rPr>
              <w:t>2026</w:t>
            </w:r>
            <w:r>
              <w:rPr>
                <w:rFonts w:hint="eastAsia"/>
                <w:color w:val="000000"/>
                <w:szCs w:val="24"/>
                <w:shd w:val="clear" w:color="auto" w:fill="auto"/>
              </w:rPr>
              <w:t>年</w:t>
            </w:r>
            <w:proofErr w:type="gramStart"/>
            <w:r>
              <w:rPr>
                <w:rFonts w:hint="eastAsia"/>
                <w:color w:val="000000"/>
                <w:szCs w:val="24"/>
                <w:shd w:val="clear" w:color="auto" w:fill="auto"/>
              </w:rPr>
              <w:t>益佩生</w:t>
            </w:r>
            <w:proofErr w:type="gramEnd"/>
            <w:r>
              <w:rPr>
                <w:rFonts w:hint="eastAsia"/>
                <w:color w:val="000000"/>
                <w:szCs w:val="24"/>
                <w:shd w:val="clear" w:color="auto" w:fill="auto"/>
              </w:rPr>
              <w:t>将取得良好的市场表现，目前进展基本符合预期。</w:t>
            </w:r>
          </w:p>
          <w:p w:rsidR="00BA72A3" w:rsidRDefault="002012D1">
            <w:pPr>
              <w:pStyle w:val="af5"/>
              <w:ind w:firstLine="480"/>
              <w:rPr>
                <w:color w:val="000000"/>
                <w:szCs w:val="24"/>
                <w:shd w:val="clear" w:color="auto" w:fill="auto"/>
                <w:lang w:eastAsia="zh"/>
              </w:rPr>
            </w:pPr>
            <w:r>
              <w:rPr>
                <w:rFonts w:hint="eastAsia"/>
                <w:color w:val="000000"/>
                <w:szCs w:val="24"/>
                <w:shd w:val="clear" w:color="auto" w:fill="auto"/>
                <w:lang w:eastAsia="zh"/>
              </w:rPr>
              <w:t>生长激素现有市场仍存在大量未被满足的需求，公司希望通过良性竞争推动行业进步，共同造福广大患者。长期来看，长效替代短效是技术进步的必然趋势，相比短效制剂的每日注射，长效制剂有利于提升患者的用药依从性和便捷性。同时，公司看好生长激素在代谢领域的长期发展潜力，后续将探索更多适应症拓展空间。</w:t>
            </w:r>
          </w:p>
          <w:p w:rsidR="00BA72A3" w:rsidRDefault="002012D1">
            <w:pPr>
              <w:pStyle w:val="af5"/>
              <w:numPr>
                <w:ilvl w:val="0"/>
                <w:numId w:val="1"/>
              </w:numPr>
              <w:spacing w:beforeLines="50" w:before="156" w:afterLines="50" w:after="156"/>
              <w:ind w:firstLine="482"/>
              <w:rPr>
                <w:b/>
                <w:color w:val="000000"/>
                <w:szCs w:val="24"/>
                <w:shd w:val="clear" w:color="auto" w:fill="auto"/>
                <w:lang w:eastAsia="zh"/>
              </w:rPr>
            </w:pPr>
            <w:r>
              <w:rPr>
                <w:rFonts w:hint="eastAsia"/>
                <w:b/>
                <w:color w:val="000000"/>
                <w:szCs w:val="24"/>
                <w:shd w:val="clear" w:color="auto" w:fill="auto"/>
                <w:lang w:eastAsia="zh"/>
              </w:rPr>
              <w:t>干扰素获批临床治愈适应症对销售推广和渗透率提升有怎样帮助？</w:t>
            </w:r>
          </w:p>
          <w:p w:rsidR="00BA72A3" w:rsidRDefault="002012D1">
            <w:pPr>
              <w:pStyle w:val="af5"/>
              <w:ind w:firstLine="480"/>
              <w:rPr>
                <w:rFonts w:ascii="宋体" w:hAnsi="宋体" w:cs="宋体"/>
                <w:szCs w:val="24"/>
              </w:rPr>
            </w:pPr>
            <w:r>
              <w:rPr>
                <w:rFonts w:hint="eastAsia"/>
                <w:color w:val="000000"/>
                <w:szCs w:val="24"/>
                <w:shd w:val="clear" w:color="auto" w:fill="auto"/>
              </w:rPr>
              <w:t>答：</w:t>
            </w:r>
            <w:r>
              <w:rPr>
                <w:szCs w:val="24"/>
              </w:rPr>
              <w:t>2017</w:t>
            </w:r>
            <w:r>
              <w:rPr>
                <w:szCs w:val="24"/>
              </w:rPr>
              <w:t>年</w:t>
            </w:r>
            <w:r>
              <w:rPr>
                <w:rFonts w:hint="eastAsia"/>
                <w:szCs w:val="24"/>
                <w:lang w:eastAsia="zh"/>
              </w:rPr>
              <w:t>，在</w:t>
            </w:r>
            <w:r>
              <w:rPr>
                <w:szCs w:val="24"/>
              </w:rPr>
              <w:t>美国</w:t>
            </w:r>
            <w:r>
              <w:rPr>
                <w:szCs w:val="24"/>
              </w:rPr>
              <w:t>AASLD</w:t>
            </w:r>
            <w:r>
              <w:rPr>
                <w:szCs w:val="24"/>
              </w:rPr>
              <w:t>年会上，派格</w:t>
            </w:r>
            <w:proofErr w:type="gramStart"/>
            <w:r>
              <w:rPr>
                <w:szCs w:val="24"/>
              </w:rPr>
              <w:t>宾用于</w:t>
            </w:r>
            <w:proofErr w:type="gramEnd"/>
            <w:r>
              <w:rPr>
                <w:szCs w:val="24"/>
              </w:rPr>
              <w:t>慢性乙肝临床治愈的扎实科学证据对外发布；</w:t>
            </w:r>
            <w:r>
              <w:rPr>
                <w:szCs w:val="24"/>
              </w:rPr>
              <w:t>2018</w:t>
            </w:r>
            <w:r>
              <w:rPr>
                <w:szCs w:val="24"/>
              </w:rPr>
              <w:t>年</w:t>
            </w:r>
            <w:r>
              <w:rPr>
                <w:rFonts w:ascii="宋体" w:hAnsi="宋体" w:cs="宋体"/>
                <w:szCs w:val="24"/>
              </w:rPr>
              <w:t>起，</w:t>
            </w:r>
            <w:r w:rsidR="00DE4510">
              <w:rPr>
                <w:rFonts w:ascii="宋体" w:hAnsi="宋体" w:cs="宋体" w:hint="eastAsia"/>
                <w:szCs w:val="24"/>
              </w:rPr>
              <w:t>“</w:t>
            </w:r>
            <w:r w:rsidR="00DE4510">
              <w:rPr>
                <w:rFonts w:ascii="宋体" w:hAnsi="宋体" w:cs="宋体"/>
                <w:szCs w:val="24"/>
              </w:rPr>
              <w:t>珠峰</w:t>
            </w:r>
            <w:r w:rsidR="00DE4510">
              <w:rPr>
                <w:rFonts w:ascii="宋体" w:hAnsi="宋体" w:cs="宋体" w:hint="eastAsia"/>
                <w:szCs w:val="24"/>
              </w:rPr>
              <w:t>”</w:t>
            </w:r>
            <w:r>
              <w:rPr>
                <w:rFonts w:ascii="宋体" w:hAnsi="宋体" w:cs="宋体"/>
                <w:szCs w:val="24"/>
              </w:rPr>
              <w:t>、</w:t>
            </w:r>
            <w:r w:rsidR="00DE4510">
              <w:rPr>
                <w:rFonts w:ascii="宋体" w:hAnsi="宋体" w:cs="宋体" w:hint="eastAsia"/>
                <w:szCs w:val="24"/>
              </w:rPr>
              <w:t>“</w:t>
            </w:r>
            <w:r w:rsidR="00DE4510">
              <w:rPr>
                <w:rFonts w:ascii="宋体" w:hAnsi="宋体" w:cs="宋体"/>
                <w:szCs w:val="24"/>
              </w:rPr>
              <w:t>绿洲</w:t>
            </w:r>
            <w:r w:rsidR="00DE4510">
              <w:rPr>
                <w:rFonts w:ascii="宋体" w:hAnsi="宋体" w:cs="宋体" w:hint="eastAsia"/>
                <w:szCs w:val="24"/>
              </w:rPr>
              <w:t>”</w:t>
            </w:r>
            <w:r>
              <w:rPr>
                <w:rFonts w:ascii="宋体" w:hAnsi="宋体" w:cs="宋体"/>
                <w:szCs w:val="24"/>
              </w:rPr>
              <w:t>等</w:t>
            </w:r>
            <w:r>
              <w:rPr>
                <w:rFonts w:ascii="宋体" w:hAnsi="宋体" w:cs="宋体" w:hint="eastAsia"/>
                <w:szCs w:val="24"/>
                <w:lang w:eastAsia="zh"/>
              </w:rPr>
              <w:t>真实世界研究</w:t>
            </w:r>
            <w:r>
              <w:rPr>
                <w:rFonts w:ascii="宋体" w:hAnsi="宋体" w:cs="宋体"/>
                <w:szCs w:val="24"/>
              </w:rPr>
              <w:t>项目陆续开展。</w:t>
            </w:r>
            <w:r>
              <w:rPr>
                <w:rFonts w:ascii="宋体" w:hAnsi="宋体" w:cs="宋体" w:hint="eastAsia"/>
                <w:szCs w:val="24"/>
                <w:lang w:eastAsia="zh"/>
              </w:rPr>
              <w:t>过去几年，</w:t>
            </w:r>
            <w:r>
              <w:rPr>
                <w:rFonts w:ascii="宋体" w:hAnsi="宋体" w:cs="宋体"/>
                <w:szCs w:val="24"/>
              </w:rPr>
              <w:t>公司主要致力于持续积累扎实</w:t>
            </w:r>
            <w:r>
              <w:rPr>
                <w:rFonts w:ascii="宋体" w:hAnsi="宋体" w:cs="宋体" w:hint="eastAsia"/>
                <w:szCs w:val="24"/>
                <w:lang w:eastAsia="zh"/>
              </w:rPr>
              <w:t>、</w:t>
            </w:r>
            <w:r>
              <w:rPr>
                <w:rFonts w:ascii="宋体" w:hAnsi="宋体" w:cs="宋体"/>
                <w:szCs w:val="24"/>
              </w:rPr>
              <w:t>充分的循证医学证据。</w:t>
            </w:r>
            <w:r>
              <w:rPr>
                <w:rFonts w:hint="eastAsia"/>
                <w:color w:val="000000"/>
                <w:szCs w:val="24"/>
                <w:shd w:val="clear" w:color="auto" w:fill="auto"/>
              </w:rPr>
              <w:t>2025</w:t>
            </w:r>
            <w:r>
              <w:rPr>
                <w:rFonts w:hint="eastAsia"/>
                <w:color w:val="000000"/>
                <w:szCs w:val="24"/>
                <w:shd w:val="clear" w:color="auto" w:fill="auto"/>
              </w:rPr>
              <w:t>年</w:t>
            </w:r>
            <w:r>
              <w:rPr>
                <w:rFonts w:hint="eastAsia"/>
                <w:color w:val="000000"/>
                <w:szCs w:val="24"/>
                <w:shd w:val="clear" w:color="auto" w:fill="auto"/>
              </w:rPr>
              <w:t>10</w:t>
            </w:r>
            <w:r>
              <w:rPr>
                <w:rFonts w:hint="eastAsia"/>
                <w:color w:val="000000"/>
                <w:szCs w:val="24"/>
                <w:shd w:val="clear" w:color="auto" w:fill="auto"/>
              </w:rPr>
              <w:t>月，派格宾联合核苷（酸）类似物用于成人慢性乙型肝炎患</w:t>
            </w:r>
            <w:bookmarkStart w:id="0" w:name="_GoBack"/>
            <w:bookmarkEnd w:id="0"/>
            <w:r>
              <w:rPr>
                <w:rFonts w:hint="eastAsia"/>
                <w:color w:val="000000"/>
                <w:szCs w:val="24"/>
                <w:shd w:val="clear" w:color="auto" w:fill="auto"/>
              </w:rPr>
              <w:t>者</w:t>
            </w:r>
            <w:r>
              <w:rPr>
                <w:rFonts w:hint="eastAsia"/>
                <w:color w:val="000000"/>
                <w:szCs w:val="24"/>
                <w:shd w:val="clear" w:color="auto" w:fill="auto"/>
              </w:rPr>
              <w:t>HBsAg</w:t>
            </w:r>
            <w:r>
              <w:rPr>
                <w:rFonts w:hint="eastAsia"/>
                <w:color w:val="000000"/>
                <w:szCs w:val="24"/>
                <w:shd w:val="clear" w:color="auto" w:fill="auto"/>
              </w:rPr>
              <w:t>持续清除的新增适应症获批，</w:t>
            </w:r>
            <w:r>
              <w:rPr>
                <w:rFonts w:hint="eastAsia"/>
                <w:color w:val="000000"/>
                <w:szCs w:val="24"/>
                <w:shd w:val="clear" w:color="auto" w:fill="auto"/>
                <w:lang w:eastAsia="zh"/>
              </w:rPr>
              <w:t>成为全球首个以“临床治愈”为治疗终点的药物，打破“慢性乙肝不可治愈”的传统理念</w:t>
            </w:r>
            <w:r>
              <w:rPr>
                <w:rFonts w:hint="eastAsia"/>
                <w:color w:val="000000"/>
                <w:szCs w:val="24"/>
                <w:shd w:val="clear" w:color="auto" w:fill="auto"/>
              </w:rPr>
              <w:t>，</w:t>
            </w:r>
            <w:r>
              <w:rPr>
                <w:rFonts w:hint="eastAsia"/>
                <w:color w:val="000000"/>
                <w:szCs w:val="24"/>
                <w:shd w:val="clear" w:color="auto" w:fill="auto"/>
                <w:lang w:eastAsia="zh"/>
              </w:rPr>
              <w:t>也标志着</w:t>
            </w:r>
            <w:r>
              <w:rPr>
                <w:rFonts w:ascii="宋体" w:hAnsi="宋体" w:cs="宋体"/>
                <w:szCs w:val="24"/>
              </w:rPr>
              <w:t>前述多年科研与临床工作</w:t>
            </w:r>
            <w:r>
              <w:rPr>
                <w:rFonts w:ascii="宋体" w:hAnsi="宋体" w:cs="宋体" w:hint="eastAsia"/>
                <w:szCs w:val="24"/>
                <w:lang w:eastAsia="zh"/>
              </w:rPr>
              <w:t>基本形成闭环。</w:t>
            </w:r>
          </w:p>
          <w:p w:rsidR="00BA72A3" w:rsidRDefault="002012D1">
            <w:pPr>
              <w:pStyle w:val="af5"/>
              <w:ind w:firstLine="480"/>
              <w:rPr>
                <w:rFonts w:ascii="宋体" w:hAnsi="宋体" w:cs="宋体"/>
                <w:szCs w:val="24"/>
                <w:lang w:eastAsia="zh"/>
              </w:rPr>
            </w:pPr>
            <w:r>
              <w:rPr>
                <w:rFonts w:ascii="宋体" w:hAnsi="宋体" w:cs="宋体"/>
                <w:szCs w:val="24"/>
              </w:rPr>
              <w:t>本次增加适应症带来的核心变化是行业认知的转</w:t>
            </w:r>
            <w:r>
              <w:rPr>
                <w:rFonts w:ascii="宋体" w:hAnsi="宋体" w:cs="宋体"/>
                <w:szCs w:val="24"/>
              </w:rPr>
              <w:lastRenderedPageBreak/>
              <w:t>变，从过去认为“乙肝表面抗原不能清除”，到现在逐步转变为“可预期的临床治愈”，并且有扎实严谨的循证医学证据作为支撑。优势人群临床治愈率实现大幅跨越，从以往</w:t>
            </w:r>
            <w:r>
              <w:rPr>
                <w:szCs w:val="24"/>
              </w:rPr>
              <w:t>的</w:t>
            </w:r>
            <w:r>
              <w:rPr>
                <w:szCs w:val="24"/>
              </w:rPr>
              <w:t>1%</w:t>
            </w:r>
            <w:r w:rsidR="00B202F3">
              <w:rPr>
                <w:szCs w:val="24"/>
              </w:rPr>
              <w:t>-</w:t>
            </w:r>
            <w:r>
              <w:rPr>
                <w:szCs w:val="24"/>
              </w:rPr>
              <w:t>3%</w:t>
            </w:r>
            <w:r>
              <w:rPr>
                <w:szCs w:val="24"/>
              </w:rPr>
              <w:t>提升至</w:t>
            </w:r>
            <w:r>
              <w:rPr>
                <w:szCs w:val="24"/>
              </w:rPr>
              <w:t>30%</w:t>
            </w:r>
            <w:r>
              <w:rPr>
                <w:szCs w:val="24"/>
              </w:rPr>
              <w:t>以</w:t>
            </w:r>
            <w:r>
              <w:rPr>
                <w:rFonts w:ascii="宋体" w:hAnsi="宋体" w:cs="宋体"/>
                <w:szCs w:val="24"/>
              </w:rPr>
              <w:t>上。</w:t>
            </w:r>
            <w:r>
              <w:rPr>
                <w:rFonts w:hint="eastAsia"/>
                <w:color w:val="000000"/>
                <w:szCs w:val="24"/>
                <w:shd w:val="clear" w:color="auto" w:fill="auto"/>
              </w:rPr>
              <w:t>后续随着更多循证证据</w:t>
            </w:r>
            <w:r>
              <w:rPr>
                <w:rFonts w:hint="eastAsia"/>
                <w:color w:val="000000"/>
                <w:szCs w:val="24"/>
                <w:shd w:val="clear" w:color="auto" w:fill="auto"/>
                <w:lang w:eastAsia="zh"/>
              </w:rPr>
              <w:t>的</w:t>
            </w:r>
            <w:r>
              <w:rPr>
                <w:rFonts w:hint="eastAsia"/>
                <w:color w:val="000000"/>
                <w:szCs w:val="24"/>
                <w:shd w:val="clear" w:color="auto" w:fill="auto"/>
              </w:rPr>
              <w:t>落地，证实派格宾相较口服抗病毒药物可显著降低肝癌发生风险，</w:t>
            </w:r>
            <w:r>
              <w:rPr>
                <w:rFonts w:hint="eastAsia"/>
                <w:color w:val="000000"/>
                <w:szCs w:val="24"/>
                <w:shd w:val="clear" w:color="auto" w:fill="auto"/>
                <w:lang w:eastAsia="zh"/>
              </w:rPr>
              <w:t>其在</w:t>
            </w:r>
            <w:r>
              <w:rPr>
                <w:rFonts w:hint="eastAsia"/>
                <w:color w:val="000000"/>
                <w:szCs w:val="24"/>
                <w:shd w:val="clear" w:color="auto" w:fill="auto"/>
              </w:rPr>
              <w:t>慢乙肝临床治愈的临床应用空间将持续拓宽。</w:t>
            </w:r>
            <w:r>
              <w:rPr>
                <w:rFonts w:ascii="宋体" w:hAnsi="宋体" w:cs="宋体"/>
                <w:szCs w:val="24"/>
              </w:rPr>
              <w:t>在派格宾作为免疫调节剂用于慢乙肝临床治愈领域，中国的专家和科学家引领产出了十分扎实的循证医学与科研证据。</w:t>
            </w:r>
          </w:p>
          <w:p w:rsidR="00BA72A3" w:rsidRDefault="002012D1">
            <w:pPr>
              <w:pStyle w:val="af5"/>
              <w:ind w:firstLine="480"/>
              <w:rPr>
                <w:color w:val="000000"/>
                <w:szCs w:val="24"/>
                <w:shd w:val="clear" w:color="auto" w:fill="auto"/>
              </w:rPr>
            </w:pPr>
            <w:r>
              <w:rPr>
                <w:rFonts w:hint="eastAsia"/>
                <w:color w:val="000000"/>
                <w:szCs w:val="24"/>
                <w:shd w:val="clear" w:color="auto" w:fill="auto"/>
                <w:lang w:eastAsia="zh"/>
              </w:rPr>
              <w:t>未来，</w:t>
            </w:r>
            <w:r>
              <w:rPr>
                <w:rFonts w:hint="eastAsia"/>
                <w:color w:val="000000"/>
                <w:szCs w:val="24"/>
                <w:shd w:val="clear" w:color="auto" w:fill="auto"/>
              </w:rPr>
              <w:t>随着慢乙肝临床治愈真实世界研究项目科学证据的不断积累、慢乙肝防治指南对乙肝临床治愈推荐意见的逐步完善以及乙肝临床治愈门诊规范化建设与能力提升项目的持续推进，临床专家和患者对乙肝临床治愈的科学认知将进一步加深，推动产品提升在抗病毒治疗领域的渗透率。</w:t>
            </w:r>
          </w:p>
          <w:p w:rsidR="00BA72A3" w:rsidRDefault="002012D1">
            <w:pPr>
              <w:pStyle w:val="af5"/>
              <w:spacing w:beforeLines="50" w:before="156" w:afterLines="50" w:after="156"/>
              <w:ind w:firstLine="482"/>
              <w:rPr>
                <w:b/>
                <w:color w:val="000000"/>
                <w:szCs w:val="24"/>
                <w:shd w:val="clear" w:color="auto" w:fill="auto"/>
                <w:lang w:eastAsia="zh"/>
              </w:rPr>
            </w:pPr>
            <w:r>
              <w:rPr>
                <w:rFonts w:hint="eastAsia"/>
                <w:b/>
                <w:color w:val="000000"/>
                <w:szCs w:val="24"/>
                <w:shd w:val="clear" w:color="auto" w:fill="auto"/>
              </w:rPr>
              <w:t>三、</w:t>
            </w:r>
            <w:r>
              <w:rPr>
                <w:rFonts w:hint="eastAsia"/>
                <w:b/>
                <w:color w:val="000000"/>
                <w:szCs w:val="24"/>
                <w:shd w:val="clear" w:color="auto" w:fill="auto"/>
                <w:lang w:eastAsia="zh"/>
              </w:rPr>
              <w:t>后续对生长激素价格的预期？生长激素目前的新患和入院情况？</w:t>
            </w:r>
          </w:p>
          <w:p w:rsidR="00BA72A3" w:rsidRDefault="002012D1" w:rsidP="00202B81">
            <w:pPr>
              <w:pStyle w:val="af5"/>
              <w:spacing w:beforeLines="50" w:before="156"/>
              <w:ind w:firstLine="480"/>
              <w:rPr>
                <w:color w:val="000000"/>
                <w:szCs w:val="24"/>
                <w:shd w:val="clear" w:color="auto" w:fill="auto"/>
                <w:lang w:eastAsia="zh"/>
              </w:rPr>
            </w:pPr>
            <w:r>
              <w:rPr>
                <w:rFonts w:ascii="宋体" w:hAnsi="宋体" w:cs="宋体" w:hint="eastAsia"/>
                <w:color w:val="000000"/>
                <w:szCs w:val="24"/>
                <w:lang w:eastAsia="zh"/>
              </w:rPr>
              <w:t>答：公司始终秉持以客户为中心的核心理念，根据市场调研反馈综合考量产品定价。</w:t>
            </w:r>
            <w:proofErr w:type="gramStart"/>
            <w:r>
              <w:rPr>
                <w:rFonts w:hint="eastAsia"/>
                <w:color w:val="000000"/>
                <w:szCs w:val="24"/>
                <w:shd w:val="clear" w:color="auto" w:fill="auto"/>
              </w:rPr>
              <w:t>益佩生</w:t>
            </w:r>
            <w:proofErr w:type="gramEnd"/>
            <w:r>
              <w:rPr>
                <w:rFonts w:hint="eastAsia"/>
                <w:color w:val="000000"/>
                <w:szCs w:val="24"/>
                <w:shd w:val="clear" w:color="auto" w:fill="auto"/>
              </w:rPr>
              <w:t>纳入国家</w:t>
            </w:r>
            <w:proofErr w:type="gramStart"/>
            <w:r>
              <w:rPr>
                <w:rFonts w:hint="eastAsia"/>
                <w:color w:val="000000"/>
                <w:szCs w:val="24"/>
                <w:shd w:val="clear" w:color="auto" w:fill="auto"/>
              </w:rPr>
              <w:t>医</w:t>
            </w:r>
            <w:proofErr w:type="gramEnd"/>
            <w:r>
              <w:rPr>
                <w:rFonts w:hint="eastAsia"/>
                <w:color w:val="000000"/>
                <w:szCs w:val="24"/>
                <w:shd w:val="clear" w:color="auto" w:fill="auto"/>
              </w:rPr>
              <w:t>保目录</w:t>
            </w:r>
            <w:r>
              <w:rPr>
                <w:rFonts w:hint="eastAsia"/>
                <w:color w:val="000000"/>
                <w:szCs w:val="24"/>
                <w:shd w:val="clear" w:color="auto" w:fill="auto"/>
                <w:lang w:eastAsia="zh"/>
              </w:rPr>
              <w:t>后，有效降低了患者长期治疗的用药门槛，带动医院准入效率提高，覆盖人群与用药可及性明显提升。后续公司将根据市场变化，在做好产品的前提下，进一步优化经营策略。目前益佩生整体新患情况基本符合预期。</w:t>
            </w:r>
          </w:p>
          <w:p w:rsidR="00BA72A3" w:rsidRDefault="002012D1">
            <w:pPr>
              <w:pStyle w:val="af5"/>
              <w:spacing w:beforeLines="50" w:before="156" w:afterLines="50" w:after="156"/>
              <w:ind w:firstLine="482"/>
              <w:rPr>
                <w:b/>
                <w:color w:val="000000"/>
                <w:szCs w:val="24"/>
                <w:shd w:val="clear" w:color="auto" w:fill="auto"/>
                <w:lang w:eastAsia="zh"/>
              </w:rPr>
            </w:pPr>
            <w:r>
              <w:rPr>
                <w:rFonts w:hint="eastAsia"/>
                <w:b/>
                <w:color w:val="000000"/>
                <w:szCs w:val="24"/>
                <w:shd w:val="clear" w:color="auto" w:fill="auto"/>
              </w:rPr>
              <w:t>四、</w:t>
            </w:r>
            <w:r>
              <w:rPr>
                <w:rFonts w:hint="eastAsia"/>
                <w:b/>
                <w:color w:val="000000"/>
                <w:szCs w:val="24"/>
                <w:shd w:val="clear" w:color="auto" w:fill="auto"/>
                <w:lang w:eastAsia="zh"/>
              </w:rPr>
              <w:t>派格宾适应症扩展后在基层医院的准入是否快速提升？</w:t>
            </w:r>
          </w:p>
          <w:p w:rsidR="00BA72A3" w:rsidRDefault="002012D1">
            <w:pPr>
              <w:pStyle w:val="af5"/>
              <w:ind w:firstLine="480"/>
              <w:rPr>
                <w:color w:val="000000"/>
                <w:szCs w:val="24"/>
                <w:shd w:val="clear" w:color="auto" w:fill="auto"/>
              </w:rPr>
            </w:pPr>
            <w:r>
              <w:rPr>
                <w:rFonts w:hint="eastAsia"/>
                <w:color w:val="000000"/>
                <w:szCs w:val="24"/>
                <w:shd w:val="clear" w:color="auto" w:fill="auto"/>
              </w:rPr>
              <w:t>答：</w:t>
            </w:r>
            <w:r>
              <w:rPr>
                <w:rFonts w:hint="eastAsia"/>
                <w:color w:val="000000"/>
                <w:szCs w:val="24"/>
                <w:shd w:val="clear" w:color="auto" w:fill="auto"/>
                <w:lang w:eastAsia="zh"/>
              </w:rPr>
              <w:t>派格宾的临床应用与专家的干扰素应用水平有较强的相关性。</w:t>
            </w:r>
            <w:r>
              <w:rPr>
                <w:rFonts w:ascii="宋体" w:hAnsi="宋体" w:cs="宋体"/>
                <w:szCs w:val="24"/>
              </w:rPr>
              <w:t>目前临床医生在干扰素的应用上呈现以下特征：在对高水平表面抗原患者进行治疗时，经验丰富的医生倾向采用干扰素联合核苷（酸）类似</w:t>
            </w:r>
            <w:r>
              <w:rPr>
                <w:rFonts w:ascii="宋体" w:hAnsi="宋体" w:cs="宋体"/>
                <w:szCs w:val="24"/>
              </w:rPr>
              <w:lastRenderedPageBreak/>
              <w:t>物的方案，旨在将高表面抗原水平降至低水平，低表面抗原水平转换为优势人群，最终追求实现临床治愈的目标。但现阶段，多数医生仍选择以低表面抗原人群作为干扰素治疗的主要启动人群。随着</w:t>
            </w:r>
            <w:proofErr w:type="gramStart"/>
            <w:r>
              <w:rPr>
                <w:rFonts w:ascii="宋体" w:hAnsi="宋体" w:cs="宋体"/>
                <w:szCs w:val="24"/>
              </w:rPr>
              <w:t>医</w:t>
            </w:r>
            <w:proofErr w:type="gramEnd"/>
            <w:r>
              <w:rPr>
                <w:rFonts w:ascii="宋体" w:hAnsi="宋体" w:cs="宋体"/>
                <w:szCs w:val="24"/>
              </w:rPr>
              <w:t>联体建设推进，</w:t>
            </w:r>
            <w:r>
              <w:rPr>
                <w:rFonts w:hint="eastAsia"/>
                <w:color w:val="000000"/>
                <w:szCs w:val="24"/>
                <w:shd w:val="clear" w:color="auto" w:fill="auto"/>
                <w:lang w:eastAsia="zh"/>
              </w:rPr>
              <w:t>高等级中心医院的专家会到基层</w:t>
            </w:r>
            <w:r w:rsidR="00A25EF1">
              <w:rPr>
                <w:color w:val="000000"/>
                <w:szCs w:val="24"/>
                <w:shd w:val="clear" w:color="auto" w:fill="auto"/>
                <w:lang w:eastAsia="zh"/>
              </w:rPr>
              <w:t>/</w:t>
            </w:r>
            <w:r>
              <w:rPr>
                <w:rFonts w:hint="eastAsia"/>
                <w:color w:val="000000"/>
                <w:szCs w:val="24"/>
                <w:shd w:val="clear" w:color="auto" w:fill="auto"/>
                <w:lang w:eastAsia="zh"/>
              </w:rPr>
              <w:t>社区医院指导临床应用</w:t>
            </w:r>
            <w:r>
              <w:rPr>
                <w:rFonts w:ascii="宋体" w:hAnsi="宋体" w:cs="宋体"/>
                <w:szCs w:val="24"/>
              </w:rPr>
              <w:t>，带动基层应用提升，</w:t>
            </w:r>
            <w:r>
              <w:rPr>
                <w:rFonts w:ascii="宋体" w:hAnsi="宋体" w:cs="宋体" w:hint="eastAsia"/>
                <w:szCs w:val="24"/>
                <w:lang w:eastAsia="zh"/>
              </w:rPr>
              <w:t>这</w:t>
            </w:r>
            <w:r>
              <w:rPr>
                <w:rFonts w:ascii="宋体" w:hAnsi="宋体" w:cs="宋体"/>
                <w:szCs w:val="24"/>
              </w:rPr>
              <w:t>是自然流动、循序渐进的过程</w:t>
            </w:r>
            <w:r>
              <w:rPr>
                <w:rFonts w:hint="eastAsia"/>
                <w:color w:val="000000"/>
                <w:szCs w:val="24"/>
                <w:shd w:val="clear" w:color="auto" w:fill="auto"/>
              </w:rPr>
              <w:t>。</w:t>
            </w:r>
          </w:p>
          <w:p w:rsidR="00BA72A3" w:rsidRDefault="002012D1">
            <w:pPr>
              <w:pStyle w:val="af5"/>
              <w:spacing w:beforeLines="50" w:before="156" w:afterLines="50" w:after="156"/>
              <w:ind w:firstLine="482"/>
              <w:rPr>
                <w:b/>
                <w:color w:val="000000"/>
                <w:szCs w:val="24"/>
                <w:shd w:val="clear" w:color="auto" w:fill="auto"/>
              </w:rPr>
            </w:pPr>
            <w:r>
              <w:rPr>
                <w:rFonts w:hint="eastAsia"/>
                <w:b/>
                <w:color w:val="000000"/>
                <w:szCs w:val="24"/>
                <w:shd w:val="clear" w:color="auto" w:fill="auto"/>
              </w:rPr>
              <w:t>五、</w:t>
            </w:r>
            <w:r>
              <w:rPr>
                <w:rFonts w:hint="eastAsia"/>
                <w:b/>
                <w:color w:val="000000"/>
                <w:szCs w:val="24"/>
                <w:shd w:val="clear" w:color="auto" w:fill="auto"/>
                <w:lang w:eastAsia="zh"/>
              </w:rPr>
              <w:t>ACT201</w:t>
            </w:r>
            <w:r>
              <w:rPr>
                <w:rFonts w:hint="eastAsia"/>
                <w:b/>
                <w:color w:val="000000"/>
                <w:szCs w:val="24"/>
                <w:shd w:val="clear" w:color="auto" w:fill="auto"/>
                <w:lang w:eastAsia="zh"/>
              </w:rPr>
              <w:t>及</w:t>
            </w:r>
            <w:r>
              <w:rPr>
                <w:rFonts w:hint="eastAsia"/>
                <w:b/>
                <w:color w:val="000000"/>
                <w:szCs w:val="24"/>
                <w:shd w:val="clear" w:color="auto" w:fill="auto"/>
                <w:lang w:eastAsia="zh"/>
              </w:rPr>
              <w:t>ALG-000184</w:t>
            </w:r>
            <w:r>
              <w:rPr>
                <w:rFonts w:hint="eastAsia"/>
                <w:b/>
                <w:color w:val="000000"/>
                <w:szCs w:val="24"/>
                <w:shd w:val="clear" w:color="auto" w:fill="auto"/>
                <w:lang w:eastAsia="zh"/>
              </w:rPr>
              <w:t>目前临床推进情况？今年及明年研发费用预期？</w:t>
            </w:r>
          </w:p>
          <w:p w:rsidR="00BA72A3" w:rsidRDefault="002012D1">
            <w:pPr>
              <w:pStyle w:val="af5"/>
              <w:ind w:firstLine="480"/>
              <w:rPr>
                <w:color w:val="000000"/>
                <w:szCs w:val="24"/>
                <w:shd w:val="clear" w:color="auto" w:fill="auto"/>
                <w:lang w:eastAsia="zh"/>
              </w:rPr>
            </w:pPr>
            <w:r>
              <w:rPr>
                <w:rFonts w:hint="eastAsia"/>
                <w:color w:val="000000"/>
                <w:szCs w:val="24"/>
                <w:shd w:val="clear" w:color="auto" w:fill="auto"/>
              </w:rPr>
              <w:t>答：</w:t>
            </w:r>
            <w:r>
              <w:rPr>
                <w:rFonts w:hint="eastAsia"/>
                <w:color w:val="000000"/>
                <w:szCs w:val="24"/>
                <w:shd w:val="clear" w:color="auto" w:fill="auto"/>
                <w:lang w:eastAsia="zh"/>
              </w:rPr>
              <w:t>ACT201</w:t>
            </w:r>
            <w:r>
              <w:rPr>
                <w:rFonts w:hint="eastAsia"/>
                <w:color w:val="000000"/>
                <w:szCs w:val="24"/>
                <w:shd w:val="clear" w:color="auto" w:fill="auto"/>
                <w:lang w:eastAsia="zh"/>
              </w:rPr>
              <w:t>于</w:t>
            </w:r>
            <w:r>
              <w:rPr>
                <w:rFonts w:hint="eastAsia"/>
                <w:color w:val="000000"/>
                <w:szCs w:val="24"/>
                <w:shd w:val="clear" w:color="auto" w:fill="auto"/>
                <w:lang w:eastAsia="zh"/>
              </w:rPr>
              <w:t>2026</w:t>
            </w:r>
            <w:r>
              <w:rPr>
                <w:rFonts w:hint="eastAsia"/>
                <w:color w:val="000000"/>
                <w:szCs w:val="24"/>
                <w:shd w:val="clear" w:color="auto" w:fill="auto"/>
                <w:lang w:eastAsia="zh"/>
              </w:rPr>
              <w:t>年</w:t>
            </w:r>
            <w:r>
              <w:rPr>
                <w:rFonts w:hint="eastAsia"/>
                <w:color w:val="000000"/>
                <w:szCs w:val="24"/>
                <w:shd w:val="clear" w:color="auto" w:fill="auto"/>
                <w:lang w:eastAsia="zh"/>
              </w:rPr>
              <w:t>7</w:t>
            </w:r>
            <w:r>
              <w:rPr>
                <w:rFonts w:hint="eastAsia"/>
                <w:color w:val="000000"/>
                <w:szCs w:val="24"/>
                <w:shd w:val="clear" w:color="auto" w:fill="auto"/>
                <w:lang w:eastAsia="zh"/>
              </w:rPr>
              <w:t>月获批开展慢乙肝临床试验，</w:t>
            </w:r>
            <w:r>
              <w:rPr>
                <w:rFonts w:hint="eastAsia"/>
                <w:color w:val="000000"/>
                <w:szCs w:val="24"/>
                <w:shd w:val="clear" w:color="auto" w:fill="auto"/>
              </w:rPr>
              <w:t>并</w:t>
            </w:r>
            <w:r>
              <w:rPr>
                <w:rFonts w:hint="eastAsia"/>
                <w:color w:val="000000"/>
                <w:szCs w:val="24"/>
                <w:shd w:val="clear" w:color="auto" w:fill="auto"/>
                <w:lang w:eastAsia="zh"/>
              </w:rPr>
              <w:t>于近期</w:t>
            </w:r>
            <w:r>
              <w:rPr>
                <w:rFonts w:hint="eastAsia"/>
                <w:color w:val="000000"/>
                <w:szCs w:val="24"/>
                <w:shd w:val="clear" w:color="auto" w:fill="auto"/>
              </w:rPr>
              <w:t>完成首例受试者用药</w:t>
            </w:r>
            <w:r>
              <w:rPr>
                <w:rFonts w:hint="eastAsia"/>
                <w:color w:val="000000"/>
                <w:szCs w:val="24"/>
                <w:shd w:val="clear" w:color="auto" w:fill="auto"/>
                <w:lang w:eastAsia="zh"/>
              </w:rPr>
              <w:t>，临床前研究展现出高于同类产品的</w:t>
            </w:r>
            <w:r>
              <w:rPr>
                <w:rFonts w:hint="eastAsia"/>
                <w:color w:val="000000"/>
                <w:szCs w:val="24"/>
                <w:shd w:val="clear" w:color="auto" w:fill="auto"/>
                <w:lang w:eastAsia="zh"/>
              </w:rPr>
              <w:t>HBsAg</w:t>
            </w:r>
            <w:r>
              <w:rPr>
                <w:rFonts w:hint="eastAsia"/>
                <w:color w:val="000000"/>
                <w:szCs w:val="24"/>
                <w:shd w:val="clear" w:color="auto" w:fill="auto"/>
                <w:lang w:eastAsia="zh"/>
              </w:rPr>
              <w:t>抑制活性及更优的安全性，与派格宾等药物联用有望快速降低表面抗原、减轻</w:t>
            </w:r>
            <w:r>
              <w:rPr>
                <w:rFonts w:hint="eastAsia"/>
                <w:color w:val="000000"/>
                <w:szCs w:val="24"/>
                <w:shd w:val="clear" w:color="auto" w:fill="auto"/>
                <w:lang w:eastAsia="zh"/>
              </w:rPr>
              <w:t>HBV</w:t>
            </w:r>
            <w:r>
              <w:rPr>
                <w:rFonts w:hint="eastAsia"/>
                <w:color w:val="000000"/>
                <w:szCs w:val="24"/>
                <w:shd w:val="clear" w:color="auto" w:fill="auto"/>
                <w:lang w:eastAsia="zh"/>
              </w:rPr>
              <w:t>感染对机体免疫系统的抑制；</w:t>
            </w:r>
            <w:r>
              <w:rPr>
                <w:rFonts w:hint="eastAsia"/>
                <w:color w:val="000000"/>
                <w:szCs w:val="24"/>
                <w:shd w:val="clear" w:color="auto" w:fill="auto"/>
              </w:rPr>
              <w:t>ACT580</w:t>
            </w:r>
            <w:r>
              <w:rPr>
                <w:rFonts w:hint="eastAsia"/>
                <w:color w:val="000000"/>
                <w:szCs w:val="24"/>
                <w:shd w:val="clear" w:color="auto" w:fill="auto"/>
              </w:rPr>
              <w:t>（</w:t>
            </w:r>
            <w:r>
              <w:rPr>
                <w:rFonts w:hint="eastAsia"/>
                <w:color w:val="000000"/>
                <w:szCs w:val="24"/>
                <w:shd w:val="clear" w:color="auto" w:fill="auto"/>
              </w:rPr>
              <w:t>ALG-000184</w:t>
            </w:r>
            <w:r>
              <w:rPr>
                <w:rFonts w:hint="eastAsia"/>
                <w:color w:val="000000"/>
                <w:szCs w:val="24"/>
                <w:shd w:val="clear" w:color="auto" w:fill="auto"/>
              </w:rPr>
              <w:t>）为新型口服小分子衣壳组装调节剂，可阻断</w:t>
            </w:r>
            <w:r>
              <w:rPr>
                <w:rFonts w:hint="eastAsia"/>
                <w:color w:val="000000"/>
                <w:szCs w:val="24"/>
                <w:shd w:val="clear" w:color="auto" w:fill="auto"/>
              </w:rPr>
              <w:t>HBV</w:t>
            </w:r>
            <w:r>
              <w:rPr>
                <w:rFonts w:hint="eastAsia"/>
                <w:color w:val="000000"/>
                <w:szCs w:val="24"/>
                <w:shd w:val="clear" w:color="auto" w:fill="auto"/>
              </w:rPr>
              <w:t>复制、防止</w:t>
            </w:r>
            <w:r>
              <w:rPr>
                <w:rFonts w:hint="eastAsia"/>
                <w:color w:val="000000"/>
                <w:szCs w:val="24"/>
                <w:shd w:val="clear" w:color="auto" w:fill="auto"/>
              </w:rPr>
              <w:t>HBV DNA</w:t>
            </w:r>
            <w:r>
              <w:rPr>
                <w:rFonts w:hint="eastAsia"/>
                <w:color w:val="000000"/>
                <w:szCs w:val="24"/>
                <w:shd w:val="clear" w:color="auto" w:fill="auto"/>
              </w:rPr>
              <w:t>整合，并降低共价闭合环状</w:t>
            </w:r>
            <w:r>
              <w:rPr>
                <w:rFonts w:hint="eastAsia"/>
                <w:color w:val="000000"/>
                <w:szCs w:val="24"/>
                <w:shd w:val="clear" w:color="auto" w:fill="auto"/>
              </w:rPr>
              <w:t>DNA</w:t>
            </w:r>
            <w:r>
              <w:rPr>
                <w:rFonts w:hint="eastAsia"/>
                <w:color w:val="000000"/>
                <w:szCs w:val="24"/>
                <w:shd w:val="clear" w:color="auto" w:fill="auto"/>
              </w:rPr>
              <w:t>（</w:t>
            </w:r>
            <w:r>
              <w:rPr>
                <w:rFonts w:hint="eastAsia"/>
                <w:color w:val="000000"/>
                <w:szCs w:val="24"/>
                <w:shd w:val="clear" w:color="auto" w:fill="auto"/>
              </w:rPr>
              <w:t>cccDNA</w:t>
            </w:r>
            <w:r>
              <w:rPr>
                <w:rFonts w:hint="eastAsia"/>
                <w:color w:val="000000"/>
                <w:szCs w:val="24"/>
                <w:shd w:val="clear" w:color="auto" w:fill="auto"/>
              </w:rPr>
              <w:t>）储存库水平，</w:t>
            </w:r>
            <w:r>
              <w:rPr>
                <w:rFonts w:hint="eastAsia"/>
                <w:color w:val="000000"/>
                <w:szCs w:val="24"/>
                <w:shd w:val="clear" w:color="auto" w:fill="auto"/>
                <w:lang w:eastAsia="zh"/>
              </w:rPr>
              <w:t>已</w:t>
            </w:r>
            <w:r>
              <w:rPr>
                <w:rFonts w:hint="eastAsia"/>
                <w:color w:val="000000"/>
                <w:szCs w:val="24"/>
                <w:shd w:val="clear" w:color="auto" w:fill="auto"/>
              </w:rPr>
              <w:t>被国家药监局药品审评中心纳入突破性治疗品种名单</w:t>
            </w:r>
            <w:r>
              <w:rPr>
                <w:rFonts w:hint="eastAsia"/>
                <w:color w:val="000000"/>
                <w:szCs w:val="24"/>
                <w:shd w:val="clear" w:color="auto" w:fill="auto"/>
                <w:lang w:eastAsia="zh"/>
              </w:rPr>
              <w:t>。该产品的引进补齐了公司在病毒复制抑制环节的管线布局，与派格宾的免疫调节机制形成互补</w:t>
            </w:r>
            <w:r>
              <w:rPr>
                <w:rFonts w:hint="eastAsia"/>
                <w:color w:val="000000"/>
                <w:szCs w:val="24"/>
                <w:shd w:val="clear" w:color="auto" w:fill="auto"/>
              </w:rPr>
              <w:t>。</w:t>
            </w:r>
            <w:r>
              <w:rPr>
                <w:rFonts w:hint="eastAsia"/>
                <w:color w:val="000000"/>
                <w:szCs w:val="24"/>
                <w:shd w:val="clear" w:color="auto" w:fill="auto"/>
                <w:lang w:eastAsia="zh"/>
              </w:rPr>
              <w:t>公司将持续深入探索多药物联合治疗策略，加速管线临床转化，不断提升慢乙肝临床治愈水平，积极推动乙肝临床治愈的实质性突破，为全面临床治愈时代的到来筑牢坚实基础。</w:t>
            </w:r>
          </w:p>
          <w:p w:rsidR="00BA72A3" w:rsidRDefault="002012D1">
            <w:pPr>
              <w:pStyle w:val="af5"/>
              <w:ind w:firstLine="480"/>
              <w:rPr>
                <w:color w:val="000000"/>
                <w:szCs w:val="24"/>
                <w:shd w:val="clear" w:color="auto" w:fill="auto"/>
              </w:rPr>
            </w:pPr>
            <w:r>
              <w:rPr>
                <w:rFonts w:hint="eastAsia"/>
                <w:color w:val="000000"/>
                <w:szCs w:val="24"/>
                <w:shd w:val="clear" w:color="auto" w:fill="auto"/>
              </w:rPr>
              <w:t>研发费用与研发项目投入需求相关，公司聚焦免疫和代谢领域，未来将继续以解决临床需求为导向开展研发相关工作，随着更多项目进入临床研究阶段，研发投入总体将呈持续上升趋势。</w:t>
            </w:r>
          </w:p>
          <w:p w:rsidR="00BA72A3" w:rsidRDefault="002012D1">
            <w:pPr>
              <w:pStyle w:val="af5"/>
              <w:spacing w:beforeLines="50" w:before="156" w:afterLines="50" w:after="156"/>
              <w:ind w:firstLine="482"/>
              <w:rPr>
                <w:b/>
                <w:color w:val="000000"/>
                <w:szCs w:val="24"/>
                <w:shd w:val="clear" w:color="auto" w:fill="auto"/>
                <w:lang w:eastAsia="zh"/>
              </w:rPr>
            </w:pPr>
            <w:r>
              <w:rPr>
                <w:rFonts w:hint="eastAsia"/>
                <w:b/>
                <w:color w:val="000000"/>
                <w:szCs w:val="24"/>
                <w:shd w:val="clear" w:color="auto" w:fill="auto"/>
              </w:rPr>
              <w:t>六、</w:t>
            </w:r>
            <w:r>
              <w:rPr>
                <w:rFonts w:hint="eastAsia"/>
                <w:b/>
                <w:color w:val="000000"/>
                <w:szCs w:val="24"/>
                <w:shd w:val="clear" w:color="auto" w:fill="auto"/>
                <w:lang w:eastAsia="zh"/>
              </w:rPr>
              <w:t>公司如何平衡短期销售费用投放与中长期研发管线投入的节奏？</w:t>
            </w:r>
          </w:p>
          <w:p w:rsidR="00BA72A3" w:rsidRDefault="002012D1">
            <w:pPr>
              <w:pStyle w:val="af5"/>
              <w:ind w:firstLine="480"/>
              <w:rPr>
                <w:color w:val="000000"/>
                <w:szCs w:val="24"/>
                <w:shd w:val="clear" w:color="auto" w:fill="auto"/>
                <w:lang w:eastAsia="zh"/>
              </w:rPr>
            </w:pPr>
            <w:r>
              <w:rPr>
                <w:rFonts w:hint="eastAsia"/>
                <w:color w:val="000000"/>
                <w:szCs w:val="24"/>
                <w:shd w:val="clear" w:color="auto" w:fill="auto"/>
              </w:rPr>
              <w:t>答：</w:t>
            </w:r>
            <w:r>
              <w:rPr>
                <w:rFonts w:hint="eastAsia"/>
                <w:color w:val="000000"/>
                <w:szCs w:val="24"/>
                <w:shd w:val="clear" w:color="auto" w:fill="auto"/>
                <w:lang w:eastAsia="zh"/>
              </w:rPr>
              <w:t>过去十年，</w:t>
            </w:r>
            <w:r>
              <w:rPr>
                <w:rFonts w:ascii="宋体" w:hAnsi="宋体" w:cs="宋体"/>
                <w:szCs w:val="24"/>
              </w:rPr>
              <w:t>公司持续深耕慢乙肝临床治愈与</w:t>
            </w:r>
            <w:r>
              <w:rPr>
                <w:rFonts w:ascii="宋体" w:hAnsi="宋体" w:cs="宋体"/>
                <w:szCs w:val="24"/>
              </w:rPr>
              <w:lastRenderedPageBreak/>
              <w:t>肝癌预防领域的研发布局，推动慢乙肝临床治愈由理念目标逐步走向临床落地</w:t>
            </w:r>
            <w:r>
              <w:rPr>
                <w:rFonts w:hint="eastAsia"/>
                <w:color w:val="000000"/>
                <w:szCs w:val="24"/>
                <w:shd w:val="clear" w:color="auto" w:fill="auto"/>
              </w:rPr>
              <w:t>。</w:t>
            </w:r>
            <w:r>
              <w:rPr>
                <w:rFonts w:hint="eastAsia"/>
                <w:color w:val="000000"/>
                <w:szCs w:val="24"/>
                <w:shd w:val="clear" w:color="auto" w:fill="auto"/>
                <w:lang w:eastAsia="zh"/>
              </w:rPr>
              <w:t>未来公司将优化派格宾的推广策略，在慢乙肝治愈方面，推广重心从过去“打破</w:t>
            </w:r>
            <w:r>
              <w:rPr>
                <w:rFonts w:hint="eastAsia"/>
                <w:color w:val="000000"/>
                <w:szCs w:val="24"/>
                <w:shd w:val="clear" w:color="auto" w:fill="auto"/>
                <w:lang w:eastAsia="zh"/>
              </w:rPr>
              <w:t>0</w:t>
            </w:r>
            <w:r>
              <w:rPr>
                <w:rFonts w:hint="eastAsia"/>
                <w:color w:val="000000"/>
                <w:szCs w:val="24"/>
                <w:shd w:val="clear" w:color="auto" w:fill="auto"/>
                <w:lang w:eastAsia="zh"/>
              </w:rPr>
              <w:t>到</w:t>
            </w:r>
            <w:r>
              <w:rPr>
                <w:rFonts w:hint="eastAsia"/>
                <w:color w:val="000000"/>
                <w:szCs w:val="24"/>
                <w:shd w:val="clear" w:color="auto" w:fill="auto"/>
                <w:lang w:eastAsia="zh"/>
              </w:rPr>
              <w:t>1</w:t>
            </w:r>
            <w:r>
              <w:rPr>
                <w:rFonts w:hint="eastAsia"/>
                <w:color w:val="000000"/>
                <w:szCs w:val="24"/>
                <w:shd w:val="clear" w:color="auto" w:fill="auto"/>
                <w:lang w:eastAsia="zh"/>
              </w:rPr>
              <w:t>的认知”转向巩固产品的基石定位；在肝癌预防方面，</w:t>
            </w:r>
            <w:r>
              <w:rPr>
                <w:rFonts w:ascii="宋体" w:hAnsi="宋体" w:cs="宋体"/>
                <w:szCs w:val="24"/>
              </w:rPr>
              <w:t>基于已积累的科学证据</w:t>
            </w:r>
            <w:r>
              <w:rPr>
                <w:rFonts w:hint="eastAsia"/>
                <w:color w:val="000000"/>
                <w:szCs w:val="24"/>
                <w:shd w:val="clear" w:color="auto" w:fill="auto"/>
                <w:lang w:eastAsia="zh"/>
              </w:rPr>
              <w:t>精准学术传递，深化派格宾在预防肝癌的价值认知。此外，新产品投入市场需要经历</w:t>
            </w:r>
            <w:r>
              <w:rPr>
                <w:rFonts w:ascii="宋体" w:hAnsi="宋体" w:cs="宋体"/>
                <w:szCs w:val="24"/>
              </w:rPr>
              <w:t>客户、患者</w:t>
            </w:r>
            <w:r>
              <w:rPr>
                <w:rFonts w:ascii="宋体" w:hAnsi="宋体" w:cs="宋体" w:hint="eastAsia"/>
                <w:szCs w:val="24"/>
                <w:lang w:eastAsia="zh"/>
              </w:rPr>
              <w:t>和</w:t>
            </w:r>
            <w:r>
              <w:rPr>
                <w:rFonts w:ascii="宋体" w:hAnsi="宋体" w:cs="宋体"/>
                <w:szCs w:val="24"/>
              </w:rPr>
              <w:t>社会逐渐理解</w:t>
            </w:r>
            <w:r>
              <w:rPr>
                <w:rFonts w:ascii="宋体" w:hAnsi="宋体" w:cs="宋体" w:hint="eastAsia"/>
                <w:szCs w:val="24"/>
                <w:lang w:eastAsia="zh"/>
              </w:rPr>
              <w:t>接受</w:t>
            </w:r>
            <w:r>
              <w:rPr>
                <w:rFonts w:ascii="宋体" w:hAnsi="宋体" w:cs="宋体"/>
                <w:szCs w:val="24"/>
              </w:rPr>
              <w:t>的过程</w:t>
            </w:r>
            <w:r>
              <w:rPr>
                <w:rFonts w:ascii="宋体" w:hAnsi="宋体" w:cs="宋体" w:hint="eastAsia"/>
                <w:szCs w:val="24"/>
                <w:lang w:eastAsia="zh"/>
              </w:rPr>
              <w:t>，因此公司资源将适度向新产品倾斜，</w:t>
            </w:r>
            <w:r>
              <w:rPr>
                <w:rFonts w:ascii="宋体" w:hAnsi="宋体" w:cs="宋体"/>
                <w:szCs w:val="24"/>
              </w:rPr>
              <w:t>对已形成较好临床证据和科学共识的产品，采用更精准的</w:t>
            </w:r>
            <w:r>
              <w:rPr>
                <w:rFonts w:ascii="宋体" w:hAnsi="宋体" w:cs="宋体" w:hint="eastAsia"/>
                <w:szCs w:val="24"/>
                <w:lang w:eastAsia="zh"/>
              </w:rPr>
              <w:t>推广</w:t>
            </w:r>
            <w:r>
              <w:rPr>
                <w:rFonts w:ascii="宋体" w:hAnsi="宋体" w:cs="宋体"/>
                <w:szCs w:val="24"/>
              </w:rPr>
              <w:t>投入。</w:t>
            </w:r>
          </w:p>
          <w:p w:rsidR="00BA72A3" w:rsidRDefault="002012D1">
            <w:pPr>
              <w:pStyle w:val="af5"/>
              <w:ind w:firstLine="480"/>
              <w:rPr>
                <w:szCs w:val="24"/>
                <w:lang w:eastAsia="zh" w:bidi="ar"/>
              </w:rPr>
            </w:pPr>
            <w:r>
              <w:rPr>
                <w:rFonts w:hint="eastAsia"/>
                <w:szCs w:val="24"/>
                <w:lang w:bidi="ar"/>
              </w:rPr>
              <w:t>创新是企业</w:t>
            </w:r>
            <w:r>
              <w:rPr>
                <w:rFonts w:hint="eastAsia"/>
                <w:szCs w:val="24"/>
                <w:lang w:eastAsia="zh" w:bidi="ar"/>
              </w:rPr>
              <w:t>可持续</w:t>
            </w:r>
            <w:r>
              <w:rPr>
                <w:rFonts w:hint="eastAsia"/>
                <w:szCs w:val="24"/>
                <w:lang w:bidi="ar"/>
              </w:rPr>
              <w:t>发展的基石</w:t>
            </w:r>
            <w:r>
              <w:rPr>
                <w:rFonts w:hint="eastAsia"/>
                <w:szCs w:val="24"/>
                <w:lang w:eastAsia="zh" w:bidi="ar"/>
              </w:rPr>
              <w:t>。</w:t>
            </w:r>
            <w:r>
              <w:rPr>
                <w:rFonts w:hint="eastAsia"/>
                <w:szCs w:val="24"/>
                <w:lang w:bidi="ar"/>
              </w:rPr>
              <w:t>立足长远发展愿景，</w:t>
            </w:r>
            <w:r>
              <w:rPr>
                <w:rFonts w:hint="eastAsia"/>
                <w:szCs w:val="24"/>
                <w:lang w:eastAsia="zh" w:bidi="ar"/>
              </w:rPr>
              <w:t>公司</w:t>
            </w:r>
            <w:r>
              <w:rPr>
                <w:rFonts w:ascii="宋体" w:hAnsi="宋体" w:cs="宋体" w:hint="eastAsia"/>
                <w:szCs w:val="24"/>
                <w:lang w:eastAsia="zh"/>
              </w:rPr>
              <w:t>将持续加大创新投入，统筹规划</w:t>
            </w:r>
            <w:r>
              <w:rPr>
                <w:rFonts w:ascii="宋体" w:hAnsi="宋体" w:cs="宋体"/>
                <w:szCs w:val="24"/>
              </w:rPr>
              <w:t>管线短、中、长</w:t>
            </w:r>
            <w:r>
              <w:rPr>
                <w:rFonts w:ascii="宋体" w:hAnsi="宋体" w:cs="宋体" w:hint="eastAsia"/>
                <w:szCs w:val="24"/>
                <w:lang w:eastAsia="zh"/>
              </w:rPr>
              <w:t>期研发资源配置，不断提升经营管理效率。</w:t>
            </w:r>
            <w:r>
              <w:rPr>
                <w:rFonts w:ascii="宋体" w:hAnsi="宋体" w:cs="宋体"/>
                <w:szCs w:val="24"/>
              </w:rPr>
              <w:t>面对具备重大潜力的创新机遇，适时借助资本市场多元工具</w:t>
            </w:r>
            <w:r>
              <w:rPr>
                <w:rFonts w:hint="eastAsia"/>
                <w:szCs w:val="24"/>
                <w:lang w:eastAsia="zh" w:bidi="ar"/>
              </w:rPr>
              <w:t>加速管线落地。</w:t>
            </w:r>
          </w:p>
          <w:p w:rsidR="00BA72A3" w:rsidRDefault="002012D1">
            <w:pPr>
              <w:pStyle w:val="af5"/>
              <w:ind w:firstLine="480"/>
              <w:rPr>
                <w:color w:val="000000"/>
                <w:szCs w:val="24"/>
                <w:shd w:val="clear" w:color="auto" w:fill="auto"/>
                <w:lang w:eastAsia="zh"/>
              </w:rPr>
            </w:pPr>
            <w:r>
              <w:rPr>
                <w:rFonts w:hint="eastAsia"/>
                <w:szCs w:val="24"/>
                <w:lang w:eastAsia="zh" w:bidi="ar"/>
              </w:rPr>
              <w:t>整体上，公司不会受</w:t>
            </w:r>
            <w:r>
              <w:rPr>
                <w:rFonts w:hint="eastAsia"/>
                <w:szCs w:val="24"/>
                <w:lang w:bidi="ar"/>
              </w:rPr>
              <w:t>短期盈利压力</w:t>
            </w:r>
            <w:r>
              <w:rPr>
                <w:rFonts w:hint="eastAsia"/>
                <w:szCs w:val="24"/>
                <w:lang w:eastAsia="zh" w:bidi="ar"/>
              </w:rPr>
              <w:t>制约而牺牲</w:t>
            </w:r>
            <w:r>
              <w:rPr>
                <w:rFonts w:hint="eastAsia"/>
                <w:szCs w:val="24"/>
                <w:lang w:bidi="ar"/>
              </w:rPr>
              <w:t>长期</w:t>
            </w:r>
            <w:r>
              <w:rPr>
                <w:rFonts w:hint="eastAsia"/>
                <w:szCs w:val="24"/>
                <w:lang w:eastAsia="zh" w:bidi="ar"/>
              </w:rPr>
              <w:t>核心</w:t>
            </w:r>
            <w:r>
              <w:rPr>
                <w:rFonts w:hint="eastAsia"/>
                <w:szCs w:val="24"/>
                <w:lang w:bidi="ar"/>
              </w:rPr>
              <w:t>竞争力，</w:t>
            </w:r>
            <w:r>
              <w:rPr>
                <w:rFonts w:hint="eastAsia"/>
                <w:szCs w:val="24"/>
                <w:lang w:eastAsia="zh" w:bidi="ar"/>
              </w:rPr>
              <w:t>亦不会盲目扩张管线规模而忽视财务安全边际，力求实现</w:t>
            </w:r>
            <w:r>
              <w:rPr>
                <w:rFonts w:ascii="宋体" w:hAnsi="宋体" w:cs="宋体"/>
                <w:szCs w:val="24"/>
              </w:rPr>
              <w:t>商业化投入与研发创新的动态平衡。</w:t>
            </w:r>
          </w:p>
          <w:p w:rsidR="00BA72A3" w:rsidRDefault="002012D1">
            <w:pPr>
              <w:pStyle w:val="af5"/>
              <w:spacing w:beforeLines="50" w:before="156" w:afterLines="50" w:after="156"/>
              <w:ind w:firstLine="482"/>
              <w:rPr>
                <w:b/>
                <w:color w:val="000000"/>
                <w:szCs w:val="24"/>
                <w:shd w:val="clear" w:color="auto" w:fill="auto"/>
                <w:lang w:eastAsia="zh"/>
              </w:rPr>
            </w:pPr>
            <w:r>
              <w:rPr>
                <w:rFonts w:hint="eastAsia"/>
                <w:b/>
                <w:color w:val="000000"/>
                <w:szCs w:val="24"/>
                <w:shd w:val="clear" w:color="auto" w:fill="auto"/>
                <w:lang w:eastAsia="zh"/>
              </w:rPr>
              <w:t>七</w:t>
            </w:r>
            <w:r>
              <w:rPr>
                <w:rFonts w:hint="eastAsia"/>
                <w:b/>
                <w:color w:val="000000"/>
                <w:szCs w:val="24"/>
                <w:shd w:val="clear" w:color="auto" w:fill="auto"/>
              </w:rPr>
              <w:t>、</w:t>
            </w:r>
            <w:r>
              <w:rPr>
                <w:rFonts w:hint="eastAsia"/>
                <w:b/>
                <w:color w:val="000000"/>
                <w:szCs w:val="24"/>
                <w:shd w:val="clear" w:color="auto" w:fill="auto"/>
                <w:lang w:eastAsia="zh"/>
              </w:rPr>
              <w:t>益佩生在研适应症临床进展、报产时间预期、销售增量预期？如何看待未来国内生长激素的市场格局和机会？</w:t>
            </w:r>
          </w:p>
          <w:p w:rsidR="00BA72A3" w:rsidRDefault="002012D1">
            <w:pPr>
              <w:pStyle w:val="af5"/>
              <w:ind w:firstLine="480"/>
              <w:rPr>
                <w:color w:val="000000"/>
                <w:szCs w:val="24"/>
                <w:shd w:val="clear" w:color="auto" w:fill="auto"/>
                <w:lang w:eastAsia="zh"/>
              </w:rPr>
            </w:pPr>
            <w:r>
              <w:rPr>
                <w:rFonts w:hint="eastAsia"/>
                <w:color w:val="000000"/>
                <w:szCs w:val="24"/>
                <w:shd w:val="clear" w:color="auto" w:fill="auto"/>
              </w:rPr>
              <w:t>答：</w:t>
            </w:r>
            <w:r>
              <w:rPr>
                <w:rFonts w:hint="eastAsia"/>
                <w:color w:val="000000"/>
                <w:szCs w:val="24"/>
                <w:shd w:val="clear" w:color="auto" w:fill="auto"/>
                <w:lang w:eastAsia="zh"/>
              </w:rPr>
              <w:t>（</w:t>
            </w:r>
            <w:r>
              <w:rPr>
                <w:rFonts w:hint="eastAsia"/>
                <w:color w:val="000000"/>
                <w:szCs w:val="24"/>
                <w:shd w:val="clear" w:color="auto" w:fill="auto"/>
                <w:lang w:eastAsia="zh"/>
              </w:rPr>
              <w:t>1</w:t>
            </w:r>
            <w:r>
              <w:rPr>
                <w:rFonts w:hint="eastAsia"/>
                <w:color w:val="000000"/>
                <w:szCs w:val="24"/>
                <w:shd w:val="clear" w:color="auto" w:fill="auto"/>
                <w:lang w:eastAsia="zh"/>
              </w:rPr>
              <w:t>）</w:t>
            </w:r>
            <w:r>
              <w:rPr>
                <w:rFonts w:hint="eastAsia"/>
                <w:color w:val="000000"/>
                <w:szCs w:val="24"/>
                <w:shd w:val="clear" w:color="auto" w:fill="auto"/>
              </w:rPr>
              <w:t>益佩生的儿童领域新增适应症（</w:t>
            </w:r>
            <w:r>
              <w:rPr>
                <w:rFonts w:hint="eastAsia"/>
                <w:color w:val="000000"/>
                <w:szCs w:val="24"/>
                <w:shd w:val="clear" w:color="auto" w:fill="auto"/>
              </w:rPr>
              <w:t>ISS</w:t>
            </w:r>
            <w:r>
              <w:rPr>
                <w:rFonts w:hint="eastAsia"/>
                <w:color w:val="000000"/>
                <w:szCs w:val="24"/>
                <w:shd w:val="clear" w:color="auto" w:fill="auto"/>
              </w:rPr>
              <w:t>、</w:t>
            </w:r>
            <w:r>
              <w:rPr>
                <w:rFonts w:hint="eastAsia"/>
                <w:color w:val="000000"/>
                <w:szCs w:val="24"/>
                <w:shd w:val="clear" w:color="auto" w:fill="auto"/>
              </w:rPr>
              <w:t>TS</w:t>
            </w:r>
            <w:r>
              <w:rPr>
                <w:rFonts w:hint="eastAsia"/>
                <w:color w:val="000000"/>
                <w:szCs w:val="24"/>
                <w:shd w:val="clear" w:color="auto" w:fill="auto"/>
              </w:rPr>
              <w:t>、</w:t>
            </w:r>
            <w:r>
              <w:rPr>
                <w:rFonts w:hint="eastAsia"/>
                <w:color w:val="000000"/>
                <w:szCs w:val="24"/>
                <w:shd w:val="clear" w:color="auto" w:fill="auto"/>
              </w:rPr>
              <w:t>SGA</w:t>
            </w:r>
            <w:r>
              <w:rPr>
                <w:rFonts w:hint="eastAsia"/>
                <w:color w:val="000000"/>
                <w:szCs w:val="24"/>
                <w:shd w:val="clear" w:color="auto" w:fill="auto"/>
              </w:rPr>
              <w:t>）</w:t>
            </w:r>
            <w:r>
              <w:rPr>
                <w:rFonts w:hint="eastAsia"/>
                <w:color w:val="000000"/>
                <w:szCs w:val="24"/>
                <w:shd w:val="clear" w:color="auto" w:fill="auto"/>
                <w:lang w:eastAsia="zh"/>
              </w:rPr>
              <w:t>均处于</w:t>
            </w:r>
            <w:r>
              <w:rPr>
                <w:rFonts w:hint="eastAsia"/>
                <w:color w:val="000000"/>
                <w:szCs w:val="24"/>
                <w:shd w:val="clear" w:color="auto" w:fill="auto"/>
              </w:rPr>
              <w:t>III</w:t>
            </w:r>
            <w:r>
              <w:rPr>
                <w:rFonts w:hint="eastAsia"/>
                <w:color w:val="000000"/>
                <w:szCs w:val="24"/>
                <w:shd w:val="clear" w:color="auto" w:fill="auto"/>
              </w:rPr>
              <w:t>期临床</w:t>
            </w:r>
            <w:r>
              <w:rPr>
                <w:rFonts w:hint="eastAsia"/>
                <w:color w:val="000000"/>
                <w:szCs w:val="24"/>
                <w:shd w:val="clear" w:color="auto" w:fill="auto"/>
                <w:lang w:eastAsia="zh"/>
              </w:rPr>
              <w:t>研究</w:t>
            </w:r>
            <w:r>
              <w:rPr>
                <w:rFonts w:hint="eastAsia"/>
                <w:color w:val="000000"/>
                <w:szCs w:val="24"/>
                <w:shd w:val="clear" w:color="auto" w:fill="auto"/>
              </w:rPr>
              <w:t>阶段，</w:t>
            </w:r>
            <w:r>
              <w:rPr>
                <w:rFonts w:hint="eastAsia"/>
                <w:color w:val="000000"/>
                <w:szCs w:val="24"/>
                <w:shd w:val="clear" w:color="auto" w:fill="auto"/>
                <w:lang w:eastAsia="zh"/>
              </w:rPr>
              <w:t>目前</w:t>
            </w:r>
            <w:r>
              <w:rPr>
                <w:rFonts w:hint="eastAsia"/>
                <w:color w:val="000000"/>
                <w:szCs w:val="24"/>
                <w:shd w:val="clear" w:color="auto" w:fill="auto"/>
              </w:rPr>
              <w:t>进展顺利。</w:t>
            </w:r>
            <w:r>
              <w:rPr>
                <w:rFonts w:hint="eastAsia"/>
                <w:color w:val="000000"/>
                <w:szCs w:val="24"/>
                <w:shd w:val="clear" w:color="auto" w:fill="auto"/>
                <w:lang w:eastAsia="zh"/>
              </w:rPr>
              <w:t>公司</w:t>
            </w:r>
            <w:r>
              <w:rPr>
                <w:rFonts w:hint="eastAsia"/>
                <w:color w:val="000000"/>
                <w:szCs w:val="24"/>
                <w:shd w:val="clear" w:color="auto" w:fill="auto"/>
              </w:rPr>
              <w:t>希望在未来</w:t>
            </w:r>
            <w:r>
              <w:rPr>
                <w:rFonts w:hint="eastAsia"/>
                <w:color w:val="000000"/>
                <w:szCs w:val="24"/>
                <w:shd w:val="clear" w:color="auto" w:fill="auto"/>
              </w:rPr>
              <w:t>2-3</w:t>
            </w:r>
            <w:r>
              <w:rPr>
                <w:rFonts w:hint="eastAsia"/>
                <w:color w:val="000000"/>
                <w:szCs w:val="24"/>
                <w:shd w:val="clear" w:color="auto" w:fill="auto"/>
              </w:rPr>
              <w:t>年尽可能补齐儿科领域的适应症，进一步推动益佩生市场规模扩大</w:t>
            </w:r>
            <w:r>
              <w:rPr>
                <w:rFonts w:hint="eastAsia"/>
                <w:color w:val="000000"/>
                <w:szCs w:val="24"/>
                <w:shd w:val="clear" w:color="auto" w:fill="auto"/>
                <w:lang w:eastAsia="zh"/>
              </w:rPr>
              <w:t>，提升产品</w:t>
            </w:r>
            <w:r>
              <w:rPr>
                <w:rFonts w:hint="eastAsia"/>
                <w:color w:val="000000"/>
                <w:szCs w:val="24"/>
                <w:shd w:val="clear" w:color="auto" w:fill="auto"/>
              </w:rPr>
              <w:t>渗透率。</w:t>
            </w:r>
            <w:r>
              <w:rPr>
                <w:rFonts w:hint="eastAsia"/>
                <w:color w:val="000000"/>
                <w:szCs w:val="24"/>
                <w:shd w:val="clear" w:color="auto" w:fill="auto"/>
                <w:lang w:eastAsia="zh"/>
              </w:rPr>
              <w:t>此外，</w:t>
            </w:r>
            <w:r>
              <w:rPr>
                <w:rFonts w:hint="eastAsia"/>
                <w:color w:val="000000"/>
                <w:szCs w:val="24"/>
                <w:shd w:val="clear" w:color="auto" w:fill="auto"/>
              </w:rPr>
              <w:t>益佩生用于成人生长激素缺乏的临床</w:t>
            </w:r>
            <w:r>
              <w:rPr>
                <w:rFonts w:hint="eastAsia"/>
                <w:color w:val="000000"/>
                <w:szCs w:val="24"/>
                <w:shd w:val="clear" w:color="auto" w:fill="auto"/>
                <w:lang w:eastAsia="zh"/>
              </w:rPr>
              <w:t>研究，目前</w:t>
            </w:r>
            <w:r>
              <w:rPr>
                <w:rFonts w:hint="eastAsia"/>
                <w:color w:val="000000"/>
                <w:szCs w:val="24"/>
                <w:shd w:val="clear" w:color="auto" w:fill="auto"/>
              </w:rPr>
              <w:t>已完成</w:t>
            </w:r>
            <w:r>
              <w:rPr>
                <w:color w:val="000000"/>
                <w:szCs w:val="24"/>
                <w:shd w:val="clear" w:color="auto" w:fill="auto"/>
              </w:rPr>
              <w:t>Ⅰb</w:t>
            </w:r>
            <w:r>
              <w:rPr>
                <w:rFonts w:hint="eastAsia"/>
                <w:color w:val="000000"/>
                <w:szCs w:val="24"/>
                <w:shd w:val="clear" w:color="auto" w:fill="auto"/>
              </w:rPr>
              <w:t>期老年人群安全耐受性研究，</w:t>
            </w:r>
            <w:r>
              <w:rPr>
                <w:color w:val="000000"/>
                <w:szCs w:val="24"/>
                <w:shd w:val="clear" w:color="auto" w:fill="auto"/>
              </w:rPr>
              <w:t>Ⅱa</w:t>
            </w:r>
            <w:r>
              <w:rPr>
                <w:rFonts w:hint="eastAsia"/>
                <w:color w:val="000000"/>
                <w:szCs w:val="24"/>
                <w:shd w:val="clear" w:color="auto" w:fill="auto"/>
              </w:rPr>
              <w:t>期临床研究正在</w:t>
            </w:r>
            <w:r>
              <w:rPr>
                <w:rFonts w:hint="eastAsia"/>
                <w:color w:val="000000"/>
                <w:szCs w:val="24"/>
                <w:shd w:val="clear" w:color="auto" w:fill="auto"/>
                <w:lang w:eastAsia="zh"/>
              </w:rPr>
              <w:t>有序</w:t>
            </w:r>
            <w:r>
              <w:rPr>
                <w:rFonts w:hint="eastAsia"/>
                <w:color w:val="000000"/>
                <w:szCs w:val="24"/>
                <w:shd w:val="clear" w:color="auto" w:fill="auto"/>
              </w:rPr>
              <w:t>推进中</w:t>
            </w:r>
            <w:r>
              <w:rPr>
                <w:rFonts w:hint="eastAsia"/>
                <w:color w:val="000000"/>
                <w:szCs w:val="24"/>
                <w:shd w:val="clear" w:color="auto" w:fill="auto"/>
                <w:lang w:eastAsia="zh"/>
              </w:rPr>
              <w:t>，后续公司将根据法规要求及时披露相关进展情况。</w:t>
            </w:r>
          </w:p>
          <w:p w:rsidR="00BA72A3" w:rsidRDefault="002012D1">
            <w:pPr>
              <w:pStyle w:val="af5"/>
              <w:ind w:firstLine="480"/>
              <w:rPr>
                <w:color w:val="000000"/>
                <w:szCs w:val="24"/>
                <w:shd w:val="clear" w:color="auto" w:fill="auto"/>
                <w:lang w:eastAsia="zh"/>
              </w:rPr>
            </w:pPr>
            <w:r>
              <w:rPr>
                <w:rFonts w:hint="eastAsia"/>
                <w:color w:val="000000"/>
                <w:szCs w:val="24"/>
                <w:shd w:val="clear" w:color="auto" w:fill="auto"/>
                <w:lang w:eastAsia="zh"/>
              </w:rPr>
              <w:t>（</w:t>
            </w:r>
            <w:r>
              <w:rPr>
                <w:rFonts w:hint="eastAsia"/>
                <w:color w:val="000000"/>
                <w:szCs w:val="24"/>
                <w:shd w:val="clear" w:color="auto" w:fill="auto"/>
                <w:lang w:eastAsia="zh"/>
              </w:rPr>
              <w:t>2</w:t>
            </w:r>
            <w:r>
              <w:rPr>
                <w:rFonts w:hint="eastAsia"/>
                <w:color w:val="000000"/>
                <w:szCs w:val="24"/>
                <w:shd w:val="clear" w:color="auto" w:fill="auto"/>
                <w:lang w:eastAsia="zh"/>
              </w:rPr>
              <w:t>）益佩生去年通过国谈纳入国家医疗保险目录，是首批纳入国家医保目录的长效生长激素产品。</w:t>
            </w:r>
            <w:r>
              <w:rPr>
                <w:rFonts w:hint="eastAsia"/>
                <w:color w:val="000000"/>
                <w:szCs w:val="24"/>
                <w:shd w:val="clear" w:color="auto" w:fill="auto"/>
                <w:lang w:eastAsia="zh"/>
              </w:rPr>
              <w:lastRenderedPageBreak/>
              <w:t>作为新一代长效生长激素，益佩生在治疗效果、安全性和使用便利性方面具备差异化竞争优势。国内重组人生长激素市场规模超百亿，近年来随着多款具有差异化优势的长效生长激素产品陆续上市和纳入国家医保目录，长效产品可及性大幅提升。公司对益佩生的产品技术优势、安全性等竞争优势充满信心，希望在这个过程中取得较好市场地位。</w:t>
            </w:r>
          </w:p>
          <w:p w:rsidR="00BA72A3" w:rsidRDefault="002012D1">
            <w:pPr>
              <w:pStyle w:val="af5"/>
              <w:spacing w:beforeLines="50" w:before="156" w:afterLines="50" w:after="156"/>
              <w:ind w:firstLine="482"/>
              <w:rPr>
                <w:b/>
                <w:color w:val="000000"/>
                <w:szCs w:val="24"/>
                <w:shd w:val="clear" w:color="auto" w:fill="auto"/>
              </w:rPr>
            </w:pPr>
            <w:r>
              <w:rPr>
                <w:rFonts w:hint="eastAsia"/>
                <w:b/>
                <w:color w:val="000000"/>
                <w:szCs w:val="24"/>
                <w:shd w:val="clear" w:color="auto" w:fill="auto"/>
                <w:lang w:eastAsia="zh"/>
              </w:rPr>
              <w:t>八</w:t>
            </w:r>
            <w:r>
              <w:rPr>
                <w:rFonts w:hint="eastAsia"/>
                <w:b/>
                <w:color w:val="000000"/>
                <w:szCs w:val="24"/>
                <w:shd w:val="clear" w:color="auto" w:fill="auto"/>
              </w:rPr>
              <w:t>、收购九天生物（</w:t>
            </w:r>
            <w:r>
              <w:rPr>
                <w:rFonts w:hint="eastAsia"/>
                <w:b/>
                <w:color w:val="000000"/>
                <w:szCs w:val="24"/>
                <w:shd w:val="clear" w:color="auto" w:fill="auto"/>
              </w:rPr>
              <w:t>AAV</w:t>
            </w:r>
            <w:r>
              <w:rPr>
                <w:rFonts w:hint="eastAsia"/>
                <w:b/>
                <w:color w:val="000000"/>
                <w:szCs w:val="24"/>
                <w:shd w:val="clear" w:color="auto" w:fill="auto"/>
              </w:rPr>
              <w:t>基因治疗）后的整合进展与创新药管线布局？</w:t>
            </w:r>
            <w:r>
              <w:rPr>
                <w:rFonts w:hint="eastAsia"/>
                <w:b/>
                <w:color w:val="000000"/>
                <w:szCs w:val="24"/>
                <w:shd w:val="clear" w:color="auto" w:fill="auto"/>
              </w:rPr>
              <w:t>ACT201</w:t>
            </w:r>
            <w:r>
              <w:rPr>
                <w:rFonts w:hint="eastAsia"/>
                <w:b/>
                <w:color w:val="000000"/>
                <w:szCs w:val="24"/>
                <w:shd w:val="clear" w:color="auto" w:fill="auto"/>
              </w:rPr>
              <w:t>等</w:t>
            </w:r>
            <w:r>
              <w:rPr>
                <w:rFonts w:hint="eastAsia"/>
                <w:b/>
                <w:color w:val="000000"/>
                <w:szCs w:val="24"/>
                <w:shd w:val="clear" w:color="auto" w:fill="auto"/>
              </w:rPr>
              <w:t>ASO</w:t>
            </w:r>
            <w:r>
              <w:rPr>
                <w:rFonts w:hint="eastAsia"/>
                <w:b/>
                <w:color w:val="000000"/>
                <w:szCs w:val="24"/>
                <w:shd w:val="clear" w:color="auto" w:fill="auto"/>
              </w:rPr>
              <w:t>新药布局思路及</w:t>
            </w:r>
            <w:r>
              <w:rPr>
                <w:rFonts w:hint="eastAsia"/>
                <w:b/>
                <w:color w:val="000000"/>
                <w:szCs w:val="24"/>
                <w:shd w:val="clear" w:color="auto" w:fill="auto"/>
              </w:rPr>
              <w:t>2026</w:t>
            </w:r>
            <w:r>
              <w:rPr>
                <w:rFonts w:hint="eastAsia"/>
                <w:b/>
                <w:color w:val="000000"/>
                <w:szCs w:val="24"/>
                <w:shd w:val="clear" w:color="auto" w:fill="auto"/>
              </w:rPr>
              <w:t>年</w:t>
            </w:r>
            <w:r>
              <w:rPr>
                <w:rFonts w:hint="eastAsia"/>
                <w:b/>
                <w:color w:val="000000"/>
                <w:szCs w:val="24"/>
                <w:shd w:val="clear" w:color="auto" w:fill="auto"/>
              </w:rPr>
              <w:t>IND</w:t>
            </w:r>
            <w:r>
              <w:rPr>
                <w:rFonts w:hint="eastAsia"/>
                <w:b/>
                <w:color w:val="000000"/>
                <w:szCs w:val="24"/>
                <w:shd w:val="clear" w:color="auto" w:fill="auto"/>
              </w:rPr>
              <w:t>申报</w:t>
            </w:r>
            <w:r>
              <w:rPr>
                <w:rFonts w:hint="eastAsia"/>
                <w:b/>
                <w:color w:val="000000"/>
                <w:szCs w:val="24"/>
                <w:shd w:val="clear" w:color="auto" w:fill="auto"/>
              </w:rPr>
              <w:t>/</w:t>
            </w:r>
            <w:r>
              <w:rPr>
                <w:rFonts w:hint="eastAsia"/>
                <w:b/>
                <w:color w:val="000000"/>
                <w:szCs w:val="24"/>
                <w:shd w:val="clear" w:color="auto" w:fill="auto"/>
              </w:rPr>
              <w:t>数据读出计划？</w:t>
            </w:r>
          </w:p>
          <w:p w:rsidR="00BA72A3" w:rsidRDefault="002012D1">
            <w:pPr>
              <w:pStyle w:val="af5"/>
              <w:ind w:firstLine="480"/>
              <w:rPr>
                <w:rFonts w:ascii="宋体" w:hAnsi="宋体" w:cs="宋体"/>
                <w:szCs w:val="24"/>
                <w:lang w:eastAsia="zh"/>
              </w:rPr>
            </w:pPr>
            <w:r>
              <w:rPr>
                <w:rFonts w:hint="eastAsia"/>
                <w:color w:val="000000"/>
                <w:szCs w:val="24"/>
                <w:shd w:val="clear" w:color="auto" w:fill="auto"/>
              </w:rPr>
              <w:t>答：</w:t>
            </w:r>
            <w:r>
              <w:rPr>
                <w:rFonts w:hint="eastAsia"/>
                <w:color w:val="000000"/>
                <w:szCs w:val="24"/>
                <w:shd w:val="clear" w:color="auto" w:fill="auto"/>
                <w:lang w:eastAsia="zh"/>
              </w:rPr>
              <w:t>（</w:t>
            </w:r>
            <w:r>
              <w:rPr>
                <w:rFonts w:hint="eastAsia"/>
                <w:color w:val="000000"/>
                <w:szCs w:val="24"/>
                <w:shd w:val="clear" w:color="auto" w:fill="auto"/>
                <w:lang w:eastAsia="zh"/>
              </w:rPr>
              <w:t>1</w:t>
            </w:r>
            <w:r>
              <w:rPr>
                <w:rFonts w:hint="eastAsia"/>
                <w:color w:val="000000"/>
                <w:szCs w:val="24"/>
                <w:shd w:val="clear" w:color="auto" w:fill="auto"/>
                <w:lang w:eastAsia="zh"/>
              </w:rPr>
              <w:t>）公司收购九天生物主要基于对生物学的理解判断和对未来技术布局的战略考量。目前九天生物产品</w:t>
            </w:r>
            <w:r>
              <w:rPr>
                <w:rFonts w:ascii="宋体" w:hAnsi="宋体" w:cs="宋体"/>
                <w:szCs w:val="24"/>
              </w:rPr>
              <w:t>管线</w:t>
            </w:r>
            <w:r>
              <w:rPr>
                <w:rFonts w:ascii="宋体" w:hAnsi="宋体" w:cs="宋体" w:hint="eastAsia"/>
                <w:szCs w:val="24"/>
                <w:lang w:eastAsia="zh"/>
              </w:rPr>
              <w:t>主要</w:t>
            </w:r>
            <w:r>
              <w:rPr>
                <w:rFonts w:ascii="宋体" w:hAnsi="宋体" w:cs="宋体"/>
                <w:szCs w:val="24"/>
              </w:rPr>
              <w:t>覆盖眼科、心脏疾病及脊髓性肌肉萎缩症（</w:t>
            </w:r>
            <w:r>
              <w:rPr>
                <w:szCs w:val="24"/>
              </w:rPr>
              <w:t>SMA</w:t>
            </w:r>
            <w:r>
              <w:rPr>
                <w:rFonts w:ascii="宋体" w:hAnsi="宋体" w:cs="宋体"/>
                <w:szCs w:val="24"/>
              </w:rPr>
              <w:t>）等领域</w:t>
            </w:r>
            <w:r>
              <w:rPr>
                <w:rFonts w:ascii="宋体" w:hAnsi="宋体" w:cs="宋体" w:hint="eastAsia"/>
                <w:szCs w:val="24"/>
                <w:lang w:eastAsia="zh"/>
              </w:rPr>
              <w:t>，</w:t>
            </w:r>
            <w:r>
              <w:rPr>
                <w:rFonts w:ascii="宋体" w:hAnsi="宋体" w:cs="宋体"/>
                <w:szCs w:val="24"/>
              </w:rPr>
              <w:t>其</w:t>
            </w:r>
            <w:r>
              <w:rPr>
                <w:szCs w:val="24"/>
              </w:rPr>
              <w:t>SMA</w:t>
            </w:r>
            <w:r>
              <w:rPr>
                <w:rFonts w:ascii="宋体" w:hAnsi="宋体" w:cs="宋体"/>
                <w:szCs w:val="24"/>
              </w:rPr>
              <w:t>产品已观察到安全性方面优势，有望实现肝毒性减少。</w:t>
            </w:r>
            <w:r>
              <w:rPr>
                <w:rFonts w:ascii="宋体" w:hAnsi="宋体" w:cs="宋体" w:hint="eastAsia"/>
                <w:szCs w:val="24"/>
                <w:lang w:eastAsia="zh"/>
              </w:rPr>
              <w:t>我们希望充分发挥基因治疗优势，将其应用到最佳、最安全的场景，推动其</w:t>
            </w:r>
            <w:r>
              <w:rPr>
                <w:rFonts w:ascii="宋体" w:hAnsi="宋体" w:cs="宋体"/>
                <w:szCs w:val="24"/>
              </w:rPr>
              <w:t>从过去少数罕见病领域应用</w:t>
            </w:r>
            <w:r>
              <w:rPr>
                <w:rFonts w:ascii="宋体" w:hAnsi="宋体" w:cs="宋体" w:hint="eastAsia"/>
                <w:szCs w:val="24"/>
                <w:lang w:eastAsia="zh"/>
              </w:rPr>
              <w:t>到更广阔市场需求的治疗领域。</w:t>
            </w:r>
          </w:p>
          <w:p w:rsidR="00BA72A3" w:rsidRDefault="002012D1">
            <w:pPr>
              <w:pStyle w:val="af5"/>
              <w:ind w:firstLine="480"/>
              <w:rPr>
                <w:color w:val="000000"/>
                <w:szCs w:val="24"/>
                <w:shd w:val="clear" w:color="auto" w:fill="auto"/>
                <w:lang w:eastAsia="zh"/>
              </w:rPr>
            </w:pPr>
            <w:r>
              <w:rPr>
                <w:rFonts w:ascii="宋体" w:hAnsi="宋体" w:cs="宋体" w:hint="eastAsia"/>
                <w:szCs w:val="24"/>
                <w:lang w:eastAsia="zh"/>
              </w:rPr>
              <w:t>（</w:t>
            </w:r>
            <w:r>
              <w:rPr>
                <w:szCs w:val="24"/>
                <w:lang w:eastAsia="zh"/>
              </w:rPr>
              <w:t>2</w:t>
            </w:r>
            <w:r>
              <w:rPr>
                <w:rFonts w:ascii="宋体" w:hAnsi="宋体" w:cs="宋体" w:hint="eastAsia"/>
                <w:szCs w:val="24"/>
                <w:lang w:eastAsia="zh"/>
              </w:rPr>
              <w:t>）</w:t>
            </w:r>
            <w:r>
              <w:rPr>
                <w:rFonts w:hint="eastAsia"/>
                <w:color w:val="000000"/>
                <w:szCs w:val="24"/>
                <w:shd w:val="clear" w:color="auto" w:fill="auto"/>
              </w:rPr>
              <w:t>ACT201</w:t>
            </w:r>
            <w:r>
              <w:rPr>
                <w:rFonts w:hint="eastAsia"/>
                <w:color w:val="000000"/>
                <w:szCs w:val="24"/>
                <w:shd w:val="clear" w:color="auto" w:fill="auto"/>
              </w:rPr>
              <w:t>已进入</w:t>
            </w:r>
            <w:r>
              <w:rPr>
                <w:color w:val="000000"/>
                <w:szCs w:val="24"/>
                <w:shd w:val="clear" w:color="auto" w:fill="auto"/>
                <w:lang w:eastAsia="zh"/>
              </w:rPr>
              <w:t>Ⅰ</w:t>
            </w:r>
            <w:r>
              <w:rPr>
                <w:rFonts w:hint="eastAsia"/>
                <w:color w:val="000000"/>
                <w:szCs w:val="24"/>
                <w:shd w:val="clear" w:color="auto" w:fill="auto"/>
              </w:rPr>
              <w:t>期临床</w:t>
            </w:r>
            <w:r>
              <w:rPr>
                <w:rFonts w:hint="eastAsia"/>
                <w:color w:val="000000"/>
                <w:szCs w:val="24"/>
                <w:shd w:val="clear" w:color="auto" w:fill="auto"/>
                <w:lang w:eastAsia="zh"/>
              </w:rPr>
              <w:t>研究并完成首例受试者给药，公司正努力推进</w:t>
            </w:r>
            <w:r>
              <w:rPr>
                <w:rFonts w:hint="eastAsia"/>
                <w:color w:val="000000"/>
                <w:szCs w:val="24"/>
                <w:shd w:val="clear" w:color="auto" w:fill="auto"/>
              </w:rPr>
              <w:t>短周期联合治疗方案</w:t>
            </w:r>
            <w:r>
              <w:rPr>
                <w:rFonts w:hint="eastAsia"/>
                <w:color w:val="000000"/>
                <w:szCs w:val="24"/>
                <w:shd w:val="clear" w:color="auto" w:fill="auto"/>
                <w:lang w:eastAsia="zh"/>
              </w:rPr>
              <w:t>的</w:t>
            </w:r>
            <w:r>
              <w:rPr>
                <w:rFonts w:hint="eastAsia"/>
                <w:color w:val="000000"/>
                <w:szCs w:val="24"/>
                <w:shd w:val="clear" w:color="auto" w:fill="auto"/>
              </w:rPr>
              <w:t>实施，</w:t>
            </w:r>
            <w:r>
              <w:rPr>
                <w:rFonts w:hint="eastAsia"/>
                <w:color w:val="000000"/>
                <w:szCs w:val="24"/>
                <w:shd w:val="clear" w:color="auto" w:fill="auto"/>
                <w:lang w:eastAsia="zh"/>
              </w:rPr>
              <w:t>希望</w:t>
            </w:r>
            <w:r>
              <w:rPr>
                <w:rFonts w:hint="eastAsia"/>
                <w:color w:val="000000"/>
                <w:szCs w:val="24"/>
                <w:shd w:val="clear" w:color="auto" w:fill="auto"/>
              </w:rPr>
              <w:t>明年会</w:t>
            </w:r>
            <w:r>
              <w:rPr>
                <w:rFonts w:hint="eastAsia"/>
                <w:color w:val="000000"/>
                <w:szCs w:val="24"/>
                <w:shd w:val="clear" w:color="auto" w:fill="auto"/>
                <w:lang w:eastAsia="zh"/>
              </w:rPr>
              <w:t>有相关数据读出</w:t>
            </w:r>
            <w:r>
              <w:rPr>
                <w:rFonts w:hint="eastAsia"/>
                <w:color w:val="000000"/>
                <w:szCs w:val="24"/>
                <w:shd w:val="clear" w:color="auto" w:fill="auto"/>
              </w:rPr>
              <w:t>。</w:t>
            </w:r>
            <w:r>
              <w:rPr>
                <w:rFonts w:hint="eastAsia"/>
                <w:color w:val="000000"/>
                <w:szCs w:val="24"/>
                <w:shd w:val="clear" w:color="auto" w:fill="auto"/>
                <w:lang w:eastAsia="zh"/>
              </w:rPr>
              <w:t>公司基于对疾病本身的理解、临床研究证据积累以及与临床研究专家的探讨选择关键路径布局创新管线，相信相关管线的成果转化，将积极推动乙肝临床治愈获得实质性突破。</w:t>
            </w:r>
          </w:p>
          <w:p w:rsidR="00BA72A3" w:rsidRDefault="002012D1">
            <w:pPr>
              <w:pStyle w:val="af5"/>
              <w:spacing w:beforeLines="50" w:before="156" w:afterLines="50" w:after="156"/>
              <w:ind w:firstLine="482"/>
              <w:rPr>
                <w:b/>
                <w:color w:val="000000"/>
                <w:szCs w:val="24"/>
                <w:shd w:val="clear" w:color="auto" w:fill="auto"/>
                <w:lang w:eastAsia="zh"/>
              </w:rPr>
            </w:pPr>
            <w:r>
              <w:rPr>
                <w:rFonts w:hint="eastAsia"/>
                <w:b/>
                <w:color w:val="000000"/>
                <w:szCs w:val="24"/>
                <w:shd w:val="clear" w:color="auto" w:fill="auto"/>
                <w:lang w:eastAsia="zh"/>
              </w:rPr>
              <w:t>九</w:t>
            </w:r>
            <w:r>
              <w:rPr>
                <w:rFonts w:hint="eastAsia"/>
                <w:b/>
                <w:color w:val="000000"/>
                <w:szCs w:val="24"/>
                <w:shd w:val="clear" w:color="auto" w:fill="auto"/>
              </w:rPr>
              <w:t>、</w:t>
            </w:r>
            <w:r>
              <w:rPr>
                <w:rFonts w:hint="eastAsia"/>
                <w:b/>
                <w:color w:val="000000"/>
                <w:szCs w:val="24"/>
                <w:shd w:val="clear" w:color="auto" w:fill="auto"/>
                <w:lang w:eastAsia="zh"/>
              </w:rPr>
              <w:t>如何让医患认知联合用药是更优的解决方案，以及后续在以干扰素为基础功能性治愈的推广新举措？</w:t>
            </w:r>
          </w:p>
          <w:p w:rsidR="00BA72A3" w:rsidRDefault="002012D1">
            <w:pPr>
              <w:pStyle w:val="af5"/>
              <w:ind w:firstLine="480"/>
              <w:rPr>
                <w:color w:val="000000"/>
                <w:szCs w:val="24"/>
                <w:shd w:val="clear" w:color="auto" w:fill="auto"/>
                <w:lang w:eastAsia="zh"/>
              </w:rPr>
            </w:pPr>
            <w:r>
              <w:rPr>
                <w:rFonts w:hint="eastAsia"/>
                <w:color w:val="000000"/>
                <w:szCs w:val="24"/>
                <w:shd w:val="clear" w:color="auto" w:fill="auto"/>
              </w:rPr>
              <w:t>答：</w:t>
            </w:r>
            <w:r>
              <w:rPr>
                <w:rFonts w:hint="eastAsia"/>
                <w:color w:val="000000"/>
                <w:szCs w:val="24"/>
                <w:shd w:val="clear" w:color="auto" w:fill="auto"/>
                <w:lang w:eastAsia="zh"/>
              </w:rPr>
              <w:t>公司认为</w:t>
            </w:r>
            <w:r>
              <w:rPr>
                <w:rFonts w:hint="eastAsia"/>
                <w:color w:val="000000"/>
                <w:szCs w:val="24"/>
                <w:shd w:val="clear" w:color="auto" w:fill="auto"/>
              </w:rPr>
              <w:t>从</w:t>
            </w:r>
            <w:r>
              <w:rPr>
                <w:rFonts w:hint="eastAsia"/>
                <w:color w:val="000000"/>
                <w:szCs w:val="24"/>
                <w:shd w:val="clear" w:color="auto" w:fill="auto"/>
                <w:lang w:eastAsia="zh"/>
              </w:rPr>
              <w:t>真正的</w:t>
            </w:r>
            <w:r>
              <w:rPr>
                <w:rFonts w:hint="eastAsia"/>
                <w:color w:val="000000"/>
                <w:szCs w:val="24"/>
                <w:shd w:val="clear" w:color="auto" w:fill="auto"/>
              </w:rPr>
              <w:t>患者需求和社会需求出发，应在临床研究阶段就把药物最佳联合策略做扎实</w:t>
            </w:r>
            <w:r>
              <w:rPr>
                <w:rFonts w:hint="eastAsia"/>
                <w:color w:val="000000"/>
                <w:szCs w:val="24"/>
                <w:shd w:val="clear" w:color="auto" w:fill="auto"/>
                <w:lang w:eastAsia="zh"/>
              </w:rPr>
              <w:t>。我们希望联合治疗方案能够实现“</w:t>
            </w:r>
            <w:r>
              <w:rPr>
                <w:rFonts w:hint="eastAsia"/>
                <w:color w:val="000000"/>
                <w:szCs w:val="24"/>
                <w:shd w:val="clear" w:color="auto" w:fill="auto"/>
                <w:lang w:eastAsia="zh"/>
              </w:rPr>
              <w:t>1+1&gt;2</w:t>
            </w:r>
            <w:r>
              <w:rPr>
                <w:rFonts w:hint="eastAsia"/>
                <w:color w:val="000000"/>
                <w:szCs w:val="24"/>
                <w:shd w:val="clear" w:color="auto" w:fill="auto"/>
                <w:lang w:eastAsia="zh"/>
              </w:rPr>
              <w:t>”的效</w:t>
            </w:r>
            <w:r>
              <w:rPr>
                <w:rFonts w:hint="eastAsia"/>
                <w:color w:val="000000"/>
                <w:szCs w:val="24"/>
                <w:shd w:val="clear" w:color="auto" w:fill="auto"/>
                <w:lang w:eastAsia="zh"/>
              </w:rPr>
              <w:lastRenderedPageBreak/>
              <w:t>果，针对现有</w:t>
            </w:r>
            <w:r>
              <w:rPr>
                <w:rFonts w:hint="eastAsia"/>
                <w:color w:val="000000"/>
                <w:szCs w:val="24"/>
                <w:shd w:val="clear" w:color="auto" w:fill="auto"/>
              </w:rPr>
              <w:t>反义核酸药物</w:t>
            </w:r>
            <w:r>
              <w:rPr>
                <w:rFonts w:hint="eastAsia"/>
                <w:color w:val="000000"/>
                <w:szCs w:val="24"/>
                <w:shd w:val="clear" w:color="auto" w:fill="auto"/>
                <w:lang w:eastAsia="zh"/>
              </w:rPr>
              <w:t>的局限性，以“最佳联合策略”为目标推进</w:t>
            </w:r>
            <w:r>
              <w:rPr>
                <w:rFonts w:hint="eastAsia"/>
                <w:color w:val="000000"/>
                <w:szCs w:val="24"/>
                <w:shd w:val="clear" w:color="auto" w:fill="auto"/>
                <w:lang w:eastAsia="zh"/>
              </w:rPr>
              <w:t>ACT201</w:t>
            </w:r>
            <w:r>
              <w:rPr>
                <w:rFonts w:hint="eastAsia"/>
                <w:color w:val="000000"/>
                <w:szCs w:val="24"/>
                <w:shd w:val="clear" w:color="auto" w:fill="auto"/>
                <w:lang w:eastAsia="zh"/>
              </w:rPr>
              <w:t>项目研究。</w:t>
            </w:r>
            <w:r>
              <w:rPr>
                <w:rFonts w:hint="eastAsia"/>
                <w:color w:val="000000"/>
                <w:szCs w:val="24"/>
                <w:shd w:val="clear" w:color="auto" w:fill="auto"/>
                <w:lang w:eastAsia="zh"/>
              </w:rPr>
              <w:t>ACT201</w:t>
            </w:r>
            <w:r>
              <w:rPr>
                <w:rFonts w:hint="eastAsia"/>
                <w:color w:val="000000"/>
                <w:szCs w:val="24"/>
                <w:shd w:val="clear" w:color="auto" w:fill="auto"/>
                <w:lang w:eastAsia="zh"/>
              </w:rPr>
              <w:t>注射液对乙型肝炎表面抗原（</w:t>
            </w:r>
            <w:r>
              <w:rPr>
                <w:rFonts w:hint="eastAsia"/>
                <w:color w:val="000000"/>
                <w:szCs w:val="24"/>
                <w:shd w:val="clear" w:color="auto" w:fill="auto"/>
                <w:lang w:eastAsia="zh"/>
              </w:rPr>
              <w:t>HBsAg</w:t>
            </w:r>
            <w:r>
              <w:rPr>
                <w:rFonts w:hint="eastAsia"/>
                <w:color w:val="000000"/>
                <w:szCs w:val="24"/>
                <w:shd w:val="clear" w:color="auto" w:fill="auto"/>
                <w:lang w:eastAsia="zh"/>
              </w:rPr>
              <w:t>）的抑制活性、肝脏药物暴露水平优于目前同类产品，有更低的脱靶毒性、安全性更佳，具有成为该领域同类最佳（</w:t>
            </w:r>
            <w:r>
              <w:rPr>
                <w:rFonts w:hint="eastAsia"/>
                <w:color w:val="000000"/>
                <w:szCs w:val="24"/>
                <w:shd w:val="clear" w:color="auto" w:fill="auto"/>
                <w:lang w:eastAsia="zh"/>
              </w:rPr>
              <w:t>Best-in-Class</w:t>
            </w:r>
            <w:r>
              <w:rPr>
                <w:rFonts w:hint="eastAsia"/>
                <w:color w:val="000000"/>
                <w:szCs w:val="24"/>
                <w:shd w:val="clear" w:color="auto" w:fill="auto"/>
                <w:lang w:eastAsia="zh"/>
              </w:rPr>
              <w:t>）药物的潜力，与派格宾等药物联用，有望快速降低表面抗原，进一步降低治疗期间</w:t>
            </w:r>
            <w:r>
              <w:rPr>
                <w:rFonts w:hint="eastAsia"/>
                <w:color w:val="000000"/>
                <w:szCs w:val="24"/>
                <w:shd w:val="clear" w:color="auto" w:fill="auto"/>
                <w:lang w:eastAsia="zh"/>
              </w:rPr>
              <w:t>HBV</w:t>
            </w:r>
            <w:r>
              <w:rPr>
                <w:rFonts w:hint="eastAsia"/>
                <w:color w:val="000000"/>
                <w:szCs w:val="24"/>
                <w:shd w:val="clear" w:color="auto" w:fill="auto"/>
                <w:lang w:eastAsia="zh"/>
              </w:rPr>
              <w:t>感染对机体免疫系统的抑制，在实现更高临床治愈率、实现更短治疗周期的过程中发挥重要作用。</w:t>
            </w:r>
          </w:p>
          <w:p w:rsidR="00BA72A3" w:rsidRDefault="002012D1">
            <w:pPr>
              <w:pStyle w:val="af5"/>
              <w:ind w:firstLine="480"/>
              <w:rPr>
                <w:color w:val="000000"/>
                <w:szCs w:val="24"/>
                <w:shd w:val="clear" w:color="auto" w:fill="auto"/>
              </w:rPr>
            </w:pPr>
            <w:r>
              <w:rPr>
                <w:rFonts w:hint="eastAsia"/>
                <w:color w:val="000000"/>
                <w:szCs w:val="24"/>
                <w:shd w:val="clear" w:color="auto" w:fill="auto"/>
                <w:lang w:eastAsia="zh"/>
              </w:rPr>
              <w:t>目前</w:t>
            </w:r>
            <w:r>
              <w:rPr>
                <w:rFonts w:hint="eastAsia"/>
                <w:color w:val="000000"/>
                <w:szCs w:val="24"/>
                <w:shd w:val="clear" w:color="auto" w:fill="auto"/>
              </w:rPr>
              <w:t>派格宾从极低表面抗原到免疫耐受期最高表面抗原人群，都有大量真实世界</w:t>
            </w:r>
            <w:r>
              <w:rPr>
                <w:rFonts w:hint="eastAsia"/>
                <w:color w:val="000000"/>
                <w:szCs w:val="24"/>
                <w:shd w:val="clear" w:color="auto" w:fill="auto"/>
                <w:lang w:eastAsia="zh"/>
              </w:rPr>
              <w:t>的</w:t>
            </w:r>
            <w:r>
              <w:rPr>
                <w:rFonts w:hint="eastAsia"/>
                <w:color w:val="000000"/>
                <w:szCs w:val="24"/>
                <w:shd w:val="clear" w:color="auto" w:fill="auto"/>
              </w:rPr>
              <w:t>治疗数据积累，为联合策略选择提供扎实的生物学理解和科学实验设计基础</w:t>
            </w:r>
            <w:r>
              <w:rPr>
                <w:rFonts w:hint="eastAsia"/>
                <w:color w:val="000000"/>
                <w:szCs w:val="24"/>
                <w:shd w:val="clear" w:color="auto" w:fill="auto"/>
                <w:lang w:eastAsia="zh"/>
              </w:rPr>
              <w:t>。公司将基于派格宾的循证医学证据持续优化联合治疗方案，更好地发挥创新产品在缩短治疗周期、进一步提高临床治愈率方面的作用，</w:t>
            </w:r>
            <w:r>
              <w:rPr>
                <w:rFonts w:hint="eastAsia"/>
                <w:color w:val="000000"/>
                <w:szCs w:val="24"/>
                <w:shd w:val="clear" w:color="auto" w:fill="auto"/>
              </w:rPr>
              <w:t>用最佳联合策略</w:t>
            </w:r>
            <w:r>
              <w:rPr>
                <w:rFonts w:hint="eastAsia"/>
                <w:color w:val="000000"/>
                <w:szCs w:val="24"/>
                <w:shd w:val="clear" w:color="auto" w:fill="auto"/>
                <w:lang w:eastAsia="zh"/>
              </w:rPr>
              <w:t>助力</w:t>
            </w:r>
            <w:r>
              <w:rPr>
                <w:rFonts w:hint="eastAsia"/>
                <w:color w:val="000000"/>
                <w:szCs w:val="24"/>
                <w:shd w:val="clear" w:color="auto" w:fill="auto"/>
              </w:rPr>
              <w:t>患者和社会解决问题，凭</w:t>
            </w:r>
            <w:r>
              <w:rPr>
                <w:rFonts w:hint="eastAsia"/>
                <w:color w:val="000000"/>
                <w:szCs w:val="24"/>
                <w:shd w:val="clear" w:color="auto" w:fill="auto"/>
                <w:lang w:eastAsia="zh"/>
              </w:rPr>
              <w:t>借</w:t>
            </w:r>
            <w:r>
              <w:rPr>
                <w:rFonts w:hint="eastAsia"/>
                <w:color w:val="000000"/>
                <w:szCs w:val="24"/>
                <w:shd w:val="clear" w:color="auto" w:fill="auto"/>
              </w:rPr>
              <w:t>产品和技术解决方案能力赢得市场竞争。</w:t>
            </w:r>
          </w:p>
          <w:p w:rsidR="00BA72A3" w:rsidRDefault="002012D1">
            <w:pPr>
              <w:pStyle w:val="af5"/>
              <w:spacing w:beforeLines="50" w:before="156" w:afterLines="50" w:after="156"/>
              <w:ind w:firstLine="482"/>
              <w:rPr>
                <w:b/>
                <w:color w:val="000000"/>
                <w:szCs w:val="24"/>
                <w:shd w:val="clear" w:color="auto" w:fill="auto"/>
                <w:lang w:eastAsia="zh"/>
              </w:rPr>
            </w:pPr>
            <w:r>
              <w:rPr>
                <w:rFonts w:hint="eastAsia"/>
                <w:b/>
                <w:color w:val="000000"/>
                <w:szCs w:val="24"/>
                <w:shd w:val="clear" w:color="auto" w:fill="auto"/>
                <w:lang w:eastAsia="zh"/>
              </w:rPr>
              <w:t>十、派格宾真实世界的研究证据对提高认知的催化作用？</w:t>
            </w:r>
          </w:p>
          <w:p w:rsidR="00BA72A3" w:rsidRDefault="002012D1">
            <w:pPr>
              <w:pStyle w:val="af5"/>
              <w:spacing w:after="10"/>
              <w:ind w:firstLine="480"/>
              <w:rPr>
                <w:color w:val="000000"/>
                <w:szCs w:val="24"/>
                <w:shd w:val="clear" w:color="auto" w:fill="auto"/>
              </w:rPr>
            </w:pPr>
            <w:r>
              <w:rPr>
                <w:rFonts w:hint="eastAsia"/>
                <w:color w:val="000000"/>
                <w:szCs w:val="24"/>
                <w:shd w:val="clear" w:color="auto" w:fill="auto"/>
              </w:rPr>
              <w:t>答：</w:t>
            </w:r>
            <w:r>
              <w:rPr>
                <w:rFonts w:hint="eastAsia"/>
                <w:color w:val="000000"/>
                <w:szCs w:val="24"/>
                <w:shd w:val="clear" w:color="auto" w:fill="auto"/>
                <w:lang w:eastAsia="zh"/>
              </w:rPr>
              <w:t>公司围绕慢乙肝临床治愈和肝癌预防持续支持了包括“珠峰”、“绿洲”、“星光”、“萌芽”、“致远”等多项公益或科研项目，推动治疗策略从“优势人群”向“全人群”延伸，并取得一系列阶段性成果。在临床治愈方面，目前乙肝临床治愈理念已被广泛接受认可，派格宾在临床治愈基石药物地位进一步深化；在肝癌预防方面，相关证据表明派格宾联合治疗能够显著提高疗效，降低肝癌发生风险。随着临床治愈理念加速普及，以及派格宾在实现临床治愈和肝癌预防的循证医学证据不断强化，接受治疗的患者将不断增加</w:t>
            </w:r>
            <w:r>
              <w:rPr>
                <w:rFonts w:hint="eastAsia"/>
                <w:color w:val="000000"/>
                <w:szCs w:val="24"/>
                <w:shd w:val="clear" w:color="auto" w:fill="auto"/>
              </w:rPr>
              <w:t>。</w:t>
            </w:r>
          </w:p>
          <w:p w:rsidR="00BA72A3" w:rsidRDefault="002012D1">
            <w:pPr>
              <w:pStyle w:val="af5"/>
              <w:ind w:firstLine="480"/>
              <w:rPr>
                <w:color w:val="000000" w:themeColor="text1"/>
                <w:szCs w:val="24"/>
                <w:shd w:val="clear" w:color="auto" w:fill="auto"/>
              </w:rPr>
            </w:pPr>
            <w:r>
              <w:rPr>
                <w:rFonts w:hint="eastAsia"/>
                <w:color w:val="000000"/>
                <w:szCs w:val="24"/>
                <w:shd w:val="clear" w:color="auto" w:fill="auto"/>
                <w:lang w:eastAsia="zh"/>
              </w:rPr>
              <w:t>未来，公司将持续优化派格宾联合治疗方案，进</w:t>
            </w:r>
            <w:r>
              <w:rPr>
                <w:rFonts w:hint="eastAsia"/>
                <w:color w:val="000000"/>
                <w:szCs w:val="24"/>
                <w:shd w:val="clear" w:color="auto" w:fill="auto"/>
                <w:lang w:eastAsia="zh"/>
              </w:rPr>
              <w:lastRenderedPageBreak/>
              <w:t>一步提升临床治愈率，同时强化其在肝癌预防方面的真实世界和循证医学证据积累，积极推进</w:t>
            </w:r>
            <w:r>
              <w:rPr>
                <w:rFonts w:ascii="宋体" w:hAnsi="宋体" w:cs="宋体"/>
                <w:szCs w:val="24"/>
              </w:rPr>
              <w:t>包括派格宾在免疫调控、治愈持久性、免疫系统正向影响、降低肝癌风险等</w:t>
            </w:r>
            <w:r>
              <w:rPr>
                <w:rFonts w:ascii="宋体" w:hAnsi="宋体" w:cs="宋体" w:hint="eastAsia"/>
                <w:szCs w:val="24"/>
                <w:lang w:eastAsia="zh"/>
              </w:rPr>
              <w:t>方面</w:t>
            </w:r>
            <w:r>
              <w:rPr>
                <w:rFonts w:hint="eastAsia"/>
                <w:color w:val="000000"/>
                <w:szCs w:val="24"/>
                <w:shd w:val="clear" w:color="auto" w:fill="auto"/>
                <w:lang w:eastAsia="zh"/>
              </w:rPr>
              <w:t>证据的传递和推广工作，</w:t>
            </w:r>
            <w:r>
              <w:rPr>
                <w:rFonts w:ascii="宋体" w:hAnsi="宋体" w:cs="宋体" w:hint="eastAsia"/>
                <w:szCs w:val="24"/>
                <w:lang w:eastAsia="zh"/>
              </w:rPr>
              <w:t>为</w:t>
            </w:r>
            <w:r>
              <w:rPr>
                <w:rFonts w:ascii="宋体" w:hAnsi="宋体" w:cs="宋体"/>
                <w:szCs w:val="24"/>
              </w:rPr>
              <w:t>专家和患者</w:t>
            </w:r>
            <w:r>
              <w:rPr>
                <w:rFonts w:ascii="宋体" w:hAnsi="宋体" w:cs="宋体" w:hint="eastAsia"/>
                <w:szCs w:val="24"/>
                <w:lang w:eastAsia="zh"/>
              </w:rPr>
              <w:t>提供</w:t>
            </w:r>
            <w:r>
              <w:rPr>
                <w:rFonts w:ascii="宋体" w:hAnsi="宋体" w:cs="宋体"/>
                <w:szCs w:val="24"/>
              </w:rPr>
              <w:t>更多更</w:t>
            </w:r>
            <w:r>
              <w:rPr>
                <w:rFonts w:ascii="宋体" w:hAnsi="宋体" w:cs="宋体" w:hint="eastAsia"/>
                <w:szCs w:val="24"/>
                <w:lang w:eastAsia="zh"/>
              </w:rPr>
              <w:t>优的治疗</w:t>
            </w:r>
            <w:r>
              <w:rPr>
                <w:rFonts w:ascii="宋体" w:hAnsi="宋体" w:cs="宋体"/>
                <w:szCs w:val="24"/>
              </w:rPr>
              <w:t>选择。</w:t>
            </w:r>
          </w:p>
        </w:tc>
      </w:tr>
      <w:tr w:rsidR="00BA72A3" w:rsidTr="0052196F">
        <w:trPr>
          <w:trHeight w:val="1976"/>
          <w:jc w:val="center"/>
        </w:trPr>
        <w:tc>
          <w:tcPr>
            <w:tcW w:w="1437" w:type="pct"/>
            <w:vAlign w:val="center"/>
          </w:tcPr>
          <w:p w:rsidR="00BA72A3" w:rsidRDefault="002012D1">
            <w:pPr>
              <w:autoSpaceDE w:val="0"/>
              <w:autoSpaceDN w:val="0"/>
              <w:adjustRightInd w:val="0"/>
              <w:spacing w:line="460" w:lineRule="exact"/>
              <w:jc w:val="center"/>
              <w:rPr>
                <w:rFonts w:ascii="宋体" w:hAnsi="Calibri" w:cs="宋体"/>
                <w:color w:val="000000"/>
                <w:kern w:val="0"/>
                <w:sz w:val="24"/>
              </w:rPr>
            </w:pPr>
            <w:r>
              <w:rPr>
                <w:rFonts w:ascii="宋体" w:hAnsi="Calibri" w:cs="宋体" w:hint="eastAsia"/>
                <w:color w:val="000000"/>
                <w:kern w:val="0"/>
                <w:sz w:val="24"/>
              </w:rPr>
              <w:lastRenderedPageBreak/>
              <w:t>关于本次活动是否涉及应当披露重大信息的说明</w:t>
            </w:r>
          </w:p>
        </w:tc>
        <w:tc>
          <w:tcPr>
            <w:tcW w:w="3563" w:type="pct"/>
            <w:vAlign w:val="center"/>
          </w:tcPr>
          <w:p w:rsidR="00BA72A3" w:rsidRDefault="002012D1">
            <w:pPr>
              <w:spacing w:line="460" w:lineRule="exact"/>
              <w:ind w:firstLineChars="200" w:firstLine="480"/>
              <w:rPr>
                <w:rFonts w:ascii="宋体" w:hAnsi="宋体" w:cs="黑体"/>
                <w:color w:val="000000"/>
                <w:kern w:val="0"/>
                <w:sz w:val="24"/>
              </w:rPr>
            </w:pPr>
            <w:r>
              <w:rPr>
                <w:rFonts w:ascii="宋体" w:hAnsi="宋体" w:cs="黑体" w:hint="eastAsia"/>
                <w:color w:val="000000"/>
                <w:kern w:val="0"/>
                <w:sz w:val="24"/>
              </w:rPr>
              <w:t>接待过程中，公司与投资者进行了充分的交流与沟通，并严格按照公司《信息披露管理制度》等规定，保证信息披露的真实、准确、完整、及时、公平，没有出现未公开重大信息泄露等情况。</w:t>
            </w:r>
          </w:p>
        </w:tc>
      </w:tr>
      <w:tr w:rsidR="00BA72A3">
        <w:trPr>
          <w:trHeight w:val="567"/>
          <w:jc w:val="center"/>
        </w:trPr>
        <w:tc>
          <w:tcPr>
            <w:tcW w:w="1437" w:type="pct"/>
            <w:vAlign w:val="center"/>
          </w:tcPr>
          <w:p w:rsidR="00BA72A3" w:rsidRDefault="002012D1">
            <w:pPr>
              <w:autoSpaceDE w:val="0"/>
              <w:autoSpaceDN w:val="0"/>
              <w:adjustRightInd w:val="0"/>
              <w:jc w:val="center"/>
              <w:rPr>
                <w:rFonts w:ascii="宋体" w:hAnsi="Calibri" w:cs="宋体"/>
                <w:color w:val="000000"/>
                <w:kern w:val="0"/>
                <w:sz w:val="24"/>
                <w:lang w:eastAsia="zh"/>
              </w:rPr>
            </w:pPr>
            <w:r>
              <w:rPr>
                <w:rFonts w:ascii="宋体" w:hAnsi="Calibri" w:cs="宋体" w:hint="eastAsia"/>
                <w:color w:val="000000"/>
                <w:kern w:val="0"/>
                <w:sz w:val="24"/>
              </w:rPr>
              <w:t>附件清单</w:t>
            </w:r>
            <w:r>
              <w:rPr>
                <w:rFonts w:ascii="宋体" w:hAnsi="Calibri" w:cs="宋体" w:hint="eastAsia"/>
                <w:color w:val="000000"/>
                <w:kern w:val="0"/>
                <w:sz w:val="24"/>
                <w:lang w:eastAsia="zh"/>
              </w:rPr>
              <w:t>（如有）</w:t>
            </w:r>
          </w:p>
        </w:tc>
        <w:tc>
          <w:tcPr>
            <w:tcW w:w="3563" w:type="pct"/>
            <w:vAlign w:val="center"/>
          </w:tcPr>
          <w:p w:rsidR="00BA72A3" w:rsidRDefault="002012D1">
            <w:pPr>
              <w:jc w:val="left"/>
              <w:rPr>
                <w:rFonts w:ascii="宋体" w:hAnsi="宋体" w:cs="黑体"/>
                <w:color w:val="000000"/>
                <w:kern w:val="0"/>
                <w:sz w:val="24"/>
              </w:rPr>
            </w:pPr>
            <w:r>
              <w:rPr>
                <w:rFonts w:ascii="宋体" w:hAnsi="宋体" w:cs="黑体" w:hint="eastAsia"/>
                <w:color w:val="000000"/>
                <w:kern w:val="0"/>
                <w:sz w:val="24"/>
              </w:rPr>
              <w:t>无</w:t>
            </w:r>
          </w:p>
        </w:tc>
      </w:tr>
      <w:tr w:rsidR="00BA72A3">
        <w:trPr>
          <w:trHeight w:val="567"/>
          <w:jc w:val="center"/>
        </w:trPr>
        <w:tc>
          <w:tcPr>
            <w:tcW w:w="1437" w:type="pct"/>
            <w:vAlign w:val="center"/>
          </w:tcPr>
          <w:p w:rsidR="00BA72A3" w:rsidRDefault="002012D1">
            <w:pPr>
              <w:autoSpaceDE w:val="0"/>
              <w:autoSpaceDN w:val="0"/>
              <w:adjustRightInd w:val="0"/>
              <w:jc w:val="center"/>
              <w:rPr>
                <w:color w:val="000000"/>
                <w:kern w:val="0"/>
                <w:sz w:val="24"/>
              </w:rPr>
            </w:pPr>
            <w:r>
              <w:rPr>
                <w:rFonts w:hint="eastAsia"/>
                <w:color w:val="000000"/>
                <w:kern w:val="0"/>
                <w:sz w:val="24"/>
              </w:rPr>
              <w:t>日期</w:t>
            </w:r>
          </w:p>
        </w:tc>
        <w:tc>
          <w:tcPr>
            <w:tcW w:w="3563" w:type="pct"/>
            <w:vAlign w:val="center"/>
          </w:tcPr>
          <w:p w:rsidR="00BA72A3" w:rsidRDefault="002012D1">
            <w:pPr>
              <w:autoSpaceDE w:val="0"/>
              <w:autoSpaceDN w:val="0"/>
              <w:adjustRightInd w:val="0"/>
              <w:rPr>
                <w:color w:val="000000"/>
                <w:kern w:val="0"/>
                <w:sz w:val="24"/>
              </w:rPr>
            </w:pPr>
            <w:r>
              <w:rPr>
                <w:rFonts w:hint="eastAsia"/>
                <w:kern w:val="0"/>
                <w:sz w:val="24"/>
              </w:rPr>
              <w:t>2026</w:t>
            </w:r>
            <w:r>
              <w:rPr>
                <w:rFonts w:hint="eastAsia"/>
                <w:kern w:val="0"/>
                <w:sz w:val="24"/>
              </w:rPr>
              <w:t>年</w:t>
            </w:r>
            <w:r>
              <w:rPr>
                <w:rFonts w:hint="eastAsia"/>
                <w:kern w:val="0"/>
                <w:sz w:val="24"/>
                <w:lang w:eastAsia="zh"/>
              </w:rPr>
              <w:t>8</w:t>
            </w:r>
            <w:r>
              <w:rPr>
                <w:rFonts w:hint="eastAsia"/>
                <w:kern w:val="0"/>
                <w:sz w:val="24"/>
              </w:rPr>
              <w:t>月</w:t>
            </w:r>
            <w:r>
              <w:rPr>
                <w:rFonts w:hint="eastAsia"/>
                <w:kern w:val="0"/>
                <w:sz w:val="24"/>
                <w:lang w:eastAsia="zh"/>
              </w:rPr>
              <w:t>19</w:t>
            </w:r>
            <w:r>
              <w:rPr>
                <w:rFonts w:hint="eastAsia"/>
                <w:kern w:val="0"/>
                <w:sz w:val="24"/>
              </w:rPr>
              <w:t>日</w:t>
            </w:r>
          </w:p>
        </w:tc>
      </w:tr>
    </w:tbl>
    <w:p w:rsidR="00BA72A3" w:rsidRDefault="00BA72A3" w:rsidP="00A3369B">
      <w:pPr>
        <w:spacing w:line="20" w:lineRule="atLeast"/>
        <w:rPr>
          <w:rFonts w:ascii="黑体" w:eastAsia="黑体" w:cs="黑体"/>
          <w:color w:val="000000"/>
          <w:kern w:val="0"/>
          <w:sz w:val="28"/>
          <w:szCs w:val="28"/>
        </w:rPr>
      </w:pPr>
    </w:p>
    <w:sectPr w:rsidR="00BA72A3">
      <w:footerReference w:type="default" r:id="rId10"/>
      <w:headerReference w:type="first" r:id="rId11"/>
      <w:pgSz w:w="11906" w:h="16838"/>
      <w:pgMar w:top="993" w:right="1797" w:bottom="851" w:left="1797" w:header="851" w:footer="897"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16F1B" w:rsidRDefault="00616F1B">
      <w:r>
        <w:separator/>
      </w:r>
    </w:p>
  </w:endnote>
  <w:endnote w:type="continuationSeparator" w:id="0">
    <w:p w:rsidR="00616F1B" w:rsidRDefault="00616F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default"/>
    <w:sig w:usb0="E10002FF" w:usb1="4000FCFF" w:usb2="00000009" w:usb3="00000000" w:csb0="6000019F" w:csb1="DFD70000"/>
  </w:font>
  <w:font w:name="Courier New">
    <w:panose1 w:val="02070309020205020404"/>
    <w:charset w:val="01"/>
    <w:family w:val="modern"/>
    <w:pitch w:val="default"/>
    <w:sig w:usb0="E0002AFF" w:usb1="C0007843" w:usb2="00000009" w:usb3="00000000" w:csb0="400001FF" w:csb1="FFFF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
    </w:sdtPr>
    <w:sdtEndPr/>
    <w:sdtContent>
      <w:p w:rsidR="00BA72A3" w:rsidRDefault="002012D1">
        <w:pPr>
          <w:pStyle w:val="a7"/>
          <w:jc w:val="center"/>
        </w:pPr>
        <w:r>
          <w:fldChar w:fldCharType="begin"/>
        </w:r>
        <w:r>
          <w:instrText>PAGE   \* MERGEFORMAT</w:instrText>
        </w:r>
        <w:r>
          <w:fldChar w:fldCharType="separate"/>
        </w:r>
        <w:r>
          <w:rPr>
            <w:lang w:val="zh-CN"/>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16F1B" w:rsidRDefault="00616F1B">
      <w:r>
        <w:separator/>
      </w:r>
    </w:p>
  </w:footnote>
  <w:footnote w:type="continuationSeparator" w:id="0">
    <w:p w:rsidR="00616F1B" w:rsidRDefault="00616F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72A3" w:rsidRDefault="00BA72A3">
    <w:pPr>
      <w:pStyle w:val="a9"/>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9D7CE60"/>
    <w:multiLevelType w:val="singleLevel"/>
    <w:tmpl w:val="79D7CE60"/>
    <w:lvl w:ilvl="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grammar="clean"/>
  <w:defaultTabStop w:val="720"/>
  <w:drawingGridHorizontalSpacing w:val="105"/>
  <w:drawingGridVerticalSpacing w:val="156"/>
  <w:doNotShadeFormData/>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53F6"/>
    <w:rsid w:val="8B3F174F"/>
    <w:rsid w:val="8D36E612"/>
    <w:rsid w:val="905F28EE"/>
    <w:rsid w:val="9ABF9D1C"/>
    <w:rsid w:val="9FEA241B"/>
    <w:rsid w:val="A3AF95FA"/>
    <w:rsid w:val="A3E7A9EA"/>
    <w:rsid w:val="A5FF72C5"/>
    <w:rsid w:val="AB7196A9"/>
    <w:rsid w:val="ADDF710A"/>
    <w:rsid w:val="AECF38F5"/>
    <w:rsid w:val="AEE93835"/>
    <w:rsid w:val="AF7D7FE9"/>
    <w:rsid w:val="B1DB3B6B"/>
    <w:rsid w:val="B3CD8E4B"/>
    <w:rsid w:val="B6F2EBC4"/>
    <w:rsid w:val="B6F6214B"/>
    <w:rsid w:val="B6FF3751"/>
    <w:rsid w:val="B756C753"/>
    <w:rsid w:val="B7B325B4"/>
    <w:rsid w:val="B7D150EE"/>
    <w:rsid w:val="B7EF12BB"/>
    <w:rsid w:val="B7FF5584"/>
    <w:rsid w:val="B7FF8FE0"/>
    <w:rsid w:val="BB2704A7"/>
    <w:rsid w:val="BB3D1CE2"/>
    <w:rsid w:val="BB3E3256"/>
    <w:rsid w:val="BBAB8964"/>
    <w:rsid w:val="BBD7CE78"/>
    <w:rsid w:val="BBFFFFAD"/>
    <w:rsid w:val="BC3D00E5"/>
    <w:rsid w:val="BDED6DAA"/>
    <w:rsid w:val="BDFE04A5"/>
    <w:rsid w:val="BEAFC38C"/>
    <w:rsid w:val="BF5BD190"/>
    <w:rsid w:val="BF7F7F91"/>
    <w:rsid w:val="BF9EB43A"/>
    <w:rsid w:val="BFB7EF0B"/>
    <w:rsid w:val="BFC378DB"/>
    <w:rsid w:val="BFDFBA2D"/>
    <w:rsid w:val="BFE8B73A"/>
    <w:rsid w:val="C0F787F8"/>
    <w:rsid w:val="CABF8DF3"/>
    <w:rsid w:val="CE5D5083"/>
    <w:rsid w:val="CE7D3720"/>
    <w:rsid w:val="CE9DEBD9"/>
    <w:rsid w:val="CF1FE8E4"/>
    <w:rsid w:val="CFEFA4DD"/>
    <w:rsid w:val="D3FC8821"/>
    <w:rsid w:val="D6BF662F"/>
    <w:rsid w:val="D77BC5C8"/>
    <w:rsid w:val="D89FD2F3"/>
    <w:rsid w:val="D8B70FA5"/>
    <w:rsid w:val="D9FF3D75"/>
    <w:rsid w:val="DAC71DAB"/>
    <w:rsid w:val="DB5B300C"/>
    <w:rsid w:val="DB5EBABE"/>
    <w:rsid w:val="DB6D422A"/>
    <w:rsid w:val="DBFAA308"/>
    <w:rsid w:val="DCEF754D"/>
    <w:rsid w:val="DD5C73FA"/>
    <w:rsid w:val="DD77A203"/>
    <w:rsid w:val="DD7B1757"/>
    <w:rsid w:val="DD7C7A71"/>
    <w:rsid w:val="DDFB7740"/>
    <w:rsid w:val="DEB964B8"/>
    <w:rsid w:val="DED738FC"/>
    <w:rsid w:val="DF5D42D7"/>
    <w:rsid w:val="DFBF96CD"/>
    <w:rsid w:val="DFCB2A3B"/>
    <w:rsid w:val="DFCF8A1E"/>
    <w:rsid w:val="DFEB6E0E"/>
    <w:rsid w:val="DFF4C74F"/>
    <w:rsid w:val="DFF5C950"/>
    <w:rsid w:val="DFF6B3C3"/>
    <w:rsid w:val="DFFB794D"/>
    <w:rsid w:val="DFFF8152"/>
    <w:rsid w:val="E3D77DB6"/>
    <w:rsid w:val="E5F9749A"/>
    <w:rsid w:val="E5FD3D08"/>
    <w:rsid w:val="E7DD124D"/>
    <w:rsid w:val="E7EE2585"/>
    <w:rsid w:val="EAFEDC80"/>
    <w:rsid w:val="EBCF0DF0"/>
    <w:rsid w:val="EBEFB52C"/>
    <w:rsid w:val="EDE7D2DD"/>
    <w:rsid w:val="EDFEFAB5"/>
    <w:rsid w:val="EDFF1134"/>
    <w:rsid w:val="EE7FA752"/>
    <w:rsid w:val="EE9FA2AB"/>
    <w:rsid w:val="EEB50B65"/>
    <w:rsid w:val="EEEBD5CB"/>
    <w:rsid w:val="EEFBECB8"/>
    <w:rsid w:val="EEFFAABD"/>
    <w:rsid w:val="EF3E9C69"/>
    <w:rsid w:val="EFDF096B"/>
    <w:rsid w:val="EFE9CFFE"/>
    <w:rsid w:val="EFF656D3"/>
    <w:rsid w:val="EFF77F22"/>
    <w:rsid w:val="EFFE3806"/>
    <w:rsid w:val="EFFE6277"/>
    <w:rsid w:val="EFFF8F1C"/>
    <w:rsid w:val="F29F6930"/>
    <w:rsid w:val="F318F1FF"/>
    <w:rsid w:val="F3715FC2"/>
    <w:rsid w:val="F37FFE23"/>
    <w:rsid w:val="F3DE5A33"/>
    <w:rsid w:val="F457789A"/>
    <w:rsid w:val="F5AF91A4"/>
    <w:rsid w:val="F5DB11D1"/>
    <w:rsid w:val="F679B754"/>
    <w:rsid w:val="F77631D6"/>
    <w:rsid w:val="F77F68EC"/>
    <w:rsid w:val="F7B4C45F"/>
    <w:rsid w:val="F7BFBB78"/>
    <w:rsid w:val="F7FF811B"/>
    <w:rsid w:val="F85FAE22"/>
    <w:rsid w:val="F9CE2F30"/>
    <w:rsid w:val="F9FF0C38"/>
    <w:rsid w:val="FABF53E8"/>
    <w:rsid w:val="FAFD6B64"/>
    <w:rsid w:val="FBD94AD9"/>
    <w:rsid w:val="FBEB984B"/>
    <w:rsid w:val="FBF3C5AC"/>
    <w:rsid w:val="FBFC0525"/>
    <w:rsid w:val="FC7F6852"/>
    <w:rsid w:val="FD5FD491"/>
    <w:rsid w:val="FDBCFF26"/>
    <w:rsid w:val="FDDF3C4E"/>
    <w:rsid w:val="FDDFD74A"/>
    <w:rsid w:val="FDE74D76"/>
    <w:rsid w:val="FDFB243D"/>
    <w:rsid w:val="FDFF5CFC"/>
    <w:rsid w:val="FE57A2D7"/>
    <w:rsid w:val="FE77B12A"/>
    <w:rsid w:val="FE8D19F8"/>
    <w:rsid w:val="FEB74C22"/>
    <w:rsid w:val="FECFA202"/>
    <w:rsid w:val="FECFD10C"/>
    <w:rsid w:val="FEFFA1D3"/>
    <w:rsid w:val="FF66F9FE"/>
    <w:rsid w:val="FF73C86C"/>
    <w:rsid w:val="FF7A30A5"/>
    <w:rsid w:val="FF7BD010"/>
    <w:rsid w:val="FF7FE625"/>
    <w:rsid w:val="FFB94665"/>
    <w:rsid w:val="FFBBA03A"/>
    <w:rsid w:val="FFBE0746"/>
    <w:rsid w:val="FFBF3468"/>
    <w:rsid w:val="FFC77282"/>
    <w:rsid w:val="FFD73A58"/>
    <w:rsid w:val="FFDF4D17"/>
    <w:rsid w:val="FFE6C39C"/>
    <w:rsid w:val="FFEEA024"/>
    <w:rsid w:val="FFEF8D00"/>
    <w:rsid w:val="FFEFFC51"/>
    <w:rsid w:val="FFF7C515"/>
    <w:rsid w:val="FFFD2E84"/>
    <w:rsid w:val="FFFE4454"/>
    <w:rsid w:val="FFFF5007"/>
    <w:rsid w:val="00000B99"/>
    <w:rsid w:val="00000C3F"/>
    <w:rsid w:val="00001E48"/>
    <w:rsid w:val="0000227C"/>
    <w:rsid w:val="00002DB6"/>
    <w:rsid w:val="000065CA"/>
    <w:rsid w:val="0000707E"/>
    <w:rsid w:val="000125BA"/>
    <w:rsid w:val="000127EB"/>
    <w:rsid w:val="0001294D"/>
    <w:rsid w:val="00013170"/>
    <w:rsid w:val="00014319"/>
    <w:rsid w:val="00014F74"/>
    <w:rsid w:val="00017945"/>
    <w:rsid w:val="00017B4C"/>
    <w:rsid w:val="00020913"/>
    <w:rsid w:val="00026FD9"/>
    <w:rsid w:val="000275E4"/>
    <w:rsid w:val="00031559"/>
    <w:rsid w:val="000325E1"/>
    <w:rsid w:val="00033EB1"/>
    <w:rsid w:val="0004604E"/>
    <w:rsid w:val="00046AD4"/>
    <w:rsid w:val="000502E7"/>
    <w:rsid w:val="00055922"/>
    <w:rsid w:val="00057E8D"/>
    <w:rsid w:val="00062C74"/>
    <w:rsid w:val="0006362C"/>
    <w:rsid w:val="00063A49"/>
    <w:rsid w:val="00066671"/>
    <w:rsid w:val="00066A51"/>
    <w:rsid w:val="00070AFC"/>
    <w:rsid w:val="00070B49"/>
    <w:rsid w:val="00070C9B"/>
    <w:rsid w:val="00072AED"/>
    <w:rsid w:val="000737BD"/>
    <w:rsid w:val="000770BC"/>
    <w:rsid w:val="000806A0"/>
    <w:rsid w:val="0008251C"/>
    <w:rsid w:val="00083E24"/>
    <w:rsid w:val="00085506"/>
    <w:rsid w:val="00090199"/>
    <w:rsid w:val="00093E67"/>
    <w:rsid w:val="00096874"/>
    <w:rsid w:val="000A0063"/>
    <w:rsid w:val="000A16EE"/>
    <w:rsid w:val="000A4DEB"/>
    <w:rsid w:val="000A6FB9"/>
    <w:rsid w:val="000B2347"/>
    <w:rsid w:val="000B4BA6"/>
    <w:rsid w:val="000C128B"/>
    <w:rsid w:val="000D0FCA"/>
    <w:rsid w:val="000D3B07"/>
    <w:rsid w:val="000D5717"/>
    <w:rsid w:val="000D799E"/>
    <w:rsid w:val="000E4244"/>
    <w:rsid w:val="000E518C"/>
    <w:rsid w:val="000E6016"/>
    <w:rsid w:val="000F15C1"/>
    <w:rsid w:val="000F25AB"/>
    <w:rsid w:val="000F2782"/>
    <w:rsid w:val="000F3C5A"/>
    <w:rsid w:val="000F60A2"/>
    <w:rsid w:val="001107B6"/>
    <w:rsid w:val="00112EDC"/>
    <w:rsid w:val="00113527"/>
    <w:rsid w:val="00116C64"/>
    <w:rsid w:val="001246D4"/>
    <w:rsid w:val="00131D47"/>
    <w:rsid w:val="00133AC2"/>
    <w:rsid w:val="00134940"/>
    <w:rsid w:val="00135E2B"/>
    <w:rsid w:val="00136DE8"/>
    <w:rsid w:val="001377BD"/>
    <w:rsid w:val="00142F0F"/>
    <w:rsid w:val="00143A1C"/>
    <w:rsid w:val="00143DAA"/>
    <w:rsid w:val="00144672"/>
    <w:rsid w:val="00145369"/>
    <w:rsid w:val="0014798A"/>
    <w:rsid w:val="00147C8B"/>
    <w:rsid w:val="00151DB5"/>
    <w:rsid w:val="00153070"/>
    <w:rsid w:val="00157453"/>
    <w:rsid w:val="0016348F"/>
    <w:rsid w:val="001740D4"/>
    <w:rsid w:val="00176017"/>
    <w:rsid w:val="00181046"/>
    <w:rsid w:val="0018270C"/>
    <w:rsid w:val="00184832"/>
    <w:rsid w:val="0018642C"/>
    <w:rsid w:val="00187E2D"/>
    <w:rsid w:val="00193544"/>
    <w:rsid w:val="0019387D"/>
    <w:rsid w:val="00193F35"/>
    <w:rsid w:val="00194F1B"/>
    <w:rsid w:val="001957FC"/>
    <w:rsid w:val="00195EA6"/>
    <w:rsid w:val="0019719E"/>
    <w:rsid w:val="001A13BD"/>
    <w:rsid w:val="001A2B51"/>
    <w:rsid w:val="001A45CF"/>
    <w:rsid w:val="001A5A3A"/>
    <w:rsid w:val="001B106B"/>
    <w:rsid w:val="001B1A85"/>
    <w:rsid w:val="001B6563"/>
    <w:rsid w:val="001B77F7"/>
    <w:rsid w:val="001B7C46"/>
    <w:rsid w:val="001D22FC"/>
    <w:rsid w:val="001D3214"/>
    <w:rsid w:val="001D5417"/>
    <w:rsid w:val="001D6E7A"/>
    <w:rsid w:val="001D7CD9"/>
    <w:rsid w:val="001E353D"/>
    <w:rsid w:val="001E6D9B"/>
    <w:rsid w:val="001F203F"/>
    <w:rsid w:val="001F2C7A"/>
    <w:rsid w:val="001F4868"/>
    <w:rsid w:val="001F6BF6"/>
    <w:rsid w:val="001F7D9F"/>
    <w:rsid w:val="00200BD3"/>
    <w:rsid w:val="002012D1"/>
    <w:rsid w:val="00201EB5"/>
    <w:rsid w:val="00202B81"/>
    <w:rsid w:val="00203129"/>
    <w:rsid w:val="0020488A"/>
    <w:rsid w:val="00205A14"/>
    <w:rsid w:val="00207C3C"/>
    <w:rsid w:val="002108EC"/>
    <w:rsid w:val="00210C4F"/>
    <w:rsid w:val="002125FA"/>
    <w:rsid w:val="0021285C"/>
    <w:rsid w:val="00215CFB"/>
    <w:rsid w:val="00217358"/>
    <w:rsid w:val="00217450"/>
    <w:rsid w:val="00220430"/>
    <w:rsid w:val="002234D7"/>
    <w:rsid w:val="00223A87"/>
    <w:rsid w:val="0022450C"/>
    <w:rsid w:val="00226417"/>
    <w:rsid w:val="00227138"/>
    <w:rsid w:val="002339A8"/>
    <w:rsid w:val="00234FC8"/>
    <w:rsid w:val="00235084"/>
    <w:rsid w:val="00237F33"/>
    <w:rsid w:val="00244884"/>
    <w:rsid w:val="00250812"/>
    <w:rsid w:val="00251625"/>
    <w:rsid w:val="00254F2F"/>
    <w:rsid w:val="002550D4"/>
    <w:rsid w:val="00261E76"/>
    <w:rsid w:val="00263F6C"/>
    <w:rsid w:val="00270984"/>
    <w:rsid w:val="00270F78"/>
    <w:rsid w:val="00276BF3"/>
    <w:rsid w:val="00281614"/>
    <w:rsid w:val="00281E31"/>
    <w:rsid w:val="002838C3"/>
    <w:rsid w:val="00286D56"/>
    <w:rsid w:val="00287E98"/>
    <w:rsid w:val="0029480F"/>
    <w:rsid w:val="00295488"/>
    <w:rsid w:val="002A2F17"/>
    <w:rsid w:val="002A467A"/>
    <w:rsid w:val="002A6417"/>
    <w:rsid w:val="002A78B4"/>
    <w:rsid w:val="002A7B7B"/>
    <w:rsid w:val="002B14F8"/>
    <w:rsid w:val="002B172A"/>
    <w:rsid w:val="002B5888"/>
    <w:rsid w:val="002C10C4"/>
    <w:rsid w:val="002C1512"/>
    <w:rsid w:val="002C1DD6"/>
    <w:rsid w:val="002C265C"/>
    <w:rsid w:val="002C5488"/>
    <w:rsid w:val="002C6D92"/>
    <w:rsid w:val="002D0847"/>
    <w:rsid w:val="002D122F"/>
    <w:rsid w:val="002D399D"/>
    <w:rsid w:val="002D6C43"/>
    <w:rsid w:val="002D7B46"/>
    <w:rsid w:val="002E47B8"/>
    <w:rsid w:val="002E4A08"/>
    <w:rsid w:val="002E4F25"/>
    <w:rsid w:val="002E58C9"/>
    <w:rsid w:val="002E698F"/>
    <w:rsid w:val="002F0148"/>
    <w:rsid w:val="002F0621"/>
    <w:rsid w:val="002F0980"/>
    <w:rsid w:val="002F1152"/>
    <w:rsid w:val="002F1AEF"/>
    <w:rsid w:val="002F21F9"/>
    <w:rsid w:val="002F3FB4"/>
    <w:rsid w:val="00300FD2"/>
    <w:rsid w:val="003012E3"/>
    <w:rsid w:val="00304BDB"/>
    <w:rsid w:val="00315B85"/>
    <w:rsid w:val="00315E48"/>
    <w:rsid w:val="003225B2"/>
    <w:rsid w:val="0032544F"/>
    <w:rsid w:val="00325650"/>
    <w:rsid w:val="00330CF9"/>
    <w:rsid w:val="00336390"/>
    <w:rsid w:val="00340BB3"/>
    <w:rsid w:val="00343141"/>
    <w:rsid w:val="00344DEB"/>
    <w:rsid w:val="00347027"/>
    <w:rsid w:val="003553C5"/>
    <w:rsid w:val="0035580A"/>
    <w:rsid w:val="0035733D"/>
    <w:rsid w:val="003576D8"/>
    <w:rsid w:val="00360A87"/>
    <w:rsid w:val="003618D9"/>
    <w:rsid w:val="00364F76"/>
    <w:rsid w:val="00365E17"/>
    <w:rsid w:val="003675E0"/>
    <w:rsid w:val="00367740"/>
    <w:rsid w:val="00370C8B"/>
    <w:rsid w:val="00373614"/>
    <w:rsid w:val="003773F9"/>
    <w:rsid w:val="0039114D"/>
    <w:rsid w:val="0039122F"/>
    <w:rsid w:val="00393B7D"/>
    <w:rsid w:val="0039494E"/>
    <w:rsid w:val="003A2057"/>
    <w:rsid w:val="003A2322"/>
    <w:rsid w:val="003C420F"/>
    <w:rsid w:val="003C5B56"/>
    <w:rsid w:val="003C6DC7"/>
    <w:rsid w:val="003D089D"/>
    <w:rsid w:val="003D0A0D"/>
    <w:rsid w:val="003D1771"/>
    <w:rsid w:val="003D5D16"/>
    <w:rsid w:val="003D6191"/>
    <w:rsid w:val="003D67F2"/>
    <w:rsid w:val="003D7BBB"/>
    <w:rsid w:val="003E5DEA"/>
    <w:rsid w:val="003E7443"/>
    <w:rsid w:val="003F2C8F"/>
    <w:rsid w:val="003F35EE"/>
    <w:rsid w:val="003F6281"/>
    <w:rsid w:val="003F651B"/>
    <w:rsid w:val="00405028"/>
    <w:rsid w:val="004169A2"/>
    <w:rsid w:val="00416AA1"/>
    <w:rsid w:val="0041710A"/>
    <w:rsid w:val="004233CD"/>
    <w:rsid w:val="00430DD0"/>
    <w:rsid w:val="0043128C"/>
    <w:rsid w:val="00433274"/>
    <w:rsid w:val="00434A39"/>
    <w:rsid w:val="00434E51"/>
    <w:rsid w:val="00441212"/>
    <w:rsid w:val="00441CC4"/>
    <w:rsid w:val="00442C6B"/>
    <w:rsid w:val="004437D2"/>
    <w:rsid w:val="00445B7B"/>
    <w:rsid w:val="00450199"/>
    <w:rsid w:val="00456023"/>
    <w:rsid w:val="00457B5F"/>
    <w:rsid w:val="00460FE1"/>
    <w:rsid w:val="0046300F"/>
    <w:rsid w:val="004647A0"/>
    <w:rsid w:val="00466DB7"/>
    <w:rsid w:val="00467D0F"/>
    <w:rsid w:val="00471C62"/>
    <w:rsid w:val="004725BF"/>
    <w:rsid w:val="0047771C"/>
    <w:rsid w:val="0048081E"/>
    <w:rsid w:val="004825D1"/>
    <w:rsid w:val="00487103"/>
    <w:rsid w:val="00487BE4"/>
    <w:rsid w:val="00495FA1"/>
    <w:rsid w:val="00496FAA"/>
    <w:rsid w:val="0049713B"/>
    <w:rsid w:val="004A4039"/>
    <w:rsid w:val="004A54F9"/>
    <w:rsid w:val="004B1618"/>
    <w:rsid w:val="004B1EFB"/>
    <w:rsid w:val="004B3754"/>
    <w:rsid w:val="004B56DD"/>
    <w:rsid w:val="004B5789"/>
    <w:rsid w:val="004B6536"/>
    <w:rsid w:val="004B7507"/>
    <w:rsid w:val="004C3CBA"/>
    <w:rsid w:val="004C7620"/>
    <w:rsid w:val="004D0B61"/>
    <w:rsid w:val="004D1B89"/>
    <w:rsid w:val="004E36D1"/>
    <w:rsid w:val="004E39D6"/>
    <w:rsid w:val="004E7C73"/>
    <w:rsid w:val="004E7D0F"/>
    <w:rsid w:val="004F43EC"/>
    <w:rsid w:val="004F6F7B"/>
    <w:rsid w:val="004F746B"/>
    <w:rsid w:val="00500C73"/>
    <w:rsid w:val="00501352"/>
    <w:rsid w:val="005022E1"/>
    <w:rsid w:val="005026BE"/>
    <w:rsid w:val="0050598E"/>
    <w:rsid w:val="005100C2"/>
    <w:rsid w:val="00511D69"/>
    <w:rsid w:val="00511DAC"/>
    <w:rsid w:val="0051623C"/>
    <w:rsid w:val="0052053E"/>
    <w:rsid w:val="0052196F"/>
    <w:rsid w:val="00523D66"/>
    <w:rsid w:val="00523FCE"/>
    <w:rsid w:val="00524345"/>
    <w:rsid w:val="005245A8"/>
    <w:rsid w:val="00524F23"/>
    <w:rsid w:val="00530FD1"/>
    <w:rsid w:val="00533765"/>
    <w:rsid w:val="005427CD"/>
    <w:rsid w:val="005518C5"/>
    <w:rsid w:val="00554239"/>
    <w:rsid w:val="005553E8"/>
    <w:rsid w:val="00555F70"/>
    <w:rsid w:val="00562C07"/>
    <w:rsid w:val="00563B2A"/>
    <w:rsid w:val="005642B9"/>
    <w:rsid w:val="00565984"/>
    <w:rsid w:val="00570FE1"/>
    <w:rsid w:val="00580352"/>
    <w:rsid w:val="00580902"/>
    <w:rsid w:val="00581A83"/>
    <w:rsid w:val="00583847"/>
    <w:rsid w:val="005847C3"/>
    <w:rsid w:val="00587297"/>
    <w:rsid w:val="00590609"/>
    <w:rsid w:val="00591C01"/>
    <w:rsid w:val="0059201A"/>
    <w:rsid w:val="005972A5"/>
    <w:rsid w:val="00597715"/>
    <w:rsid w:val="00597BCB"/>
    <w:rsid w:val="005A30DC"/>
    <w:rsid w:val="005B1CC0"/>
    <w:rsid w:val="005B2DAF"/>
    <w:rsid w:val="005C0252"/>
    <w:rsid w:val="005C038F"/>
    <w:rsid w:val="005C2CD3"/>
    <w:rsid w:val="005C3888"/>
    <w:rsid w:val="005C740E"/>
    <w:rsid w:val="005C7C13"/>
    <w:rsid w:val="005D36A7"/>
    <w:rsid w:val="005D6D21"/>
    <w:rsid w:val="005E0BE7"/>
    <w:rsid w:val="005E4BE4"/>
    <w:rsid w:val="005F0AA7"/>
    <w:rsid w:val="005F35E0"/>
    <w:rsid w:val="005F3D34"/>
    <w:rsid w:val="005F500A"/>
    <w:rsid w:val="005F5B65"/>
    <w:rsid w:val="00600B43"/>
    <w:rsid w:val="00600D7F"/>
    <w:rsid w:val="006010B6"/>
    <w:rsid w:val="006028F5"/>
    <w:rsid w:val="00604E74"/>
    <w:rsid w:val="00605514"/>
    <w:rsid w:val="006060BF"/>
    <w:rsid w:val="00606753"/>
    <w:rsid w:val="00606C0E"/>
    <w:rsid w:val="00613784"/>
    <w:rsid w:val="00615DE7"/>
    <w:rsid w:val="00616F1B"/>
    <w:rsid w:val="006206DF"/>
    <w:rsid w:val="006218D4"/>
    <w:rsid w:val="00621C1A"/>
    <w:rsid w:val="00622E68"/>
    <w:rsid w:val="00623413"/>
    <w:rsid w:val="00624174"/>
    <w:rsid w:val="00624F16"/>
    <w:rsid w:val="00626705"/>
    <w:rsid w:val="00626D6F"/>
    <w:rsid w:val="006276EF"/>
    <w:rsid w:val="00632B02"/>
    <w:rsid w:val="006349DA"/>
    <w:rsid w:val="00634A0E"/>
    <w:rsid w:val="00637F0F"/>
    <w:rsid w:val="00640690"/>
    <w:rsid w:val="0064084A"/>
    <w:rsid w:val="006427F7"/>
    <w:rsid w:val="006473AC"/>
    <w:rsid w:val="00647405"/>
    <w:rsid w:val="00654611"/>
    <w:rsid w:val="00657A82"/>
    <w:rsid w:val="006623CA"/>
    <w:rsid w:val="006628B5"/>
    <w:rsid w:val="0066408C"/>
    <w:rsid w:val="00670E77"/>
    <w:rsid w:val="006721EB"/>
    <w:rsid w:val="006739D3"/>
    <w:rsid w:val="00674E59"/>
    <w:rsid w:val="00676A28"/>
    <w:rsid w:val="00677F6A"/>
    <w:rsid w:val="00681C63"/>
    <w:rsid w:val="00684CC0"/>
    <w:rsid w:val="00685BA9"/>
    <w:rsid w:val="00686FC2"/>
    <w:rsid w:val="00687FB7"/>
    <w:rsid w:val="0069095F"/>
    <w:rsid w:val="00690BF4"/>
    <w:rsid w:val="00693166"/>
    <w:rsid w:val="00693FD0"/>
    <w:rsid w:val="006A0177"/>
    <w:rsid w:val="006A6ADD"/>
    <w:rsid w:val="006A7E87"/>
    <w:rsid w:val="006B0873"/>
    <w:rsid w:val="006B0B15"/>
    <w:rsid w:val="006B1502"/>
    <w:rsid w:val="006B3051"/>
    <w:rsid w:val="006C0103"/>
    <w:rsid w:val="006C17FF"/>
    <w:rsid w:val="006C39CB"/>
    <w:rsid w:val="006C4DD9"/>
    <w:rsid w:val="006D1871"/>
    <w:rsid w:val="006E0FD9"/>
    <w:rsid w:val="006E33B7"/>
    <w:rsid w:val="006E7391"/>
    <w:rsid w:val="006F51C5"/>
    <w:rsid w:val="006F5BEF"/>
    <w:rsid w:val="00700BC2"/>
    <w:rsid w:val="0070197D"/>
    <w:rsid w:val="00706BD8"/>
    <w:rsid w:val="0071220C"/>
    <w:rsid w:val="00714312"/>
    <w:rsid w:val="00715181"/>
    <w:rsid w:val="00715709"/>
    <w:rsid w:val="0071671B"/>
    <w:rsid w:val="00716BC2"/>
    <w:rsid w:val="00717CC1"/>
    <w:rsid w:val="00721209"/>
    <w:rsid w:val="00722DCC"/>
    <w:rsid w:val="007264CB"/>
    <w:rsid w:val="00730D84"/>
    <w:rsid w:val="00731507"/>
    <w:rsid w:val="00737C74"/>
    <w:rsid w:val="00737EFF"/>
    <w:rsid w:val="00742C75"/>
    <w:rsid w:val="00745302"/>
    <w:rsid w:val="007466D0"/>
    <w:rsid w:val="00746751"/>
    <w:rsid w:val="007523A6"/>
    <w:rsid w:val="00757953"/>
    <w:rsid w:val="007579D2"/>
    <w:rsid w:val="00757E25"/>
    <w:rsid w:val="00761692"/>
    <w:rsid w:val="00764742"/>
    <w:rsid w:val="00764C22"/>
    <w:rsid w:val="007667BE"/>
    <w:rsid w:val="00772C51"/>
    <w:rsid w:val="00775837"/>
    <w:rsid w:val="00776728"/>
    <w:rsid w:val="00780951"/>
    <w:rsid w:val="00781DBF"/>
    <w:rsid w:val="00783979"/>
    <w:rsid w:val="00793087"/>
    <w:rsid w:val="007A0551"/>
    <w:rsid w:val="007A484E"/>
    <w:rsid w:val="007B384E"/>
    <w:rsid w:val="007B4B89"/>
    <w:rsid w:val="007B52A5"/>
    <w:rsid w:val="007B5D87"/>
    <w:rsid w:val="007B73A5"/>
    <w:rsid w:val="007B75C1"/>
    <w:rsid w:val="007B7F2B"/>
    <w:rsid w:val="007C1F7A"/>
    <w:rsid w:val="007C2913"/>
    <w:rsid w:val="007C3C5A"/>
    <w:rsid w:val="007C410C"/>
    <w:rsid w:val="007C7716"/>
    <w:rsid w:val="007D1491"/>
    <w:rsid w:val="007D4CE2"/>
    <w:rsid w:val="007D57D4"/>
    <w:rsid w:val="007D7222"/>
    <w:rsid w:val="007D7676"/>
    <w:rsid w:val="007E0AFE"/>
    <w:rsid w:val="007E3BA6"/>
    <w:rsid w:val="007E4533"/>
    <w:rsid w:val="007E4669"/>
    <w:rsid w:val="007E4C35"/>
    <w:rsid w:val="007E51FB"/>
    <w:rsid w:val="007E6443"/>
    <w:rsid w:val="007E6A0E"/>
    <w:rsid w:val="007F220E"/>
    <w:rsid w:val="007F43B4"/>
    <w:rsid w:val="007F5E30"/>
    <w:rsid w:val="007F619A"/>
    <w:rsid w:val="007F66D5"/>
    <w:rsid w:val="008000BE"/>
    <w:rsid w:val="008048C8"/>
    <w:rsid w:val="008050A0"/>
    <w:rsid w:val="00806E73"/>
    <w:rsid w:val="00817297"/>
    <w:rsid w:val="00817942"/>
    <w:rsid w:val="008209F5"/>
    <w:rsid w:val="00824BB2"/>
    <w:rsid w:val="008307A2"/>
    <w:rsid w:val="0083088D"/>
    <w:rsid w:val="008309D7"/>
    <w:rsid w:val="00833913"/>
    <w:rsid w:val="008411CB"/>
    <w:rsid w:val="008419A2"/>
    <w:rsid w:val="00842895"/>
    <w:rsid w:val="0084473D"/>
    <w:rsid w:val="0084604B"/>
    <w:rsid w:val="00846C69"/>
    <w:rsid w:val="00850895"/>
    <w:rsid w:val="00857730"/>
    <w:rsid w:val="00857B75"/>
    <w:rsid w:val="0086069F"/>
    <w:rsid w:val="00860732"/>
    <w:rsid w:val="00866A38"/>
    <w:rsid w:val="00873DE8"/>
    <w:rsid w:val="00874611"/>
    <w:rsid w:val="00876E6C"/>
    <w:rsid w:val="00877B59"/>
    <w:rsid w:val="00877D31"/>
    <w:rsid w:val="008816DA"/>
    <w:rsid w:val="00881D2F"/>
    <w:rsid w:val="008867C4"/>
    <w:rsid w:val="00897B45"/>
    <w:rsid w:val="008A2D60"/>
    <w:rsid w:val="008B0029"/>
    <w:rsid w:val="008B2F50"/>
    <w:rsid w:val="008B2F90"/>
    <w:rsid w:val="008B6605"/>
    <w:rsid w:val="008C325B"/>
    <w:rsid w:val="008C72F6"/>
    <w:rsid w:val="008D6D8E"/>
    <w:rsid w:val="008E0897"/>
    <w:rsid w:val="008E4667"/>
    <w:rsid w:val="008E5B79"/>
    <w:rsid w:val="008E6C29"/>
    <w:rsid w:val="008E7D2F"/>
    <w:rsid w:val="008F19A5"/>
    <w:rsid w:val="008F6999"/>
    <w:rsid w:val="008F6CC0"/>
    <w:rsid w:val="009002BF"/>
    <w:rsid w:val="00901472"/>
    <w:rsid w:val="009033A9"/>
    <w:rsid w:val="009039A1"/>
    <w:rsid w:val="009063DE"/>
    <w:rsid w:val="00906EC6"/>
    <w:rsid w:val="0091048F"/>
    <w:rsid w:val="009143A5"/>
    <w:rsid w:val="00922CCC"/>
    <w:rsid w:val="0092301E"/>
    <w:rsid w:val="00925519"/>
    <w:rsid w:val="00937A6B"/>
    <w:rsid w:val="00941E0F"/>
    <w:rsid w:val="009422E7"/>
    <w:rsid w:val="0094241C"/>
    <w:rsid w:val="00943376"/>
    <w:rsid w:val="00945019"/>
    <w:rsid w:val="00947011"/>
    <w:rsid w:val="0094764D"/>
    <w:rsid w:val="00950306"/>
    <w:rsid w:val="00950B5B"/>
    <w:rsid w:val="0095386B"/>
    <w:rsid w:val="00953E7C"/>
    <w:rsid w:val="00955224"/>
    <w:rsid w:val="0095598E"/>
    <w:rsid w:val="00957F4C"/>
    <w:rsid w:val="00960C5E"/>
    <w:rsid w:val="00964DA6"/>
    <w:rsid w:val="00966C4F"/>
    <w:rsid w:val="00966CDC"/>
    <w:rsid w:val="0097567F"/>
    <w:rsid w:val="00976FB5"/>
    <w:rsid w:val="009772EC"/>
    <w:rsid w:val="0098083E"/>
    <w:rsid w:val="0098127F"/>
    <w:rsid w:val="00981DBB"/>
    <w:rsid w:val="00984DBF"/>
    <w:rsid w:val="009853BC"/>
    <w:rsid w:val="00986135"/>
    <w:rsid w:val="0099024A"/>
    <w:rsid w:val="009904A3"/>
    <w:rsid w:val="009905B1"/>
    <w:rsid w:val="009915AD"/>
    <w:rsid w:val="009942B8"/>
    <w:rsid w:val="00994802"/>
    <w:rsid w:val="0099554F"/>
    <w:rsid w:val="009968AF"/>
    <w:rsid w:val="009A0B9E"/>
    <w:rsid w:val="009A2446"/>
    <w:rsid w:val="009A342E"/>
    <w:rsid w:val="009A35FF"/>
    <w:rsid w:val="009A4C70"/>
    <w:rsid w:val="009A5868"/>
    <w:rsid w:val="009A77A7"/>
    <w:rsid w:val="009B0D36"/>
    <w:rsid w:val="009B337C"/>
    <w:rsid w:val="009B4482"/>
    <w:rsid w:val="009B59D1"/>
    <w:rsid w:val="009B6C5A"/>
    <w:rsid w:val="009B7BBA"/>
    <w:rsid w:val="009B7FB5"/>
    <w:rsid w:val="009C0845"/>
    <w:rsid w:val="009C42B3"/>
    <w:rsid w:val="009C67D6"/>
    <w:rsid w:val="009D115B"/>
    <w:rsid w:val="009D2007"/>
    <w:rsid w:val="009D2A5C"/>
    <w:rsid w:val="009D318F"/>
    <w:rsid w:val="009D464A"/>
    <w:rsid w:val="009D530C"/>
    <w:rsid w:val="009D7620"/>
    <w:rsid w:val="009E2897"/>
    <w:rsid w:val="009E3A69"/>
    <w:rsid w:val="009E72F7"/>
    <w:rsid w:val="009F0322"/>
    <w:rsid w:val="009F03D3"/>
    <w:rsid w:val="00A01BF8"/>
    <w:rsid w:val="00A036ED"/>
    <w:rsid w:val="00A05E52"/>
    <w:rsid w:val="00A118A1"/>
    <w:rsid w:val="00A12CFB"/>
    <w:rsid w:val="00A1615C"/>
    <w:rsid w:val="00A17C9B"/>
    <w:rsid w:val="00A23DF7"/>
    <w:rsid w:val="00A25527"/>
    <w:rsid w:val="00A25EF1"/>
    <w:rsid w:val="00A27732"/>
    <w:rsid w:val="00A2776B"/>
    <w:rsid w:val="00A3064F"/>
    <w:rsid w:val="00A3369B"/>
    <w:rsid w:val="00A36D3C"/>
    <w:rsid w:val="00A437EA"/>
    <w:rsid w:val="00A532FB"/>
    <w:rsid w:val="00A551D2"/>
    <w:rsid w:val="00A552F3"/>
    <w:rsid w:val="00A62D25"/>
    <w:rsid w:val="00A630D3"/>
    <w:rsid w:val="00A63E52"/>
    <w:rsid w:val="00A66B48"/>
    <w:rsid w:val="00A6764D"/>
    <w:rsid w:val="00A67EAD"/>
    <w:rsid w:val="00A72DBC"/>
    <w:rsid w:val="00A7419A"/>
    <w:rsid w:val="00A770B5"/>
    <w:rsid w:val="00A77B3B"/>
    <w:rsid w:val="00A77DA5"/>
    <w:rsid w:val="00A8052C"/>
    <w:rsid w:val="00A8067A"/>
    <w:rsid w:val="00A8289A"/>
    <w:rsid w:val="00A839B3"/>
    <w:rsid w:val="00A84787"/>
    <w:rsid w:val="00A84E8F"/>
    <w:rsid w:val="00A925B3"/>
    <w:rsid w:val="00A92679"/>
    <w:rsid w:val="00A9267D"/>
    <w:rsid w:val="00A931BF"/>
    <w:rsid w:val="00A937D5"/>
    <w:rsid w:val="00A94DC2"/>
    <w:rsid w:val="00AA2F8C"/>
    <w:rsid w:val="00AA490F"/>
    <w:rsid w:val="00AA53F6"/>
    <w:rsid w:val="00AB3231"/>
    <w:rsid w:val="00AB7CEE"/>
    <w:rsid w:val="00AC00A3"/>
    <w:rsid w:val="00AC2882"/>
    <w:rsid w:val="00AC42C3"/>
    <w:rsid w:val="00AC707B"/>
    <w:rsid w:val="00AD0441"/>
    <w:rsid w:val="00AD294C"/>
    <w:rsid w:val="00AD2B70"/>
    <w:rsid w:val="00AE038D"/>
    <w:rsid w:val="00AE2C8E"/>
    <w:rsid w:val="00AE35EF"/>
    <w:rsid w:val="00AE699F"/>
    <w:rsid w:val="00AF0792"/>
    <w:rsid w:val="00AF2564"/>
    <w:rsid w:val="00AF395D"/>
    <w:rsid w:val="00AF7C45"/>
    <w:rsid w:val="00B03441"/>
    <w:rsid w:val="00B07C96"/>
    <w:rsid w:val="00B14993"/>
    <w:rsid w:val="00B15588"/>
    <w:rsid w:val="00B202F3"/>
    <w:rsid w:val="00B20355"/>
    <w:rsid w:val="00B20CB0"/>
    <w:rsid w:val="00B232C5"/>
    <w:rsid w:val="00B25152"/>
    <w:rsid w:val="00B25FB3"/>
    <w:rsid w:val="00B27CA6"/>
    <w:rsid w:val="00B311D4"/>
    <w:rsid w:val="00B339BA"/>
    <w:rsid w:val="00B33F8B"/>
    <w:rsid w:val="00B3423A"/>
    <w:rsid w:val="00B34247"/>
    <w:rsid w:val="00B36ADF"/>
    <w:rsid w:val="00B3787D"/>
    <w:rsid w:val="00B37C38"/>
    <w:rsid w:val="00B41A77"/>
    <w:rsid w:val="00B44347"/>
    <w:rsid w:val="00B448AB"/>
    <w:rsid w:val="00B51125"/>
    <w:rsid w:val="00B5127F"/>
    <w:rsid w:val="00B51EE9"/>
    <w:rsid w:val="00B5246E"/>
    <w:rsid w:val="00B546D9"/>
    <w:rsid w:val="00B556FC"/>
    <w:rsid w:val="00B5747A"/>
    <w:rsid w:val="00B60F22"/>
    <w:rsid w:val="00B61453"/>
    <w:rsid w:val="00B62065"/>
    <w:rsid w:val="00B6362F"/>
    <w:rsid w:val="00B65C7A"/>
    <w:rsid w:val="00B703F4"/>
    <w:rsid w:val="00B7432F"/>
    <w:rsid w:val="00B77E34"/>
    <w:rsid w:val="00B80301"/>
    <w:rsid w:val="00B807DE"/>
    <w:rsid w:val="00B83669"/>
    <w:rsid w:val="00B8491C"/>
    <w:rsid w:val="00B865C9"/>
    <w:rsid w:val="00B96719"/>
    <w:rsid w:val="00B974B4"/>
    <w:rsid w:val="00BA0477"/>
    <w:rsid w:val="00BA05E6"/>
    <w:rsid w:val="00BA1575"/>
    <w:rsid w:val="00BA29D2"/>
    <w:rsid w:val="00BA30C8"/>
    <w:rsid w:val="00BA6711"/>
    <w:rsid w:val="00BA72A3"/>
    <w:rsid w:val="00BB3C66"/>
    <w:rsid w:val="00BB4BB5"/>
    <w:rsid w:val="00BB5301"/>
    <w:rsid w:val="00BB657D"/>
    <w:rsid w:val="00BB7C8C"/>
    <w:rsid w:val="00BC5229"/>
    <w:rsid w:val="00BC5CB8"/>
    <w:rsid w:val="00BC6C13"/>
    <w:rsid w:val="00BC77ED"/>
    <w:rsid w:val="00BD2C2F"/>
    <w:rsid w:val="00BD2CF7"/>
    <w:rsid w:val="00BD6429"/>
    <w:rsid w:val="00BD6462"/>
    <w:rsid w:val="00BD685F"/>
    <w:rsid w:val="00BE0A85"/>
    <w:rsid w:val="00BE0BEE"/>
    <w:rsid w:val="00BE359D"/>
    <w:rsid w:val="00BE5647"/>
    <w:rsid w:val="00BE6306"/>
    <w:rsid w:val="00BF45E1"/>
    <w:rsid w:val="00C01ECA"/>
    <w:rsid w:val="00C02D77"/>
    <w:rsid w:val="00C02FD2"/>
    <w:rsid w:val="00C0332B"/>
    <w:rsid w:val="00C064C9"/>
    <w:rsid w:val="00C065B7"/>
    <w:rsid w:val="00C15786"/>
    <w:rsid w:val="00C17A94"/>
    <w:rsid w:val="00C17D61"/>
    <w:rsid w:val="00C25035"/>
    <w:rsid w:val="00C33121"/>
    <w:rsid w:val="00C352F7"/>
    <w:rsid w:val="00C362CC"/>
    <w:rsid w:val="00C40ADD"/>
    <w:rsid w:val="00C43BC5"/>
    <w:rsid w:val="00C45C87"/>
    <w:rsid w:val="00C45CD2"/>
    <w:rsid w:val="00C5055E"/>
    <w:rsid w:val="00C525FE"/>
    <w:rsid w:val="00C54C20"/>
    <w:rsid w:val="00C612C6"/>
    <w:rsid w:val="00C664D6"/>
    <w:rsid w:val="00C7019F"/>
    <w:rsid w:val="00C7371C"/>
    <w:rsid w:val="00C83BF2"/>
    <w:rsid w:val="00C90D7D"/>
    <w:rsid w:val="00C91D41"/>
    <w:rsid w:val="00C9310D"/>
    <w:rsid w:val="00C93BF8"/>
    <w:rsid w:val="00C955AD"/>
    <w:rsid w:val="00C96FFD"/>
    <w:rsid w:val="00CA08F5"/>
    <w:rsid w:val="00CB027D"/>
    <w:rsid w:val="00CB0B28"/>
    <w:rsid w:val="00CB318E"/>
    <w:rsid w:val="00CB3CC6"/>
    <w:rsid w:val="00CB3F99"/>
    <w:rsid w:val="00CB7579"/>
    <w:rsid w:val="00CC05A9"/>
    <w:rsid w:val="00CC08E3"/>
    <w:rsid w:val="00CC5AE7"/>
    <w:rsid w:val="00CC737E"/>
    <w:rsid w:val="00CD1AF6"/>
    <w:rsid w:val="00CD3967"/>
    <w:rsid w:val="00CE6021"/>
    <w:rsid w:val="00CF173A"/>
    <w:rsid w:val="00CF365D"/>
    <w:rsid w:val="00CF4BE4"/>
    <w:rsid w:val="00CF6510"/>
    <w:rsid w:val="00CF6CDC"/>
    <w:rsid w:val="00CF7445"/>
    <w:rsid w:val="00CF77C6"/>
    <w:rsid w:val="00D024FE"/>
    <w:rsid w:val="00D030A3"/>
    <w:rsid w:val="00D042B8"/>
    <w:rsid w:val="00D049E2"/>
    <w:rsid w:val="00D06C79"/>
    <w:rsid w:val="00D07D55"/>
    <w:rsid w:val="00D118CD"/>
    <w:rsid w:val="00D12AA6"/>
    <w:rsid w:val="00D142FC"/>
    <w:rsid w:val="00D15628"/>
    <w:rsid w:val="00D15640"/>
    <w:rsid w:val="00D218ED"/>
    <w:rsid w:val="00D22665"/>
    <w:rsid w:val="00D31394"/>
    <w:rsid w:val="00D42404"/>
    <w:rsid w:val="00D441B8"/>
    <w:rsid w:val="00D450C1"/>
    <w:rsid w:val="00D45D67"/>
    <w:rsid w:val="00D5108C"/>
    <w:rsid w:val="00D5178A"/>
    <w:rsid w:val="00D52574"/>
    <w:rsid w:val="00D52EE3"/>
    <w:rsid w:val="00D563F9"/>
    <w:rsid w:val="00D658F8"/>
    <w:rsid w:val="00D70F20"/>
    <w:rsid w:val="00D71AC5"/>
    <w:rsid w:val="00D75DCA"/>
    <w:rsid w:val="00D76683"/>
    <w:rsid w:val="00D77AB6"/>
    <w:rsid w:val="00D808C9"/>
    <w:rsid w:val="00D80DDB"/>
    <w:rsid w:val="00D82CD3"/>
    <w:rsid w:val="00D83BAE"/>
    <w:rsid w:val="00D87C8E"/>
    <w:rsid w:val="00D90378"/>
    <w:rsid w:val="00D9594A"/>
    <w:rsid w:val="00DA4649"/>
    <w:rsid w:val="00DB051E"/>
    <w:rsid w:val="00DB1147"/>
    <w:rsid w:val="00DB7AD0"/>
    <w:rsid w:val="00DC012F"/>
    <w:rsid w:val="00DC5464"/>
    <w:rsid w:val="00DC58E7"/>
    <w:rsid w:val="00DD012B"/>
    <w:rsid w:val="00DD0704"/>
    <w:rsid w:val="00DD1955"/>
    <w:rsid w:val="00DD291D"/>
    <w:rsid w:val="00DD2CF4"/>
    <w:rsid w:val="00DD6DF8"/>
    <w:rsid w:val="00DE4510"/>
    <w:rsid w:val="00DE5223"/>
    <w:rsid w:val="00DE7072"/>
    <w:rsid w:val="00DF155E"/>
    <w:rsid w:val="00DF5AA9"/>
    <w:rsid w:val="00DF77A0"/>
    <w:rsid w:val="00E01A8F"/>
    <w:rsid w:val="00E022BD"/>
    <w:rsid w:val="00E02EC1"/>
    <w:rsid w:val="00E03494"/>
    <w:rsid w:val="00E04FD8"/>
    <w:rsid w:val="00E055E3"/>
    <w:rsid w:val="00E05BDB"/>
    <w:rsid w:val="00E10267"/>
    <w:rsid w:val="00E12F79"/>
    <w:rsid w:val="00E17E84"/>
    <w:rsid w:val="00E2483C"/>
    <w:rsid w:val="00E24CB2"/>
    <w:rsid w:val="00E25736"/>
    <w:rsid w:val="00E25A6E"/>
    <w:rsid w:val="00E2638A"/>
    <w:rsid w:val="00E2717F"/>
    <w:rsid w:val="00E31546"/>
    <w:rsid w:val="00E32E31"/>
    <w:rsid w:val="00E3346D"/>
    <w:rsid w:val="00E339F8"/>
    <w:rsid w:val="00E3568A"/>
    <w:rsid w:val="00E36D3C"/>
    <w:rsid w:val="00E411A9"/>
    <w:rsid w:val="00E411F4"/>
    <w:rsid w:val="00E44066"/>
    <w:rsid w:val="00E44A97"/>
    <w:rsid w:val="00E46ED4"/>
    <w:rsid w:val="00E5301F"/>
    <w:rsid w:val="00E557D3"/>
    <w:rsid w:val="00E55C73"/>
    <w:rsid w:val="00E56BC1"/>
    <w:rsid w:val="00E61820"/>
    <w:rsid w:val="00E61A39"/>
    <w:rsid w:val="00E62D01"/>
    <w:rsid w:val="00E6592A"/>
    <w:rsid w:val="00E67038"/>
    <w:rsid w:val="00E67F1C"/>
    <w:rsid w:val="00E71F08"/>
    <w:rsid w:val="00E72408"/>
    <w:rsid w:val="00E733EC"/>
    <w:rsid w:val="00E74F22"/>
    <w:rsid w:val="00E76D22"/>
    <w:rsid w:val="00E906A6"/>
    <w:rsid w:val="00E927FD"/>
    <w:rsid w:val="00E94DDD"/>
    <w:rsid w:val="00E95F4F"/>
    <w:rsid w:val="00EA3D9B"/>
    <w:rsid w:val="00EA58E6"/>
    <w:rsid w:val="00EA7F37"/>
    <w:rsid w:val="00EA7FF3"/>
    <w:rsid w:val="00EB14DA"/>
    <w:rsid w:val="00EB410A"/>
    <w:rsid w:val="00EB413C"/>
    <w:rsid w:val="00EB726D"/>
    <w:rsid w:val="00EC4071"/>
    <w:rsid w:val="00EC5341"/>
    <w:rsid w:val="00EC764A"/>
    <w:rsid w:val="00ED1BC8"/>
    <w:rsid w:val="00ED28F2"/>
    <w:rsid w:val="00ED3400"/>
    <w:rsid w:val="00ED6511"/>
    <w:rsid w:val="00EE3986"/>
    <w:rsid w:val="00EE6500"/>
    <w:rsid w:val="00EF2BD1"/>
    <w:rsid w:val="00EF36B7"/>
    <w:rsid w:val="00EF3FDB"/>
    <w:rsid w:val="00EF6B3D"/>
    <w:rsid w:val="00EF6C6E"/>
    <w:rsid w:val="00F00607"/>
    <w:rsid w:val="00F04C6C"/>
    <w:rsid w:val="00F130CE"/>
    <w:rsid w:val="00F23109"/>
    <w:rsid w:val="00F25FBE"/>
    <w:rsid w:val="00F262C7"/>
    <w:rsid w:val="00F30253"/>
    <w:rsid w:val="00F417F4"/>
    <w:rsid w:val="00F462BA"/>
    <w:rsid w:val="00F51112"/>
    <w:rsid w:val="00F553CB"/>
    <w:rsid w:val="00F57007"/>
    <w:rsid w:val="00F57112"/>
    <w:rsid w:val="00F572F9"/>
    <w:rsid w:val="00F5772D"/>
    <w:rsid w:val="00F607C5"/>
    <w:rsid w:val="00F60DB1"/>
    <w:rsid w:val="00F61A5C"/>
    <w:rsid w:val="00F61DA9"/>
    <w:rsid w:val="00F65ED7"/>
    <w:rsid w:val="00F7448A"/>
    <w:rsid w:val="00F7596E"/>
    <w:rsid w:val="00F764A4"/>
    <w:rsid w:val="00F76E22"/>
    <w:rsid w:val="00F772C0"/>
    <w:rsid w:val="00F824D8"/>
    <w:rsid w:val="00F84064"/>
    <w:rsid w:val="00F8431B"/>
    <w:rsid w:val="00F92761"/>
    <w:rsid w:val="00F928D9"/>
    <w:rsid w:val="00F92D64"/>
    <w:rsid w:val="00F93BAF"/>
    <w:rsid w:val="00F95D2D"/>
    <w:rsid w:val="00F964F7"/>
    <w:rsid w:val="00F96F71"/>
    <w:rsid w:val="00F973A2"/>
    <w:rsid w:val="00F97600"/>
    <w:rsid w:val="00FA1185"/>
    <w:rsid w:val="00FB0278"/>
    <w:rsid w:val="00FB39D0"/>
    <w:rsid w:val="00FB4966"/>
    <w:rsid w:val="00FB4CB6"/>
    <w:rsid w:val="00FB4DE0"/>
    <w:rsid w:val="00FC1A30"/>
    <w:rsid w:val="00FC333D"/>
    <w:rsid w:val="00FC3FFE"/>
    <w:rsid w:val="00FC417C"/>
    <w:rsid w:val="00FC41F1"/>
    <w:rsid w:val="00FC534E"/>
    <w:rsid w:val="00FC5D79"/>
    <w:rsid w:val="00FC7AD0"/>
    <w:rsid w:val="00FD1062"/>
    <w:rsid w:val="00FD1AE3"/>
    <w:rsid w:val="00FD1BE4"/>
    <w:rsid w:val="00FD4D02"/>
    <w:rsid w:val="00FD6107"/>
    <w:rsid w:val="00FD65EB"/>
    <w:rsid w:val="00FD76C5"/>
    <w:rsid w:val="00FE1CAC"/>
    <w:rsid w:val="00FE1E9B"/>
    <w:rsid w:val="00FE354D"/>
    <w:rsid w:val="00FE6A88"/>
    <w:rsid w:val="00FE7B50"/>
    <w:rsid w:val="00FF1F84"/>
    <w:rsid w:val="00FF393C"/>
    <w:rsid w:val="00FF4153"/>
    <w:rsid w:val="00FF61C3"/>
    <w:rsid w:val="00FF635B"/>
    <w:rsid w:val="00FF6A90"/>
    <w:rsid w:val="0E433D8F"/>
    <w:rsid w:val="15E433A4"/>
    <w:rsid w:val="191F2867"/>
    <w:rsid w:val="1AEF131E"/>
    <w:rsid w:val="1C5D665B"/>
    <w:rsid w:val="1CBD53FA"/>
    <w:rsid w:val="1FDC9B5B"/>
    <w:rsid w:val="1FDE283D"/>
    <w:rsid w:val="1FF5ACC4"/>
    <w:rsid w:val="23C8760C"/>
    <w:rsid w:val="2BEBA57B"/>
    <w:rsid w:val="2BEFD8C3"/>
    <w:rsid w:val="2DFF0B29"/>
    <w:rsid w:val="2DFFACD4"/>
    <w:rsid w:val="2E6B73DF"/>
    <w:rsid w:val="2FE5083E"/>
    <w:rsid w:val="32EB4A9A"/>
    <w:rsid w:val="35B729A9"/>
    <w:rsid w:val="35E20B6C"/>
    <w:rsid w:val="36DF6773"/>
    <w:rsid w:val="377B5D54"/>
    <w:rsid w:val="397F2B6D"/>
    <w:rsid w:val="39B22528"/>
    <w:rsid w:val="3AA957CD"/>
    <w:rsid w:val="3BF780CA"/>
    <w:rsid w:val="3D9787ED"/>
    <w:rsid w:val="3EA30D63"/>
    <w:rsid w:val="3EFE5DB0"/>
    <w:rsid w:val="3FB78E79"/>
    <w:rsid w:val="3FD28350"/>
    <w:rsid w:val="3FF49A49"/>
    <w:rsid w:val="3FF77CA5"/>
    <w:rsid w:val="3FFB46EC"/>
    <w:rsid w:val="3FFF6ECA"/>
    <w:rsid w:val="3FFF8DDB"/>
    <w:rsid w:val="3FFFA9F3"/>
    <w:rsid w:val="3FFFF6EC"/>
    <w:rsid w:val="43775ABD"/>
    <w:rsid w:val="438B1486"/>
    <w:rsid w:val="44860EF6"/>
    <w:rsid w:val="44FECC3D"/>
    <w:rsid w:val="451C1DA9"/>
    <w:rsid w:val="481F54E2"/>
    <w:rsid w:val="48FFD267"/>
    <w:rsid w:val="49FF10B4"/>
    <w:rsid w:val="4AAF17C9"/>
    <w:rsid w:val="4BEB8912"/>
    <w:rsid w:val="4CB55BC5"/>
    <w:rsid w:val="4D75CE6C"/>
    <w:rsid w:val="4EF7B269"/>
    <w:rsid w:val="4F7A8BDA"/>
    <w:rsid w:val="4FDDA81C"/>
    <w:rsid w:val="53FDF3AF"/>
    <w:rsid w:val="57BEB432"/>
    <w:rsid w:val="57FA7859"/>
    <w:rsid w:val="57FFD977"/>
    <w:rsid w:val="5A754569"/>
    <w:rsid w:val="5B9F4F84"/>
    <w:rsid w:val="5BBF714D"/>
    <w:rsid w:val="5BCD1546"/>
    <w:rsid w:val="5BFDCA8E"/>
    <w:rsid w:val="5CBD5B8F"/>
    <w:rsid w:val="5CF6C8F9"/>
    <w:rsid w:val="5F3FFA2F"/>
    <w:rsid w:val="5F9FED35"/>
    <w:rsid w:val="5FB321A3"/>
    <w:rsid w:val="5FBBEADD"/>
    <w:rsid w:val="5FDDE917"/>
    <w:rsid w:val="5FF78169"/>
    <w:rsid w:val="63DF74EE"/>
    <w:rsid w:val="65BB5456"/>
    <w:rsid w:val="66F7BF53"/>
    <w:rsid w:val="677F32A8"/>
    <w:rsid w:val="67ED4183"/>
    <w:rsid w:val="6A324FF0"/>
    <w:rsid w:val="6B7592EF"/>
    <w:rsid w:val="6B7F22E0"/>
    <w:rsid w:val="6B9DA0CD"/>
    <w:rsid w:val="6BBC3E61"/>
    <w:rsid w:val="6BE7C33C"/>
    <w:rsid w:val="6D77FC8E"/>
    <w:rsid w:val="6D7F559A"/>
    <w:rsid w:val="6DF3A5AB"/>
    <w:rsid w:val="6F57E278"/>
    <w:rsid w:val="6F7D2B3A"/>
    <w:rsid w:val="6F9D8C47"/>
    <w:rsid w:val="6F9F0844"/>
    <w:rsid w:val="6F9FBC2C"/>
    <w:rsid w:val="6FA3B139"/>
    <w:rsid w:val="6FB3B9C5"/>
    <w:rsid w:val="6FDE62AD"/>
    <w:rsid w:val="6FE8D1CC"/>
    <w:rsid w:val="6FFAEA56"/>
    <w:rsid w:val="70F7CFA0"/>
    <w:rsid w:val="737DF8F0"/>
    <w:rsid w:val="73B71EF9"/>
    <w:rsid w:val="75A71F02"/>
    <w:rsid w:val="75DD86E8"/>
    <w:rsid w:val="75FF0D54"/>
    <w:rsid w:val="76FF1CFC"/>
    <w:rsid w:val="7769C9CD"/>
    <w:rsid w:val="776CECA7"/>
    <w:rsid w:val="776E85EF"/>
    <w:rsid w:val="777F586F"/>
    <w:rsid w:val="77DBDF08"/>
    <w:rsid w:val="77EBC2C7"/>
    <w:rsid w:val="77FDECAF"/>
    <w:rsid w:val="78FBA388"/>
    <w:rsid w:val="7AFFEE7B"/>
    <w:rsid w:val="7BF74C1B"/>
    <w:rsid w:val="7BFFBCFD"/>
    <w:rsid w:val="7CEE0A85"/>
    <w:rsid w:val="7CF35DEE"/>
    <w:rsid w:val="7D6B05AB"/>
    <w:rsid w:val="7DAE9935"/>
    <w:rsid w:val="7DD78487"/>
    <w:rsid w:val="7E7F829A"/>
    <w:rsid w:val="7E978585"/>
    <w:rsid w:val="7EBDE828"/>
    <w:rsid w:val="7ED6D450"/>
    <w:rsid w:val="7EDCA859"/>
    <w:rsid w:val="7EEF6B19"/>
    <w:rsid w:val="7EF9AFA0"/>
    <w:rsid w:val="7EFBBF9E"/>
    <w:rsid w:val="7EFD5268"/>
    <w:rsid w:val="7EFDCDEA"/>
    <w:rsid w:val="7F1FB747"/>
    <w:rsid w:val="7F497E04"/>
    <w:rsid w:val="7F5F5E97"/>
    <w:rsid w:val="7F5FF89D"/>
    <w:rsid w:val="7F7F6A5B"/>
    <w:rsid w:val="7F9F762E"/>
    <w:rsid w:val="7FC36EBE"/>
    <w:rsid w:val="7FE7C37C"/>
    <w:rsid w:val="7FEF8D70"/>
    <w:rsid w:val="7FF35D57"/>
    <w:rsid w:val="7FF67FC2"/>
    <w:rsid w:val="7FFE7317"/>
    <w:rsid w:val="7FFF25C5"/>
    <w:rsid w:val="7FFFF5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17961F7"/>
  <w15:docId w15:val="{4823F778-D555-4788-BC33-519C32347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unhideWhenUsed="1" w:qFormat="1"/>
    <w:lsdException w:name="toc 3" w:semiHidden="1" w:uiPriority="39" w:unhideWhenUsed="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4"/>
    </w:rPr>
  </w:style>
  <w:style w:type="paragraph" w:styleId="2">
    <w:name w:val="heading 2"/>
    <w:basedOn w:val="a"/>
    <w:next w:val="a"/>
    <w:uiPriority w:val="9"/>
    <w:semiHidden/>
    <w:unhideWhenUsed/>
    <w:qFormat/>
    <w:pPr>
      <w:spacing w:beforeAutospacing="1" w:afterAutospacing="1"/>
      <w:jc w:val="left"/>
      <w:outlineLvl w:val="1"/>
    </w:pPr>
    <w:rPr>
      <w:rFonts w:ascii="宋体" w:hAnsi="宋体" w:hint="eastAsia"/>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widowControl/>
      <w:spacing w:after="200" w:line="276" w:lineRule="auto"/>
      <w:jc w:val="left"/>
    </w:pPr>
    <w:rPr>
      <w:kern w:val="0"/>
      <w:sz w:val="24"/>
      <w:szCs w:val="22"/>
    </w:r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TOC4">
    <w:name w:val="toc 4"/>
    <w:basedOn w:val="a"/>
    <w:next w:val="a"/>
    <w:uiPriority w:val="39"/>
    <w:semiHidden/>
    <w:unhideWhenUsed/>
    <w:qFormat/>
    <w:pPr>
      <w:ind w:leftChars="600" w:left="1260"/>
    </w:pPr>
  </w:style>
  <w:style w:type="paragraph" w:styleId="TOC2">
    <w:name w:val="toc 2"/>
    <w:basedOn w:val="a"/>
    <w:next w:val="a"/>
    <w:uiPriority w:val="39"/>
    <w:unhideWhenUsed/>
    <w:qFormat/>
    <w:pPr>
      <w:widowControl/>
      <w:spacing w:after="100" w:line="276" w:lineRule="auto"/>
      <w:ind w:left="220"/>
      <w:jc w:val="left"/>
    </w:pPr>
    <w:rPr>
      <w:rFonts w:ascii="等线" w:eastAsia="等线" w:hAnsi="等线"/>
      <w:kern w:val="0"/>
      <w:sz w:val="22"/>
      <w:szCs w:val="22"/>
    </w:rPr>
  </w:style>
  <w:style w:type="paragraph" w:styleId="HTML">
    <w:name w:val="HTML Preformatted"/>
    <w:basedOn w:val="a"/>
    <w:link w:val="HTML0"/>
    <w:uiPriority w:val="99"/>
    <w:semiHidden/>
    <w:unhideWhenUsed/>
    <w:qFormat/>
    <w:pPr>
      <w:widowControl/>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jc w:val="left"/>
    </w:pPr>
    <w:rPr>
      <w:rFonts w:ascii="Consolas" w:hAnsi="Consolas" w:cs="Courier New"/>
      <w:color w:val="333333"/>
      <w:kern w:val="0"/>
      <w:sz w:val="20"/>
      <w:szCs w:val="20"/>
    </w:rPr>
  </w:style>
  <w:style w:type="paragraph" w:styleId="ab">
    <w:name w:val="Normal (Web)"/>
    <w:basedOn w:val="a"/>
    <w:uiPriority w:val="99"/>
    <w:semiHidden/>
    <w:unhideWhenUsed/>
    <w:qFormat/>
    <w:pPr>
      <w:spacing w:beforeAutospacing="1" w:afterAutospacing="1"/>
      <w:jc w:val="left"/>
    </w:pPr>
    <w:rPr>
      <w:kern w:val="0"/>
      <w:sz w:val="24"/>
    </w:rPr>
  </w:style>
  <w:style w:type="paragraph" w:styleId="ac">
    <w:name w:val="annotation subject"/>
    <w:basedOn w:val="a3"/>
    <w:next w:val="a3"/>
    <w:link w:val="ad"/>
    <w:uiPriority w:val="99"/>
    <w:semiHidden/>
    <w:unhideWhenUsed/>
    <w:qFormat/>
    <w:rPr>
      <w:b/>
      <w:bCs/>
    </w:rPr>
  </w:style>
  <w:style w:type="table" w:styleId="ae">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basedOn w:val="a0"/>
    <w:uiPriority w:val="22"/>
    <w:qFormat/>
    <w:rPr>
      <w:b/>
    </w:rPr>
  </w:style>
  <w:style w:type="character" w:styleId="af0">
    <w:name w:val="page number"/>
    <w:basedOn w:val="a0"/>
    <w:qFormat/>
  </w:style>
  <w:style w:type="character" w:styleId="af1">
    <w:name w:val="Hyperlink"/>
    <w:basedOn w:val="a0"/>
    <w:uiPriority w:val="99"/>
    <w:semiHidden/>
    <w:unhideWhenUsed/>
    <w:qFormat/>
    <w:rPr>
      <w:color w:val="0000FF"/>
      <w:u w:val="single"/>
    </w:rPr>
  </w:style>
  <w:style w:type="character" w:styleId="af2">
    <w:name w:val="annotation reference"/>
    <w:uiPriority w:val="99"/>
    <w:semiHidden/>
    <w:unhideWhenUsed/>
    <w:qFormat/>
    <w:rPr>
      <w:sz w:val="21"/>
      <w:szCs w:val="21"/>
    </w:rPr>
  </w:style>
  <w:style w:type="character" w:customStyle="1" w:styleId="aa">
    <w:name w:val="页眉 字符"/>
    <w:link w:val="a9"/>
    <w:uiPriority w:val="99"/>
    <w:qFormat/>
    <w:rPr>
      <w:sz w:val="18"/>
      <w:szCs w:val="18"/>
    </w:rPr>
  </w:style>
  <w:style w:type="character" w:customStyle="1" w:styleId="a8">
    <w:name w:val="页脚 字符"/>
    <w:link w:val="a7"/>
    <w:uiPriority w:val="99"/>
    <w:qFormat/>
    <w:rPr>
      <w:sz w:val="18"/>
      <w:szCs w:val="18"/>
    </w:rPr>
  </w:style>
  <w:style w:type="paragraph" w:customStyle="1" w:styleId="Default">
    <w:name w:val="Default"/>
    <w:qFormat/>
    <w:pPr>
      <w:widowControl w:val="0"/>
      <w:autoSpaceDE w:val="0"/>
      <w:autoSpaceDN w:val="0"/>
      <w:adjustRightInd w:val="0"/>
    </w:pPr>
    <w:rPr>
      <w:rFonts w:ascii="黑体" w:eastAsia="黑体" w:hAnsi="Calibri" w:cs="黑体"/>
      <w:color w:val="000000"/>
      <w:sz w:val="24"/>
      <w:szCs w:val="24"/>
    </w:rPr>
  </w:style>
  <w:style w:type="paragraph" w:styleId="af3">
    <w:name w:val="List Paragraph"/>
    <w:basedOn w:val="a"/>
    <w:link w:val="af4"/>
    <w:uiPriority w:val="34"/>
    <w:qFormat/>
    <w:pPr>
      <w:ind w:firstLineChars="200" w:firstLine="420"/>
    </w:pPr>
    <w:rPr>
      <w:rFonts w:ascii="等线" w:eastAsia="等线" w:hAnsi="等线"/>
      <w:szCs w:val="22"/>
    </w:rPr>
  </w:style>
  <w:style w:type="character" w:customStyle="1" w:styleId="a6">
    <w:name w:val="批注框文本 字符"/>
    <w:link w:val="a5"/>
    <w:uiPriority w:val="99"/>
    <w:semiHidden/>
    <w:qFormat/>
    <w:rPr>
      <w:rFonts w:ascii="Times New Roman" w:hAnsi="Times New Roman"/>
      <w:kern w:val="2"/>
      <w:sz w:val="18"/>
      <w:szCs w:val="18"/>
    </w:rPr>
  </w:style>
  <w:style w:type="paragraph" w:customStyle="1" w:styleId="1">
    <w:name w:val="正文1"/>
    <w:qFormat/>
    <w:pPr>
      <w:jc w:val="both"/>
    </w:pPr>
    <w:rPr>
      <w:kern w:val="2"/>
      <w:sz w:val="21"/>
      <w:szCs w:val="21"/>
    </w:rPr>
  </w:style>
  <w:style w:type="paragraph" w:customStyle="1" w:styleId="10">
    <w:name w:val="修订1"/>
    <w:hidden/>
    <w:uiPriority w:val="99"/>
    <w:semiHidden/>
    <w:qFormat/>
    <w:rPr>
      <w:kern w:val="2"/>
      <w:sz w:val="21"/>
      <w:szCs w:val="24"/>
    </w:rPr>
  </w:style>
  <w:style w:type="paragraph" w:customStyle="1" w:styleId="af5">
    <w:name w:val="日常使用"/>
    <w:basedOn w:val="a"/>
    <w:link w:val="af6"/>
    <w:qFormat/>
    <w:pPr>
      <w:spacing w:line="460" w:lineRule="exact"/>
      <w:ind w:firstLineChars="200" w:firstLine="200"/>
    </w:pPr>
    <w:rPr>
      <w:sz w:val="24"/>
      <w:szCs w:val="19"/>
      <w:shd w:val="clear" w:color="auto" w:fill="FFFFFF"/>
    </w:rPr>
  </w:style>
  <w:style w:type="character" w:customStyle="1" w:styleId="af6">
    <w:name w:val="日常使用 字符"/>
    <w:link w:val="af5"/>
    <w:qFormat/>
    <w:rPr>
      <w:rFonts w:ascii="Times New Roman" w:hAnsi="Times New Roman"/>
      <w:kern w:val="2"/>
      <w:sz w:val="24"/>
      <w:szCs w:val="19"/>
    </w:rPr>
  </w:style>
  <w:style w:type="paragraph" w:customStyle="1" w:styleId="af7">
    <w:name w:val="标准格式"/>
    <w:link w:val="af8"/>
    <w:qFormat/>
    <w:pPr>
      <w:spacing w:line="360" w:lineRule="exact"/>
      <w:ind w:firstLineChars="200" w:firstLine="200"/>
      <w:jc w:val="both"/>
    </w:pPr>
    <w:rPr>
      <w:rFonts w:cs="宋体"/>
      <w:color w:val="000000"/>
      <w:sz w:val="21"/>
      <w:szCs w:val="24"/>
    </w:rPr>
  </w:style>
  <w:style w:type="character" w:customStyle="1" w:styleId="af8">
    <w:name w:val="标准格式 字符"/>
    <w:link w:val="af7"/>
    <w:qFormat/>
    <w:rPr>
      <w:rFonts w:ascii="Times New Roman" w:hAnsi="Times New Roman" w:cs="宋体"/>
      <w:color w:val="000000"/>
      <w:sz w:val="21"/>
      <w:szCs w:val="24"/>
    </w:rPr>
  </w:style>
  <w:style w:type="character" w:customStyle="1" w:styleId="af4">
    <w:name w:val="列表段落 字符"/>
    <w:link w:val="af3"/>
    <w:uiPriority w:val="34"/>
    <w:qFormat/>
    <w:rPr>
      <w:rFonts w:ascii="等线" w:eastAsia="等线" w:hAnsi="等线"/>
      <w:kern w:val="2"/>
      <w:sz w:val="21"/>
      <w:szCs w:val="22"/>
    </w:rPr>
  </w:style>
  <w:style w:type="character" w:customStyle="1" w:styleId="a4">
    <w:name w:val="批注文字 字符"/>
    <w:link w:val="a3"/>
    <w:uiPriority w:val="99"/>
    <w:semiHidden/>
    <w:qFormat/>
    <w:rPr>
      <w:rFonts w:ascii="Times New Roman" w:hAnsi="Times New Roman"/>
      <w:kern w:val="2"/>
      <w:sz w:val="21"/>
      <w:szCs w:val="24"/>
    </w:rPr>
  </w:style>
  <w:style w:type="character" w:customStyle="1" w:styleId="ad">
    <w:name w:val="批注主题 字符"/>
    <w:link w:val="ac"/>
    <w:uiPriority w:val="99"/>
    <w:semiHidden/>
    <w:qFormat/>
    <w:rPr>
      <w:rFonts w:ascii="Times New Roman" w:hAnsi="Times New Roman"/>
      <w:b/>
      <w:bCs/>
      <w:kern w:val="2"/>
      <w:sz w:val="21"/>
      <w:szCs w:val="24"/>
    </w:rPr>
  </w:style>
  <w:style w:type="paragraph" w:customStyle="1" w:styleId="20">
    <w:name w:val="样式2"/>
    <w:basedOn w:val="a"/>
    <w:link w:val="21"/>
    <w:qFormat/>
    <w:pPr>
      <w:spacing w:line="460" w:lineRule="exact"/>
      <w:ind w:firstLineChars="200" w:firstLine="200"/>
      <w:outlineLvl w:val="1"/>
    </w:pPr>
    <w:rPr>
      <w:b/>
      <w:sz w:val="24"/>
    </w:rPr>
  </w:style>
  <w:style w:type="character" w:customStyle="1" w:styleId="21">
    <w:name w:val="样式2 字符"/>
    <w:link w:val="20"/>
    <w:qFormat/>
    <w:rPr>
      <w:rFonts w:ascii="Times New Roman" w:hAnsi="Times New Roman"/>
      <w:b/>
      <w:kern w:val="2"/>
      <w:sz w:val="24"/>
      <w:szCs w:val="24"/>
    </w:rPr>
  </w:style>
  <w:style w:type="paragraph" w:customStyle="1" w:styleId="005">
    <w:name w:val="005正文"/>
    <w:basedOn w:val="a"/>
    <w:link w:val="005Char"/>
    <w:qFormat/>
    <w:pPr>
      <w:spacing w:beforeLines="50"/>
    </w:pPr>
    <w:rPr>
      <w:szCs w:val="22"/>
    </w:rPr>
  </w:style>
  <w:style w:type="character" w:customStyle="1" w:styleId="005Char">
    <w:name w:val="005正文 Char"/>
    <w:link w:val="005"/>
    <w:qFormat/>
    <w:rPr>
      <w:rFonts w:ascii="Times New Roman" w:hAnsi="Times New Roman"/>
      <w:kern w:val="2"/>
      <w:sz w:val="21"/>
      <w:szCs w:val="22"/>
    </w:rPr>
  </w:style>
  <w:style w:type="character" w:customStyle="1" w:styleId="HTML0">
    <w:name w:val="HTML 预设格式 字符"/>
    <w:link w:val="HTML"/>
    <w:uiPriority w:val="99"/>
    <w:semiHidden/>
    <w:qFormat/>
    <w:rPr>
      <w:rFonts w:ascii="Consolas" w:hAnsi="Consolas" w:cs="Courier New"/>
      <w:color w:val="333333"/>
      <w:shd w:val="clear" w:color="auto" w:fill="F5F5F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xmlns="http://schemas.wps.cn/vas-ai-hub/contract-review">
    <reviewItem xmlns="http://schemas.wps.cn/vas-ai-hub/contract-review">
      <errorID xmlns="http://schemas.wps.cn/vas-ai-hub/contract-review">94024495-8762-4441-a4f5-ae41bbe605a2</errorID>
      <errorWord xmlns="http://schemas.wps.cn/vas-ai-hub/contract-review">其它</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item>
      </candidateList>
      <explain xmlns="http://schemas.wps.cn/vas-ai-hub/contract-review">词汇[其它]为不规范表述或旧称，其规范书面表述为[其他]。</explain>
      <paraID xmlns="http://schemas.wps.cn/vas-ai-hub/contract-review">42931549</paraID>
      <start xmlns="http://schemas.wps.cn/vas-ai-hub/contract-review">1</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e1810582-3074-4af3-b77b-6bccef563e22</errorID>
      <errorWord xmlns="http://schemas.wps.cn/vas-ai-hub/contract-review">潘龙</errorWord>
      <group xmlns="http://schemas.wps.cn/vas-ai-hub/contract-review">L1_Knowledge</group>
      <groupName xmlns="http://schemas.wps.cn/vas-ai-hub/contract-review">知识性问题</groupName>
      <ability xmlns="http://schemas.wps.cn/vas-ai-hub/contract-review">L2_Term</ability>
      <abilityName xmlns="http://schemas.wps.cn/vas-ai-hub/contract-review">专业术语</abilityName>
      <candidateList xmlns="http://schemas.wps.cn/vas-ai-hub/contract-review">
        <item xmlns="http://schemas.wps.cn/vas-ai-hub/contract-review">泮库溴铵</item>
      </candidateList>
      <explain xmlns="http://schemas.wps.cn/vas-ai-hub/contract-review">医学名词[潘龙]为不规范表述或旧称，其规范书面表述为[泮库溴铵]。</explain>
      <paraID xmlns="http://schemas.wps.cn/vas-ai-hub/contract-review">54791263</paraID>
      <start xmlns="http://schemas.wps.cn/vas-ai-hub/contract-review">763</start>
      <end xmlns="http://schemas.wps.cn/vas-ai-hub/contract-review">765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065652c7-6b95-4ef5-a1ed-1a22e729f09c</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54791263</paraID>
      <start xmlns="http://schemas.wps.cn/vas-ai-hub/contract-review">821</start>
      <end xmlns="http://schemas.wps.cn/vas-ai-hub/contract-review">822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cd5a74ca-3c59-42de-908b-8c08472e60d7</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54791263</paraID>
      <start xmlns="http://schemas.wps.cn/vas-ai-hub/contract-review">826</start>
      <end xmlns="http://schemas.wps.cn/vas-ai-hub/contract-review">827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4843fda5-8833-46db-b28f-32691510c3d4</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54791263</paraID>
      <start xmlns="http://schemas.wps.cn/vas-ai-hub/contract-review">916</start>
      <end xmlns="http://schemas.wps.cn/vas-ai-hub/contract-review">917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8da08fc2-ee04-4732-800e-3d3f5a679345</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54791263</paraID>
      <start xmlns="http://schemas.wps.cn/vas-ai-hub/contract-review">919</start>
      <end xmlns="http://schemas.wps.cn/vas-ai-hub/contract-review">920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85e2f9a0-df6f-46ef-9375-6eba77b417bf</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301CD0E2</paraID>
      <start xmlns="http://schemas.wps.cn/vas-ai-hub/contract-review">108</start>
      <end xmlns="http://schemas.wps.cn/vas-ai-hub/contract-review">109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4ff328fd-0dc1-4e29-bcd5-6a4b5e71ea3d</errorID>
      <errorWord xmlns="http://schemas.wps.cn/vas-ai-hub/contract-review">正</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正在</item>
      </candidateList>
      <explain xmlns="http://schemas.wps.cn/vas-ai-hub/contract-review"/>
      <paraID xmlns="http://schemas.wps.cn/vas-ai-hub/contract-review">474F5039</paraID>
      <start xmlns="http://schemas.wps.cn/vas-ai-hub/contract-review">111</start>
      <end xmlns="http://schemas.wps.cn/vas-ai-hub/contract-review">112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9a6998a5-ab55-4ec6-9caf-de27090de911</errorID>
      <errorWord xmlns="http://schemas.wps.cn/vas-ai-hub/contract-review">正</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正在</item>
      </candidateList>
      <explain xmlns="http://schemas.wps.cn/vas-ai-hub/contract-review"/>
      <paraID xmlns="http://schemas.wps.cn/vas-ai-hub/contract-review">5D92BE8B</paraID>
      <start xmlns="http://schemas.wps.cn/vas-ai-hub/contract-review">185</start>
      <end xmlns="http://schemas.wps.cn/vas-ai-hub/contract-review">186</end>
      <status xmlns="http://schemas.wps.cn/vas-ai-hub/contract-review">unmodified</status>
      <modifiedWord xmlns="http://schemas.wps.cn/vas-ai-hub/contract-review"/>
      <trackRevisions xmlns="http://schemas.wps.cn/vas-ai-hub/contract-review">false</trackRevisions>
    </reviewItem>
  </reviewItems>
  <config xmlns="http://schemas.wps.cn/vas-ai-hub/contract-review"/>
</contractReview>
</file>

<file path=customXml/item2.xml><?xml version="1.0" encoding="utf-8"?>
<b:Sources xmlns:b="http://schemas.openxmlformats.org/officeDocument/2006/bibliography" StyleName="APA" SelectedStyle="\APASixthEditionOfficeOnline.xsl" Version="6"/>
</file>

<file path=customXml/itemProps1.xml><?xml version="1.0" encoding="utf-8"?>
<ds:datastoreItem xmlns:ds="http://schemas.openxmlformats.org/officeDocument/2006/customXml" ds:itemID="{93583917-8359-4661-9A78-66BF56A1A6EA}">
  <ds:schemaRefs>
    <ds:schemaRef ds:uri="http://schemas.wps.cn/vas-ai-hub/contract-review"/>
  </ds:schemaRefs>
</ds:datastoreItem>
</file>

<file path=customXml/itemProps2.xml><?xml version="1.0" encoding="utf-8"?>
<ds:datastoreItem xmlns:ds="http://schemas.openxmlformats.org/officeDocument/2006/customXml" ds:itemID="{59E1AFB9-47A0-4AFE-AAD9-2A68D4463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Pages>
  <Words>820</Words>
  <Characters>4678</Characters>
  <Application>Microsoft Office Word</Application>
  <DocSecurity>0</DocSecurity>
  <Lines>38</Lines>
  <Paragraphs>10</Paragraphs>
  <ScaleCrop>false</ScaleCrop>
  <Company>微软中国</Company>
  <LinksUpToDate>false</LinksUpToDate>
  <CharactersWithSpaces>5488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杨毅玲</dc:creator>
  <cp:lastModifiedBy>DB</cp:lastModifiedBy>
  <cp:revision>15</cp:revision>
  <dcterms:created xsi:type="dcterms:W3CDTF">2024-05-29T01:26:00Z</dcterms:created>
  <dcterms:modified xsi:type="dcterms:W3CDTF">2026-08-20T10:44:00Z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KSOTemplateDocerSaveRecord">
    <vt:lpwstr>eyJoZGlkIjoiM2Q3MDY1NjZmNzI1NGViNDRhZmY1YWQ1Y2UxOWM3ODMiLCJ1c2VySWQiOiI0NDQ4Nzc2MjkifQ==</vt:lpwstr>
  </property>
  <property fmtid="{D5CDD505-2E9C-101B-9397-08002B2CF9AE}" pid="4" name="ICV">
    <vt:lpwstr>7802165C2A24A448A8D5866A67CB0733_43</vt:lpwstr>
  </property>
</Properties>
</file>