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42278" w14:textId="77777777" w:rsidR="000C6DAA" w:rsidRDefault="00832CBC">
      <w:pPr>
        <w:spacing w:beforeLines="50" w:before="156" w:afterLines="50" w:after="156" w:line="400" w:lineRule="exact"/>
        <w:rPr>
          <w:rFonts w:eastAsiaTheme="minorEastAsia"/>
          <w:bCs/>
          <w:iCs/>
          <w:sz w:val="24"/>
        </w:rPr>
      </w:pPr>
      <w:r>
        <w:rPr>
          <w:rFonts w:eastAsiaTheme="minorEastAsia" w:hint="eastAsia"/>
          <w:bCs/>
          <w:iCs/>
          <w:sz w:val="24"/>
        </w:rPr>
        <w:t>证券代码：</w:t>
      </w:r>
      <w:r>
        <w:rPr>
          <w:rFonts w:eastAsiaTheme="minorEastAsia" w:hint="eastAsia"/>
          <w:bCs/>
          <w:iCs/>
          <w:sz w:val="24"/>
        </w:rPr>
        <w:t>688139</w:t>
      </w:r>
      <w:r>
        <w:rPr>
          <w:rFonts w:eastAsiaTheme="minorEastAsia"/>
          <w:bCs/>
          <w:iCs/>
          <w:sz w:val="24"/>
        </w:rPr>
        <w:t xml:space="preserve">                                 </w:t>
      </w:r>
      <w:r>
        <w:rPr>
          <w:rFonts w:eastAsiaTheme="minorEastAsia" w:hint="eastAsia"/>
          <w:bCs/>
          <w:iCs/>
          <w:sz w:val="24"/>
        </w:rPr>
        <w:t xml:space="preserve">   </w:t>
      </w:r>
      <w:r>
        <w:rPr>
          <w:rFonts w:eastAsiaTheme="minorEastAsia" w:hint="eastAsia"/>
          <w:bCs/>
          <w:iCs/>
          <w:sz w:val="24"/>
        </w:rPr>
        <w:t>证券简称：海尔生物</w:t>
      </w:r>
    </w:p>
    <w:p w14:paraId="6EBB0698" w14:textId="77777777" w:rsidR="000C6DAA" w:rsidRDefault="00832CBC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eastAsiaTheme="minorEastAsia" w:hint="eastAsia"/>
          <w:b/>
          <w:bCs/>
          <w:iCs/>
          <w:sz w:val="30"/>
          <w:szCs w:val="30"/>
        </w:rPr>
        <w:t>青岛海尔生物医疗股份有限公司</w:t>
      </w:r>
    </w:p>
    <w:p w14:paraId="17F8ED7B" w14:textId="77777777" w:rsidR="000C6DAA" w:rsidRDefault="00832CBC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eastAsiaTheme="minorEastAsia" w:hint="eastAsia"/>
          <w:b/>
          <w:bCs/>
          <w:iCs/>
          <w:sz w:val="30"/>
          <w:szCs w:val="30"/>
        </w:rPr>
        <w:t>投资者关系活动记录表</w:t>
      </w:r>
    </w:p>
    <w:p w14:paraId="43BB4FB1" w14:textId="43DFA8E7" w:rsidR="000C6DAA" w:rsidRDefault="00832CBC">
      <w:pPr>
        <w:spacing w:line="400" w:lineRule="exact"/>
        <w:rPr>
          <w:rFonts w:eastAsiaTheme="minorEastAsia"/>
          <w:bCs/>
          <w:iCs/>
          <w:sz w:val="24"/>
          <w:szCs w:val="24"/>
        </w:rPr>
      </w:pPr>
      <w:r>
        <w:rPr>
          <w:rFonts w:eastAsiaTheme="minorEastAsia"/>
          <w:bCs/>
          <w:iCs/>
          <w:sz w:val="24"/>
          <w:szCs w:val="24"/>
        </w:rPr>
        <w:t xml:space="preserve">                                                    </w:t>
      </w:r>
      <w:r>
        <w:rPr>
          <w:rFonts w:eastAsiaTheme="minorEastAsia" w:hint="eastAsia"/>
          <w:bCs/>
          <w:iCs/>
          <w:sz w:val="24"/>
          <w:szCs w:val="24"/>
        </w:rPr>
        <w:t xml:space="preserve">  </w:t>
      </w:r>
      <w:r>
        <w:rPr>
          <w:rFonts w:eastAsiaTheme="minorEastAsia"/>
          <w:bCs/>
          <w:iCs/>
          <w:sz w:val="24"/>
          <w:szCs w:val="24"/>
        </w:rPr>
        <w:t xml:space="preserve">  </w:t>
      </w:r>
      <w:r>
        <w:rPr>
          <w:rFonts w:eastAsiaTheme="minorEastAsia" w:hint="eastAsia"/>
          <w:bCs/>
          <w:iCs/>
          <w:sz w:val="24"/>
          <w:szCs w:val="24"/>
        </w:rPr>
        <w:t>编号：</w:t>
      </w:r>
      <w:r>
        <w:rPr>
          <w:rFonts w:eastAsiaTheme="minorEastAsia"/>
          <w:bCs/>
          <w:iCs/>
          <w:sz w:val="24"/>
          <w:szCs w:val="24"/>
        </w:rPr>
        <w:t>2026-0</w:t>
      </w:r>
      <w:r w:rsidR="007A7AF9">
        <w:rPr>
          <w:rFonts w:eastAsiaTheme="minorEastAsia"/>
          <w:bCs/>
          <w:iCs/>
          <w:sz w:val="24"/>
          <w:szCs w:val="24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614"/>
      </w:tblGrid>
      <w:tr w:rsidR="000C6DAA" w14:paraId="1C6485D1" w14:textId="77777777">
        <w:trPr>
          <w:trHeight w:val="9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0223" w14:textId="77777777" w:rsidR="000C6DAA" w:rsidRDefault="00832CBC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36779B1C" w14:textId="77777777" w:rsidR="000C6DAA" w:rsidRDefault="000C6DAA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2F6" w14:textId="387B00ED" w:rsidR="000C6DAA" w:rsidRDefault="0037269E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 w:rsidR="00832CBC">
              <w:rPr>
                <w:rFonts w:eastAsiaTheme="minorEastAsia" w:hint="eastAsia"/>
                <w:sz w:val="24"/>
                <w:szCs w:val="24"/>
              </w:rPr>
              <w:t>特定对象调研</w:t>
            </w:r>
            <w:r w:rsidR="00832CBC">
              <w:rPr>
                <w:rFonts w:eastAsiaTheme="minorEastAsia" w:hint="eastAsia"/>
                <w:sz w:val="24"/>
                <w:szCs w:val="24"/>
              </w:rPr>
              <w:t xml:space="preserve">       </w:t>
            </w:r>
            <w:r w:rsidR="00832CBC"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 w:rsidR="00832CBC">
              <w:rPr>
                <w:rFonts w:eastAsiaTheme="minorEastAsia" w:hint="eastAsia"/>
                <w:sz w:val="24"/>
                <w:szCs w:val="24"/>
              </w:rPr>
              <w:t>分析师会议</w:t>
            </w:r>
          </w:p>
          <w:p w14:paraId="2AC39D47" w14:textId="1D288995" w:rsidR="000C6DAA" w:rsidRDefault="00832CBC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媒体采访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  </w:t>
            </w:r>
            <w:r w:rsidR="0037269E">
              <w:rPr>
                <w:rFonts w:eastAsiaTheme="minorEastAsia" w:hint="eastAsia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eastAsiaTheme="minorEastAsia" w:hint="eastAsia"/>
                <w:sz w:val="24"/>
                <w:szCs w:val="24"/>
              </w:rPr>
              <w:t>业绩说明会</w:t>
            </w:r>
          </w:p>
          <w:p w14:paraId="2D757254" w14:textId="77777777" w:rsidR="000C6DAA" w:rsidRDefault="00832CBC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新闻发布会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路演活动</w:t>
            </w:r>
          </w:p>
          <w:p w14:paraId="0DAFC993" w14:textId="77777777" w:rsidR="000C6DAA" w:rsidRDefault="00832CBC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现场参观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电话会议</w:t>
            </w:r>
          </w:p>
          <w:p w14:paraId="2BD4C3B3" w14:textId="77777777" w:rsidR="000C6DAA" w:rsidRDefault="00832CBC">
            <w:pPr>
              <w:tabs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其他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>
              <w:rPr>
                <w:rFonts w:eastAsiaTheme="minorEastAsia" w:hint="eastAsia"/>
                <w:sz w:val="24"/>
                <w:szCs w:val="24"/>
              </w:rPr>
              <w:t>（</w:t>
            </w:r>
            <w:r>
              <w:rPr>
                <w:rFonts w:eastAsiaTheme="minorEastAsia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0C6DAA" w14:paraId="58E3643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69F5" w14:textId="59DFD648" w:rsidR="000C6DAA" w:rsidRDefault="0037269E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活动主题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BD56" w14:textId="2CE24527" w:rsidR="000C6DAA" w:rsidRDefault="0037269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7269E">
              <w:rPr>
                <w:rFonts w:ascii="宋体" w:hAnsi="宋体" w:cs="宋体" w:hint="eastAsia"/>
                <w:kern w:val="0"/>
                <w:sz w:val="24"/>
                <w:szCs w:val="24"/>
              </w:rPr>
              <w:t>海尔生物</w:t>
            </w:r>
            <w:r w:rsidR="007A7AF9" w:rsidRPr="007A7AF9">
              <w:rPr>
                <w:rFonts w:ascii="宋体" w:hAnsi="宋体" w:cs="宋体" w:hint="eastAsia"/>
                <w:kern w:val="0"/>
                <w:sz w:val="24"/>
                <w:szCs w:val="24"/>
              </w:rPr>
              <w:t>2026年半年度业绩说明会</w:t>
            </w:r>
          </w:p>
        </w:tc>
      </w:tr>
      <w:tr w:rsidR="000C6DAA" w14:paraId="0739CCF2" w14:textId="77777777">
        <w:trPr>
          <w:trHeight w:val="5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2889" w14:textId="77777777" w:rsidR="000C6DAA" w:rsidRDefault="00832CBC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DD18" w14:textId="7602EE3E" w:rsidR="000C6DAA" w:rsidRDefault="00832CBC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年</w:t>
            </w:r>
            <w:r w:rsidR="007A7AF9"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月</w:t>
            </w:r>
            <w:r w:rsidR="007A7AF9">
              <w:rPr>
                <w:rFonts w:eastAsiaTheme="minorEastAsia" w:hint="eastAsia"/>
                <w:bCs/>
                <w:iCs/>
                <w:sz w:val="24"/>
                <w:szCs w:val="24"/>
              </w:rPr>
              <w:t>2</w:t>
            </w:r>
            <w:r w:rsidR="007A7AF9">
              <w:rPr>
                <w:rFonts w:eastAsiaTheme="minorEastAsia"/>
                <w:bCs/>
                <w:iCs/>
                <w:sz w:val="24"/>
                <w:szCs w:val="24"/>
              </w:rPr>
              <w:t>1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日</w:t>
            </w:r>
            <w:r w:rsidR="0037269E">
              <w:rPr>
                <w:rFonts w:eastAsiaTheme="minorEastAsia" w:hint="eastAsia"/>
                <w:bCs/>
                <w:iCs/>
                <w:sz w:val="24"/>
                <w:szCs w:val="24"/>
              </w:rPr>
              <w:t xml:space="preserve"> </w:t>
            </w:r>
            <w:r w:rsidR="0037269E" w:rsidRPr="0037269E">
              <w:rPr>
                <w:rFonts w:eastAsiaTheme="minorEastAsia"/>
                <w:bCs/>
                <w:iCs/>
                <w:sz w:val="24"/>
                <w:szCs w:val="24"/>
              </w:rPr>
              <w:t>- 1</w:t>
            </w:r>
            <w:r w:rsidR="007A7AF9">
              <w:rPr>
                <w:rFonts w:eastAsiaTheme="minorEastAsia"/>
                <w:bCs/>
                <w:iCs/>
                <w:sz w:val="24"/>
                <w:szCs w:val="24"/>
              </w:rPr>
              <w:t>3</w:t>
            </w:r>
            <w:r w:rsidR="0037269E" w:rsidRPr="0037269E">
              <w:rPr>
                <w:rFonts w:eastAsiaTheme="minorEastAsia"/>
                <w:bCs/>
                <w:iCs/>
                <w:sz w:val="24"/>
                <w:szCs w:val="24"/>
              </w:rPr>
              <w:t>:00-1</w:t>
            </w:r>
            <w:r w:rsidR="007A7AF9">
              <w:rPr>
                <w:rFonts w:eastAsiaTheme="minorEastAsia"/>
                <w:bCs/>
                <w:iCs/>
                <w:sz w:val="24"/>
                <w:szCs w:val="24"/>
              </w:rPr>
              <w:t>4</w:t>
            </w:r>
            <w:r w:rsidR="0037269E" w:rsidRPr="0037269E">
              <w:rPr>
                <w:rFonts w:eastAsiaTheme="minorEastAsia"/>
                <w:bCs/>
                <w:iCs/>
                <w:sz w:val="24"/>
                <w:szCs w:val="24"/>
              </w:rPr>
              <w:t>:00</w:t>
            </w:r>
          </w:p>
        </w:tc>
      </w:tr>
      <w:tr w:rsidR="000C6DAA" w14:paraId="5CDB4C6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109E" w14:textId="77777777" w:rsidR="000C6DAA" w:rsidRDefault="00832CBC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参会方式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5422" w14:textId="77777777" w:rsidR="0037269E" w:rsidRDefault="0037269E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 w:rsidRPr="0037269E">
              <w:rPr>
                <w:rFonts w:eastAsiaTheme="minorEastAsia" w:hint="eastAsia"/>
                <w:bCs/>
                <w:iCs/>
                <w:sz w:val="24"/>
                <w:szCs w:val="24"/>
              </w:rPr>
              <w:t>上证路演中心</w:t>
            </w:r>
            <w:r w:rsidRPr="0037269E">
              <w:rPr>
                <w:rFonts w:eastAsiaTheme="minorEastAsia" w:hint="eastAsia"/>
                <w:bCs/>
                <w:iCs/>
                <w:sz w:val="24"/>
                <w:szCs w:val="24"/>
              </w:rPr>
              <w:t xml:space="preserve"> https://roadshow.sseinfo.com </w:t>
            </w:r>
          </w:p>
          <w:p w14:paraId="4C2259C9" w14:textId="2DF6B805" w:rsidR="000C6DAA" w:rsidRDefault="0037269E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 w:rsidRPr="0037269E">
              <w:rPr>
                <w:rFonts w:eastAsiaTheme="minorEastAsia" w:hint="eastAsia"/>
                <w:bCs/>
                <w:iCs/>
                <w:sz w:val="24"/>
                <w:szCs w:val="24"/>
              </w:rPr>
              <w:t>网络文字互动</w:t>
            </w:r>
          </w:p>
        </w:tc>
      </w:tr>
      <w:tr w:rsidR="000C6DAA" w14:paraId="38F3AD0C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250D" w14:textId="77777777" w:rsidR="000C6DAA" w:rsidRDefault="00832CBC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3EAF" w14:textId="597635E0" w:rsidR="000C6DAA" w:rsidRDefault="0037269E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 w:rsidRPr="0037269E">
              <w:rPr>
                <w:rFonts w:eastAsiaTheme="minorEastAsia" w:hint="eastAsia"/>
                <w:bCs/>
                <w:iCs/>
                <w:sz w:val="24"/>
                <w:szCs w:val="24"/>
              </w:rPr>
              <w:t>董事、总经理：刘占杰、独立董事：</w:t>
            </w:r>
            <w:r w:rsidR="00EF7BAF">
              <w:rPr>
                <w:rFonts w:eastAsiaTheme="minorEastAsia" w:hint="eastAsia"/>
                <w:bCs/>
                <w:iCs/>
                <w:sz w:val="24"/>
                <w:szCs w:val="24"/>
              </w:rPr>
              <w:t>许铭</w:t>
            </w:r>
            <w:r w:rsidRPr="0037269E">
              <w:rPr>
                <w:rFonts w:eastAsiaTheme="minorEastAsia" w:hint="eastAsia"/>
                <w:bCs/>
                <w:iCs/>
                <w:sz w:val="24"/>
                <w:szCs w:val="24"/>
              </w:rPr>
              <w:t>、首席财务官：莫瑞娟、董事会秘书：黄艳莉</w:t>
            </w:r>
          </w:p>
        </w:tc>
      </w:tr>
      <w:tr w:rsidR="000C6DAA" w14:paraId="39B999D9" w14:textId="77777777">
        <w:trPr>
          <w:trHeight w:val="98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A274" w14:textId="77777777" w:rsidR="000C6DAA" w:rsidRDefault="00832CBC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79A6" w14:textId="0BE358CD" w:rsidR="000C6DAA" w:rsidRDefault="005B7469" w:rsidP="005B7469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 w:rsidRPr="005B7469">
              <w:rPr>
                <w:rFonts w:ascii="宋体" w:hAnsi="宋体" w:hint="eastAsia"/>
                <w:b/>
                <w:sz w:val="24"/>
              </w:rPr>
              <w:t>问题一：</w:t>
            </w:r>
            <w:r w:rsidRPr="005B7469">
              <w:rPr>
                <w:rFonts w:ascii="宋体" w:hAnsi="宋体" w:hint="eastAsia"/>
                <w:b/>
                <w:sz w:val="24"/>
              </w:rPr>
              <w:t>请公司介绍2026年上半年整体经营情况及主要业绩数据</w:t>
            </w:r>
            <w:r w:rsidR="00832CBC">
              <w:rPr>
                <w:rFonts w:ascii="宋体" w:hAnsi="宋体"/>
                <w:b/>
                <w:sz w:val="24"/>
              </w:rPr>
              <w:t>？</w:t>
            </w:r>
          </w:p>
          <w:p w14:paraId="072FD612" w14:textId="7E081910" w:rsidR="005B7469" w:rsidRPr="005B7469" w:rsidRDefault="00832CBC" w:rsidP="005B7469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5B7469" w:rsidRPr="005B7469">
              <w:rPr>
                <w:rFonts w:ascii="宋体" w:hAnsi="宋体" w:hint="eastAsia"/>
                <w:sz w:val="24"/>
                <w:szCs w:val="24"/>
              </w:rPr>
              <w:t>尊敬的投资者，您好！2026年上半年，公司增长战略持续兑现，业绩拐点趋势明确。上半年公司实现营业收入12.96亿元，同比增长8.45%，归属于上市公司股东的净利润1.47亿元，同比增长3.28%，扣除非经常性损益后的归母净利润1.38亿元，同比增长11.39%，经营活动产生的现金流量净额1.44亿元，同比增长304.81%。其中第二季度业绩大幅提速，单季营业收入同比增长27.22%，归母净利润同比增长109.21%，扣非归母净利润同比增长175%。</w:t>
            </w:r>
          </w:p>
          <w:p w14:paraId="3E0D7100" w14:textId="4F6ED0A1" w:rsidR="005B7469" w:rsidRPr="005B7469" w:rsidRDefault="005B7469" w:rsidP="005B7469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/>
                <w:sz w:val="24"/>
              </w:rPr>
            </w:pPr>
            <w:r w:rsidRPr="005B7469">
              <w:rPr>
                <w:rFonts w:ascii="宋体" w:hAnsi="宋体" w:hint="eastAsia"/>
                <w:sz w:val="24"/>
                <w:szCs w:val="24"/>
              </w:rPr>
              <w:t>从四大产业维度看，低温产业受制药终端市场增长提速影响，产业持续修复，实现连续四个季度的同比正增长，同比增</w:t>
            </w:r>
            <w:r w:rsidRPr="005B7469">
              <w:rPr>
                <w:rFonts w:ascii="宋体" w:hAnsi="宋体" w:hint="eastAsia"/>
                <w:sz w:val="24"/>
                <w:szCs w:val="24"/>
              </w:rPr>
              <w:lastRenderedPageBreak/>
              <w:t>长13%；实验室解决方案产业受出海业务增长和分析仪器放量影响，产业放量超预期，第二季度收入同比大幅提速并环比增长，同比增长19%；智慧用药产业在手订单有序落地，第二季度大幅提速带动上半年恢复双位数增长，同比增长11%；血液技术产业受行业采购季度间正常调整影响，上半年收入同比下滑5%，但第二季度同比增长8%，环比增长49%，上半年降幅收窄至5%，预计年度可实现双位数增长。</w:t>
            </w:r>
          </w:p>
          <w:p w14:paraId="1EC9FEB5" w14:textId="26B30CB6" w:rsidR="000C6DAA" w:rsidRDefault="005B7469" w:rsidP="005B7469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 w:rsidRPr="005B7469">
              <w:rPr>
                <w:rFonts w:ascii="宋体" w:hAnsi="宋体" w:hint="eastAsia"/>
                <w:b/>
                <w:bCs/>
                <w:sz w:val="24"/>
                <w:szCs w:val="24"/>
              </w:rPr>
              <w:t>问题二：</w:t>
            </w:r>
            <w:r w:rsidRPr="005B7469">
              <w:rPr>
                <w:rFonts w:ascii="宋体" w:hAnsi="宋体" w:hint="eastAsia"/>
                <w:b/>
                <w:sz w:val="24"/>
              </w:rPr>
              <w:t>公司第二季度业绩大幅提速的原因是什么？</w:t>
            </w:r>
          </w:p>
          <w:p w14:paraId="063DF065" w14:textId="236009EB" w:rsidR="005B7469" w:rsidRPr="005B7469" w:rsidRDefault="00832CBC" w:rsidP="005B7469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5B7469" w:rsidRPr="005B7469">
              <w:rPr>
                <w:rFonts w:ascii="宋体" w:hAnsi="宋体" w:hint="eastAsia"/>
                <w:bCs/>
                <w:sz w:val="24"/>
              </w:rPr>
              <w:t>尊敬的投资者，您好。年初，公司基于对市场的系统研判，锁定了全年三大高增长机会——空间广阔的海外市场、加速放量的新兴产业、需求旺盛的制药终端，并迅速对资源配置作出针对性调整：市场费用增量的一半投向海外，研发资源向海外相关产品开发与认证集中，制药端亦完成大量新产品的研发与认证布局。</w:t>
            </w:r>
          </w:p>
          <w:p w14:paraId="113C154E" w14:textId="538D619B" w:rsidR="005B7469" w:rsidRPr="005B7469" w:rsidRDefault="005B7469" w:rsidP="005B7469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5B7469">
              <w:rPr>
                <w:rFonts w:ascii="宋体" w:hAnsi="宋体" w:hint="eastAsia"/>
                <w:bCs/>
                <w:sz w:val="24"/>
              </w:rPr>
              <w:t>从上半年经营结果看，上述布局成效显著，中国市场业绩实现超预期增长，充分印证了公司对三大机遇的精准把握：一是四大产业较一季度全面提速，低温产业持续修复、实验室产业放量超预期、智慧用药产业在手订单有序落地、血液技术产业季节性因素出清后环比改善；二是制药用户研发与生产需求旺盛，公司在制药终端市场的拓展超预期；三是海外在地化战略持续兑现，核心品类海外收入实现翻番式增长。</w:t>
            </w:r>
          </w:p>
          <w:p w14:paraId="3D9EF19C" w14:textId="2A3D0211" w:rsidR="000C6DAA" w:rsidRPr="005B7469" w:rsidRDefault="005B7469" w:rsidP="005B7469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5B7469">
              <w:rPr>
                <w:rFonts w:ascii="宋体" w:hAnsi="宋体" w:hint="eastAsia"/>
                <w:bCs/>
                <w:sz w:val="24"/>
              </w:rPr>
              <w:t>上述成绩的取得，根本得益于公司团队的体系化作战能力。内部管理上，公司始终坚持以管理体系的确定性应对外部环境的不确定性，构建了"4+2"作战管理体系：立足生命科学上游“高壁垒、多场景、小细分”的行业特点，低温、智慧用药、实验室解决方案、血液技术四大产业作为独立经营主体分别作战，并被充分赋予自主决策权限；同时设立中国市场、海外市场两大市场平台，实现能力体系的拉通与协同。正是这套</w:t>
            </w:r>
            <w:r w:rsidRPr="005B7469">
              <w:rPr>
                <w:rFonts w:ascii="宋体" w:hAnsi="宋体" w:hint="eastAsia"/>
                <w:bCs/>
                <w:sz w:val="24"/>
              </w:rPr>
              <w:lastRenderedPageBreak/>
              <w:t>“4+2”协同作战体系，为上半年三大市场机遇的落地转化提供了坚实保障。</w:t>
            </w:r>
          </w:p>
          <w:p w14:paraId="0474304F" w14:textId="77777777" w:rsidR="00435C91" w:rsidRDefault="00830AA3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问题三：</w:t>
            </w:r>
            <w:r w:rsidR="00435C91" w:rsidRPr="00435C91">
              <w:rPr>
                <w:rFonts w:ascii="宋体" w:hAnsi="宋体" w:hint="eastAsia"/>
                <w:b/>
                <w:sz w:val="24"/>
              </w:rPr>
              <w:t>公司下半年业绩应该如何预期？</w:t>
            </w:r>
          </w:p>
          <w:p w14:paraId="5B772C7E" w14:textId="004F531F" w:rsidR="000C6DAA" w:rsidRDefault="00832CBC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435C91">
              <w:rPr>
                <w:rFonts w:hint="eastAsia"/>
              </w:rPr>
              <w:t xml:space="preserve"> 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t>尊敬的投资者，您好。年初公司通过市场研判，确定了全年三大高增长机会——空间广阔的海外市场、加速放量的新兴产业和需求旺盛的制药终端。基于这三大引擎，公司预计下半年公司收入与利润增速均将进一步抬升：一是新兴产业均步入收获期，在智慧用药、实验室解决方案、血液技术等在手订单支撑下，三大产业均显露冲击10亿级规模的态势，推动公司平台化能力的跃迁——实验室解决方案力争5年内国产实验室基础设备份额第一并向“自主实验室”服务商升级，智慧用药中标率首达28.5%稳居国内第一并加快海外复制，血液技术今年切入海外头部血制品供应链、力争3年内海外收入破亿；二是海外市场上半年虽有波动但符合预期，全年双位数增长的确定性不变，新加坡等重要制药战略区域及在地化能力将加速转化为业绩；三是制药终端市场全年高增长持续，且是未来至少3年的核心增长动力，公司将充分备战本轮产业上行周期，从低温工艺龙头延伸为生物医药新基建服务商。此外，公司经营利润率将在收入增长、结构优化、AI提效等因素的正向拉动下继续提升。尽管汇率波动等宏观不利因素预计仍将大幅削弱上述增益，但公司仍有信心实现全年归母净利润增幅与收入增幅大致相当，并在宏观因素后续改善的情况下具备进一步上行空间。</w:t>
            </w:r>
          </w:p>
          <w:p w14:paraId="329FD85C" w14:textId="134A0228" w:rsidR="000C6DAA" w:rsidRDefault="00435C91" w:rsidP="00435C91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问题四：</w:t>
            </w:r>
            <w:r w:rsidRPr="00435C91">
              <w:rPr>
                <w:rFonts w:ascii="宋体" w:hAnsi="宋体" w:hint="eastAsia"/>
                <w:b/>
                <w:sz w:val="24"/>
              </w:rPr>
              <w:t>公司并购端现在正在如何推进</w:t>
            </w:r>
            <w:r w:rsidR="00832CBC">
              <w:rPr>
                <w:rFonts w:ascii="宋体" w:hAnsi="宋体"/>
                <w:b/>
                <w:sz w:val="24"/>
              </w:rPr>
              <w:t>？</w:t>
            </w:r>
          </w:p>
          <w:p w14:paraId="393C13C5" w14:textId="274450C4" w:rsidR="000C6DAA" w:rsidRDefault="00832CBC" w:rsidP="008B4231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435C91">
              <w:rPr>
                <w:rFonts w:hint="eastAsia"/>
              </w:rPr>
              <w:t xml:space="preserve"> 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t>尊敬的投资者，您好。公司并购的方向主要围绕两条主线展开：①生物制造的核心装备和试剂耗材，聚焦高增长（用户需求持续扩容）、高壁垒（技术门槛高，国产化率低＜20%）、高复购赛道（设备+耗材模式）；②高点卡位技术外延支持新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lastRenderedPageBreak/>
              <w:t>场景拓展，比如低温技术的外延布局至前沿科技领域的广泛应用。截至目前，公司已有目标标的持续推进，力争年内取得实质性进展，公司将严格按照监管要求履行信息披露义务</w:t>
            </w:r>
            <w:r>
              <w:rPr>
                <w:rFonts w:ascii="宋体" w:hAnsi="宋体"/>
                <w:bCs/>
                <w:sz w:val="24"/>
              </w:rPr>
              <w:t>。</w:t>
            </w:r>
          </w:p>
          <w:p w14:paraId="17B114C3" w14:textId="4AC85A61" w:rsidR="000C6DAA" w:rsidRDefault="00435C91" w:rsidP="00435C91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问题五：</w:t>
            </w:r>
            <w:r w:rsidRPr="00435C91">
              <w:rPr>
                <w:rFonts w:ascii="宋体" w:hAnsi="宋体" w:hint="eastAsia"/>
                <w:b/>
                <w:sz w:val="24"/>
              </w:rPr>
              <w:t>我看20号的机构调研，公司说现在并购的标的正在接触，请问公司并购的标的大概是什么方向？战略上是什么考量，公司未来的愿景是什么？</w:t>
            </w:r>
          </w:p>
          <w:p w14:paraId="2BC9F0B0" w14:textId="11F0CE6F" w:rsidR="000C6DAA" w:rsidRDefault="00832CBC" w:rsidP="008B4231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t>尊敬的投资者，您好。多年的并购使公司建立了“选/并/补/强”的“同心圆”并购及卓越运营模式，逐渐构筑起支撑公司长期发展的竞争优势。过去几年里，公司接连完成多起并购，通过强化低温存储产品协同矩阵、深耕医院延伸至智慧用药场景、打通血液成分管理场景、补齐实验室软/硬/服一体化方案等，不仅构筑起产业发展新格局，还基于“同心圆”整合体系持续提升并购公司价值，截至上半年，公司并购子公司的资本回报率整体保持双位数，并购业务收入复合增长率达30%，对整体收入贡献超30%。目前，公司并购的方向主要围绕两条主线展开：①生物制造的核心装备和试剂耗材，聚焦高增长（用户需求持续扩容）、高壁垒（技术门槛高，国产化率低＜20%）、高复购赛道（设备+耗材模式）；②高点卡位技术外延支持新场景拓展，比如低温技术的外延布局至前沿科技领域的广泛应用。截至目前，公司已有目标标的持续推进，力争年内取得实质性进展，公司将严格按照监管要求履行信息披露义务。展望未来，公司将加快平台式外延并购，力争三年内实现并购事业收入占比不低于40%的目标。</w:t>
            </w:r>
          </w:p>
          <w:p w14:paraId="7074542E" w14:textId="299E584A" w:rsidR="000C6DAA" w:rsidRDefault="00435C91" w:rsidP="00435C91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问题六：</w:t>
            </w:r>
            <w:r w:rsidRPr="00435C91">
              <w:rPr>
                <w:rFonts w:ascii="宋体" w:hAnsi="宋体" w:hint="eastAsia"/>
                <w:b/>
                <w:sz w:val="24"/>
              </w:rPr>
              <w:t>整体来看，公司各渠道收入占比情况大概是什么样的</w:t>
            </w:r>
            <w:r w:rsidR="00832CBC">
              <w:rPr>
                <w:rFonts w:ascii="宋体" w:hAnsi="宋体"/>
                <w:b/>
                <w:sz w:val="24"/>
              </w:rPr>
              <w:t>？</w:t>
            </w:r>
          </w:p>
          <w:p w14:paraId="4DEF1EE5" w14:textId="6AC154E7" w:rsidR="000C6DAA" w:rsidRDefault="00832CBC" w:rsidP="00D24679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t>尊敬的投资者，您好。从26年上半年的整体用户情况来看，公司生物医药企业、高校科研院所等生命科学端用户收入占比约60%，生物医药研发和生产需求旺盛、科研经费持</w:t>
            </w:r>
            <w:r w:rsidR="00435C91" w:rsidRPr="00435C91">
              <w:rPr>
                <w:rFonts w:ascii="宋体" w:hAnsi="宋体" w:hint="eastAsia"/>
                <w:bCs/>
                <w:sz w:val="24"/>
              </w:rPr>
              <w:lastRenderedPageBreak/>
              <w:t>续投入等因素共同驱动了生命科学端的高景气；医院端用户收入占比约30%，自动化药房等结构性机会回暖已经展现；剩余为疾控、血站等公共卫生端用户，景气度未见明显复苏，但公司通过产品和市场竞争力不断提升市场份额，获得优于行业的表现</w:t>
            </w:r>
            <w:r>
              <w:rPr>
                <w:rFonts w:ascii="宋体" w:hAnsi="宋体" w:hint="eastAsia"/>
                <w:bCs/>
                <w:sz w:val="24"/>
              </w:rPr>
              <w:t>。</w:t>
            </w:r>
          </w:p>
          <w:p w14:paraId="5344C4C6" w14:textId="368EF08E" w:rsidR="000C6DAA" w:rsidRDefault="00435C91" w:rsidP="00435C91">
            <w:pPr>
              <w:spacing w:beforeLines="50" w:before="156" w:line="360" w:lineRule="auto"/>
              <w:ind w:left="425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问题七：</w:t>
            </w:r>
            <w:r w:rsidRPr="00435C91">
              <w:rPr>
                <w:rFonts w:ascii="宋体" w:hAnsi="宋体" w:hint="eastAsia"/>
                <w:b/>
                <w:sz w:val="24"/>
              </w:rPr>
              <w:t>公司全年来看应该如何预期海外市场表现</w:t>
            </w:r>
            <w:r w:rsidR="00832CBC">
              <w:rPr>
                <w:rFonts w:ascii="宋体" w:hAnsi="宋体"/>
                <w:b/>
                <w:sz w:val="24"/>
              </w:rPr>
              <w:t>？</w:t>
            </w:r>
          </w:p>
          <w:p w14:paraId="1AEE10DE" w14:textId="01CACB3F" w:rsidR="0085774E" w:rsidRPr="0085774E" w:rsidRDefault="00832CBC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="0085774E" w:rsidRPr="0085774E">
              <w:rPr>
                <w:rFonts w:ascii="宋体" w:hAnsi="宋体" w:hint="eastAsia"/>
                <w:bCs/>
                <w:sz w:val="24"/>
              </w:rPr>
              <w:t>尊敬的投资者，您好。先说结论：全年海外双位数增长非常有保障，且有望首次突破10亿元，下半年增速将显著快于上半年。这一预期的确定性，来自“基本盘稳固、扰动出清、弹性充足”三层支撑：</w:t>
            </w:r>
          </w:p>
          <w:p w14:paraId="3A09CCFF" w14:textId="53B83880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第一，主流市场基本盘：增长飞轮持续转动。占全球约2/3市场规模的欧美主流市场上半年已实现17%同比增长，“新用户×新市场×新产品”的增长飞轮正在兑现——用户端，全球生物医药转产、拓产的新建浪潮打开战略窗口期，公司已覆盖全球Top25药企中的约一半，并与全球头部药企在东南亚签订近3000万元方案合同，整体项目近1亿元采购额将在3年内逐步交付，全球还有超过20个类似新建药厂在筹备推进中；产品端，上半年海外上市新品31款，离心纯化、生物培养等实验室新品类实现翻番增长，公司获欧睿国际认证“生命科学实验室设备中国自主品牌海外销售额第一”，血浆分离设备在年初获得MDR认证后正与全球头部血制品公司建立合作机制、年内有望突破；市场端，公司与全球头部高端品牌商达成战略生态合作、形成又一亿级新增量，北美市场下半年将增长提速，意大利、德国在地化公司启动运营。</w:t>
            </w:r>
          </w:p>
          <w:p w14:paraId="250A1CE5" w14:textId="5D5C5C11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第二，扰动因素出清，增速前低后高。上半年欧洲自动化药房业务仅是季度性的基数影响，其二期项目首个订单公司已经中标，后续多个订单将持续释放；叠加北美大规模定制业务开展、多个海外供应链中心/服务中心/品牌中心落地，下半年</w:t>
            </w:r>
            <w:r w:rsidRPr="0085774E">
              <w:rPr>
                <w:rFonts w:ascii="宋体" w:hAnsi="宋体" w:hint="eastAsia"/>
                <w:bCs/>
                <w:sz w:val="24"/>
              </w:rPr>
              <w:lastRenderedPageBreak/>
              <w:t>增速将在多重驱动力共同作用下大大加快。</w:t>
            </w:r>
          </w:p>
          <w:p w14:paraId="100330E5" w14:textId="3FE70E35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第三，新兴市场充沛的弹性空间。主流市场之外，上半年亚太&amp;中东区域增长17%、非洲区稳健增长12%；自动化药房、自动化样本库、自动化血站已在中亚、东南亚、拉美、中东非完成众多样板建设；公司还将携手区域合作伙伴在中东、拉美、亚太建设区域战略供应链中心、服务中心和品牌中心，加快增长红利兑现。</w:t>
            </w:r>
          </w:p>
          <w:p w14:paraId="7695E6CC" w14:textId="02465D6A" w:rsidR="000C6DAA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此外，从增长质量看，制药终端作为海外战略布局的核心用户群体，整体增速有望提升至30%以上——公司将以绿色（首创Eco-driver超绿技术，能效较行业最高水平提升80%，产品包揽美国“能源之星”排行榜前八）与智能（自动化、数字化方案在手订单千万级并持续放量）的产品创新，叠加进入原液冻存、冻融、纯化、QC等核心工艺的场景创新，持续提升单用户价值，为海外业务提供高质量的增长引擎</w:t>
            </w:r>
            <w:r w:rsidR="00832CBC">
              <w:rPr>
                <w:rFonts w:ascii="宋体" w:hAnsi="宋体" w:hint="eastAsia"/>
                <w:bCs/>
                <w:sz w:val="24"/>
              </w:rPr>
              <w:t>。</w:t>
            </w:r>
          </w:p>
          <w:p w14:paraId="7607338B" w14:textId="37FB2527" w:rsidR="000C6DAA" w:rsidRDefault="0085774E" w:rsidP="0085774E">
            <w:pPr>
              <w:spacing w:beforeLines="50" w:before="156" w:line="360" w:lineRule="auto"/>
              <w:ind w:left="425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问题八：</w:t>
            </w:r>
            <w:r w:rsidRPr="0085774E">
              <w:rPr>
                <w:rFonts w:ascii="宋体" w:hAnsi="宋体" w:hint="eastAsia"/>
                <w:b/>
                <w:sz w:val="24"/>
              </w:rPr>
              <w:t>国内市场上半年表现超预期的原因是什么？</w:t>
            </w:r>
          </w:p>
          <w:p w14:paraId="6F4D3369" w14:textId="2BC5D8A8" w:rsidR="0085774E" w:rsidRPr="0085774E" w:rsidRDefault="00832CBC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="0085774E" w:rsidRPr="0085774E">
              <w:rPr>
                <w:rFonts w:ascii="宋体" w:hAnsi="宋体" w:hint="eastAsia"/>
                <w:bCs/>
                <w:sz w:val="24"/>
              </w:rPr>
              <w:t>尊敬的投资者，您好。上半年国内市场表现超预期，直接体现为低温业务持续领跑、安全柜/培养箱/离心机/自动化药房等多品类份额稳步提升；而根本原因在于公司系统能力建设进入兑现期——这是公司前瞻性洞察行业趋势、系统性构建短中长期发展战略的成果，具体由三项核心能力突破支撑：</w:t>
            </w:r>
          </w:p>
          <w:p w14:paraId="7FBA3974" w14:textId="419CA39F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一是渠道能力跃迁，从“单一代理商”升级为“全域多元矩阵”。公司开展创新平台型合作与打包项目模式，线上深度覆盖三类核心平台，并有效下沉渗透县域医疗市场（增量贡献占比达12%），用户触达的广度与深度显著跃升。</w:t>
            </w:r>
          </w:p>
          <w:p w14:paraId="263B1027" w14:textId="1EFE5887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二是方案能力迭代，依托智能体平台从“单一产品供应”迈向“综合场景方案服务商”。智能体平台贯通“商机获取—方案设计—交付—交互”全链路：“商机智能体”应用一年来</w:t>
            </w:r>
            <w:r w:rsidRPr="0085774E">
              <w:rPr>
                <w:rFonts w:ascii="宋体" w:hAnsi="宋体" w:hint="eastAsia"/>
                <w:bCs/>
                <w:sz w:val="24"/>
              </w:rPr>
              <w:lastRenderedPageBreak/>
              <w:t>贡献订单过亿元；“云智销策智能体”支持场景方案自主在线设计与交互，运营效率提升30%；“场景交付智能体”统一全流程交付标准，交付效率提升45%、运维交互响应提速16%，场景可复制性已成为增长核心引擎。</w:t>
            </w:r>
          </w:p>
          <w:p w14:paraId="42E76922" w14:textId="30FE9CFE" w:rsidR="0085774E" w:rsidRPr="0085774E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三是行业周期与战略布局形成共振。生物医药行业整体复苏、医院局部复苏，为低温、实验室、自动化药房等业务带来增量，公司凭借已构建的产品矩阵与渠道能力，在行业上行周期中有效捕获市场红利。</w:t>
            </w:r>
          </w:p>
          <w:p w14:paraId="5C805073" w14:textId="3D4CF1D3" w:rsidR="000C6DAA" w:rsidRDefault="0085774E" w:rsidP="0085774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85774E">
              <w:rPr>
                <w:rFonts w:ascii="宋体" w:hAnsi="宋体" w:hint="eastAsia"/>
                <w:bCs/>
                <w:sz w:val="24"/>
              </w:rPr>
              <w:t>需要强调的是，这一超预期并非单期偶发，而是具备持续性的坚实基础：需求端，生物医药产业复苏、实验室国产替代加速、医院自动化药房回暖，政策红利与用户需求叠加形成结构性支撑；能力端，多元渠道矩阵降低单一渠道波动风险、保障增长韧性，场景方案的标准化能力支撑快速复制与高质交付——当前在手场景方案类订单同比增长约50%，线上业务已拓展至45家（增量约1800万元），新增多元化合作渠道30家（预计下半年贡献收入增长2000万元以上、在手订单同比增长80%），各项预期增量合计约8000万元并将有序落地。综上，结合在手订单、渠道节奏与行业周期判断，下半年公司具备延续稳健增长的坚实基础，保障全年双位数增长</w:t>
            </w:r>
            <w:r w:rsidR="00832CBC">
              <w:rPr>
                <w:rFonts w:ascii="宋体" w:hAnsi="宋体" w:hint="eastAsia"/>
                <w:bCs/>
                <w:sz w:val="24"/>
              </w:rPr>
              <w:t>。</w:t>
            </w:r>
          </w:p>
          <w:p w14:paraId="3355773C" w14:textId="09D850DF" w:rsidR="000C6DAA" w:rsidRDefault="00B90FCD" w:rsidP="00B90FCD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问题九：</w:t>
            </w:r>
            <w:r w:rsidRPr="00B90FCD">
              <w:rPr>
                <w:rFonts w:ascii="宋体" w:hAnsi="宋体" w:hint="eastAsia"/>
                <w:b/>
                <w:sz w:val="24"/>
              </w:rPr>
              <w:t>汇率波动对公司上半年业绩产生了哪些影响？</w:t>
            </w:r>
          </w:p>
          <w:p w14:paraId="6BA5816C" w14:textId="6C47C1B1" w:rsidR="000C6DAA" w:rsidRDefault="00832CBC" w:rsidP="002D4E8D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="00B90FCD" w:rsidRPr="00B90FCD">
              <w:rPr>
                <w:rFonts w:ascii="宋体" w:hAnsi="宋体" w:hint="eastAsia"/>
                <w:bCs/>
                <w:sz w:val="24"/>
              </w:rPr>
              <w:t>尊敬的投资者，您好。上半年汇兑对收入同比增幅产生了约1个百分点的负向影响、对归母净利润同比增幅产生了约10个百分点的负向影响、对扣非归母净利润同比增幅产生了约12个百分点的负向影响。如果恒定汇率下，26年上半年收入同比增长9.4%，归母净利润同比增长13.3%，扣非归母净利润同比增长23.3%。</w:t>
            </w:r>
          </w:p>
          <w:p w14:paraId="47630A90" w14:textId="2606105A" w:rsidR="002D4E8D" w:rsidRDefault="004A71D0" w:rsidP="004A71D0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问题十：</w:t>
            </w:r>
            <w:r w:rsidRPr="004A71D0">
              <w:rPr>
                <w:rFonts w:ascii="宋体" w:hAnsi="宋体" w:hint="eastAsia"/>
                <w:b/>
                <w:sz w:val="24"/>
              </w:rPr>
              <w:t>请介绍一下海尔生物在细胞治疗领域的产品方案及未来发展前景？</w:t>
            </w:r>
          </w:p>
          <w:p w14:paraId="73E008C7" w14:textId="77777777" w:rsidR="004A71D0" w:rsidRPr="004A71D0" w:rsidRDefault="002D4E8D" w:rsidP="004A71D0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lastRenderedPageBreak/>
              <w:t>答：</w:t>
            </w:r>
            <w:r w:rsidR="004A71D0" w:rsidRPr="004A71D0">
              <w:rPr>
                <w:rFonts w:ascii="宋体" w:hAnsi="宋体" w:hint="eastAsia"/>
                <w:bCs/>
                <w:sz w:val="24"/>
              </w:rPr>
              <w:t>尊敬的投资者，您好。细胞与基因治疗（CGT）是公司制药战略的核心赛道，经过多年布局，公司已形成全流程产品矩阵、智能化场景方案与顾问式合作模式三位一体的服务能力，当前正处于从订单落地走向加速放量的阶段。</w:t>
            </w:r>
          </w:p>
          <w:p w14:paraId="74BDB9E5" w14:textId="30CD498B" w:rsidR="004A71D0" w:rsidRPr="004A71D0" w:rsidRDefault="004A71D0" w:rsidP="004A71D0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4A71D0">
              <w:rPr>
                <w:rFonts w:ascii="宋体" w:hAnsi="宋体" w:hint="eastAsia"/>
                <w:bCs/>
                <w:sz w:val="24"/>
              </w:rPr>
              <w:t>在产品方案上，公司围绕CGT从研发到商业化生产的完整链条构建了两条主线。一条是细胞培养这一CGT制备的最核心环节：公司已完成多场景、多规模的产品与技术布局，二氧化碳培养箱、全自动振荡培养箱覆盖常规培养需求，全自动细胞培养工作站刚荣获山东省科技进步一等奖并已在上海、海南等多家</w:t>
            </w:r>
            <w:proofErr w:type="spellStart"/>
            <w:r w:rsidRPr="004A71D0">
              <w:rPr>
                <w:rFonts w:ascii="宋体" w:hAnsi="宋体" w:hint="eastAsia"/>
                <w:bCs/>
                <w:sz w:val="24"/>
              </w:rPr>
              <w:t>CGT</w:t>
            </w:r>
            <w:proofErr w:type="spellEnd"/>
            <w:r w:rsidRPr="004A71D0">
              <w:rPr>
                <w:rFonts w:ascii="宋体" w:hAnsi="宋体" w:hint="eastAsia"/>
                <w:bCs/>
                <w:sz w:val="24"/>
              </w:rPr>
              <w:t>企业成功落地，生物反应器（含一次性生物反应器技术）已布局小试、中试、大生产三级规模、多个系列，核心项目获批国家“两重”项目支持、正如期推进。另一条是低温工艺这一公司传统优势向CGT的延伸：细胞种子库保藏、细胞药物冷冻存储、产品低温转运是CGT生产不可或缺的关键工段，公司可为用户提供贯通实验室、生产、质控、转运全生命周期的GXP一站式温控合规解决方案，近3年已完成10大类、超100个型号产品的21 CFR Part 11白皮书与3Q验证模板，满足强监管工业领域对设备性能、数据完整性、审计追踪的严苛要求。</w:t>
            </w:r>
          </w:p>
          <w:p w14:paraId="2D916CEB" w14:textId="43C0FBAE" w:rsidR="004A71D0" w:rsidRPr="004A71D0" w:rsidRDefault="004A71D0" w:rsidP="004A71D0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4A71D0">
              <w:rPr>
                <w:rFonts w:ascii="宋体" w:hAnsi="宋体" w:hint="eastAsia"/>
                <w:bCs/>
                <w:sz w:val="24"/>
              </w:rPr>
              <w:t>在智能化方案上，公司直击CGT行业最突出的痛点。细胞生长与代谢是多参数相互影响的非线性过程，批次间差异大、工艺难放大、结果难重复，给用户的新药申报和规模生产造成严重卡点。为此公司已启动开发智能体“黄金批次智能配方管理系统”，能够快速锁定关键影响因子阵列、锁定黄金批次并自动生成合规电子批记录；从正在共创合作的案例进展来看，细胞活率大于95%、批次间差异小于4%，有望将IND申报周期缩短60%，真正从“卖设备”升维到为用户创造申报与生产价值。</w:t>
            </w:r>
          </w:p>
          <w:p w14:paraId="3F0C4E69" w14:textId="7B8B467F" w:rsidR="004A71D0" w:rsidRPr="004A71D0" w:rsidRDefault="004A71D0" w:rsidP="004A71D0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4A71D0">
              <w:rPr>
                <w:rFonts w:ascii="宋体" w:hAnsi="宋体" w:hint="eastAsia"/>
                <w:bCs/>
                <w:sz w:val="24"/>
              </w:rPr>
              <w:lastRenderedPageBreak/>
              <w:t>在合作模式上，公司正从产品提供商升级为早期介入工艺规划的顾问伙伴，前置参与项目顶层设计、产线布局与合规方案规划。国内首个取得GMP证书的商业化细胞药物生产线即采用这一模式，公司协助用户顺利通过了药监GMP审计。这种角色升级显著增强了客户粘性，提升了项目赢率，也扩大了单个项目的订单金额，某头部CGT公司的首批订单已近2000万元且后续订单将持续释放。</w:t>
            </w:r>
          </w:p>
          <w:p w14:paraId="3A47AD1A" w14:textId="0E03F0E7" w:rsidR="002D4E8D" w:rsidRDefault="004A71D0" w:rsidP="004A71D0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4A71D0">
              <w:rPr>
                <w:rFonts w:ascii="宋体" w:hAnsi="宋体" w:hint="eastAsia"/>
                <w:bCs/>
                <w:sz w:val="24"/>
              </w:rPr>
              <w:t>展望未来，CGT与蛋白类药物共同构成GMP低温工艺的主要市场，我们评估国内空间约100亿元、全球近500亿元，其中CGT是增长最快的部分，这一高市场容量、高法规门槛、高用户粘性的增量市场将为公司注入长期增长动能。全年制药端增长将在上半年23%的基础上进一步提速，CGT是其中的核心引擎之一，公司正一步一个脚印，努力成为生物医药新基建的核心贡献方。</w:t>
            </w:r>
          </w:p>
        </w:tc>
      </w:tr>
      <w:tr w:rsidR="000C6DAA" w14:paraId="381D749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DC98" w14:textId="77777777" w:rsidR="000C6DAA" w:rsidRDefault="00832CBC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86FD" w14:textId="77777777" w:rsidR="000C6DAA" w:rsidRDefault="00832CBC">
            <w:pPr>
              <w:spacing w:line="480" w:lineRule="atLeast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/>
                <w:bCs/>
                <w:iCs/>
                <w:sz w:val="24"/>
                <w:szCs w:val="24"/>
              </w:rPr>
              <w:t>无</w:t>
            </w:r>
          </w:p>
        </w:tc>
      </w:tr>
      <w:tr w:rsidR="000C6DAA" w14:paraId="2E325C0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DF82" w14:textId="77777777" w:rsidR="000C6DAA" w:rsidRDefault="00832CBC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5479" w14:textId="6317CB27" w:rsidR="000C6DAA" w:rsidRDefault="00832CBC">
            <w:pPr>
              <w:spacing w:line="480" w:lineRule="atLeast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年</w:t>
            </w:r>
            <w:r w:rsidR="00EF7BAF">
              <w:rPr>
                <w:rFonts w:eastAsiaTheme="minorEastAsia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月</w:t>
            </w:r>
            <w:r w:rsidR="00EF7BAF">
              <w:rPr>
                <w:rFonts w:eastAsiaTheme="minorEastAsia" w:hint="eastAsia"/>
                <w:bCs/>
                <w:iCs/>
                <w:sz w:val="24"/>
                <w:szCs w:val="24"/>
              </w:rPr>
              <w:t>2</w:t>
            </w:r>
            <w:r w:rsidR="00EF7BAF">
              <w:rPr>
                <w:rFonts w:eastAsiaTheme="minorEastAsia"/>
                <w:bCs/>
                <w:iCs/>
                <w:sz w:val="24"/>
                <w:szCs w:val="24"/>
              </w:rPr>
              <w:t>1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1CF085B1" w14:textId="77777777" w:rsidR="000C6DAA" w:rsidRDefault="000C6DAA">
      <w:pPr>
        <w:widowControl/>
        <w:jc w:val="left"/>
        <w:rPr>
          <w:b/>
          <w:sz w:val="24"/>
        </w:rPr>
      </w:pPr>
    </w:p>
    <w:sectPr w:rsidR="000C6DAA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ADDE9" w14:textId="77777777" w:rsidR="00243469" w:rsidRDefault="00243469">
      <w:r>
        <w:separator/>
      </w:r>
    </w:p>
  </w:endnote>
  <w:endnote w:type="continuationSeparator" w:id="0">
    <w:p w14:paraId="50F2AAC0" w14:textId="77777777" w:rsidR="00243469" w:rsidRDefault="00243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A7CD" w14:textId="77777777" w:rsidR="000C6DAA" w:rsidRDefault="000C6DAA">
    <w:pPr>
      <w:pStyle w:val="a8"/>
    </w:pPr>
  </w:p>
  <w:p w14:paraId="62B21A8B" w14:textId="77777777" w:rsidR="000C6DAA" w:rsidRDefault="000C6DA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F3DB" w14:textId="77777777" w:rsidR="00243469" w:rsidRDefault="00243469">
      <w:r>
        <w:separator/>
      </w:r>
    </w:p>
  </w:footnote>
  <w:footnote w:type="continuationSeparator" w:id="0">
    <w:p w14:paraId="615F4C48" w14:textId="77777777" w:rsidR="00243469" w:rsidRDefault="00243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6209"/>
    <w:multiLevelType w:val="singleLevel"/>
    <w:tmpl w:val="0448620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U4N2UwYmRiYjMzNGZhNWIxNTdlODQxZTRlNzBmN2YifQ=="/>
  </w:docVars>
  <w:rsids>
    <w:rsidRoot w:val="008D5491"/>
    <w:rsid w:val="000047B9"/>
    <w:rsid w:val="0000734D"/>
    <w:rsid w:val="00010D24"/>
    <w:rsid w:val="0001265F"/>
    <w:rsid w:val="000128D0"/>
    <w:rsid w:val="00013934"/>
    <w:rsid w:val="000151E0"/>
    <w:rsid w:val="00016A35"/>
    <w:rsid w:val="00017DAD"/>
    <w:rsid w:val="00020D06"/>
    <w:rsid w:val="000228C6"/>
    <w:rsid w:val="00022C29"/>
    <w:rsid w:val="00023EB9"/>
    <w:rsid w:val="0002765E"/>
    <w:rsid w:val="0003029C"/>
    <w:rsid w:val="00031606"/>
    <w:rsid w:val="00035660"/>
    <w:rsid w:val="0003672C"/>
    <w:rsid w:val="000405A3"/>
    <w:rsid w:val="00040A0E"/>
    <w:rsid w:val="0004258A"/>
    <w:rsid w:val="00042EA6"/>
    <w:rsid w:val="000458D6"/>
    <w:rsid w:val="00045CCC"/>
    <w:rsid w:val="00046644"/>
    <w:rsid w:val="000468A3"/>
    <w:rsid w:val="00046E7E"/>
    <w:rsid w:val="000476B7"/>
    <w:rsid w:val="00052F09"/>
    <w:rsid w:val="000533ED"/>
    <w:rsid w:val="0005480F"/>
    <w:rsid w:val="00054DC2"/>
    <w:rsid w:val="00055D56"/>
    <w:rsid w:val="00056256"/>
    <w:rsid w:val="00056970"/>
    <w:rsid w:val="00056A4A"/>
    <w:rsid w:val="00057889"/>
    <w:rsid w:val="00060B13"/>
    <w:rsid w:val="000620C0"/>
    <w:rsid w:val="00062316"/>
    <w:rsid w:val="00064E4D"/>
    <w:rsid w:val="000657BC"/>
    <w:rsid w:val="000657DC"/>
    <w:rsid w:val="0006583F"/>
    <w:rsid w:val="000662E3"/>
    <w:rsid w:val="00066B88"/>
    <w:rsid w:val="00067430"/>
    <w:rsid w:val="000702B9"/>
    <w:rsid w:val="000733AA"/>
    <w:rsid w:val="000734ED"/>
    <w:rsid w:val="00074AD6"/>
    <w:rsid w:val="00074EA6"/>
    <w:rsid w:val="00075E68"/>
    <w:rsid w:val="000760E6"/>
    <w:rsid w:val="000776D9"/>
    <w:rsid w:val="00077DE7"/>
    <w:rsid w:val="00083292"/>
    <w:rsid w:val="00083E63"/>
    <w:rsid w:val="0008592C"/>
    <w:rsid w:val="00085DA7"/>
    <w:rsid w:val="00085F84"/>
    <w:rsid w:val="00086215"/>
    <w:rsid w:val="000864FC"/>
    <w:rsid w:val="000866F4"/>
    <w:rsid w:val="00087D94"/>
    <w:rsid w:val="00090613"/>
    <w:rsid w:val="000964B8"/>
    <w:rsid w:val="000A1587"/>
    <w:rsid w:val="000A54C3"/>
    <w:rsid w:val="000A6C75"/>
    <w:rsid w:val="000A7120"/>
    <w:rsid w:val="000A7C7A"/>
    <w:rsid w:val="000B2930"/>
    <w:rsid w:val="000B3921"/>
    <w:rsid w:val="000B47EB"/>
    <w:rsid w:val="000B6D47"/>
    <w:rsid w:val="000C11B0"/>
    <w:rsid w:val="000C1371"/>
    <w:rsid w:val="000C26F4"/>
    <w:rsid w:val="000C38CA"/>
    <w:rsid w:val="000C392A"/>
    <w:rsid w:val="000C461E"/>
    <w:rsid w:val="000C5A9A"/>
    <w:rsid w:val="000C6DAA"/>
    <w:rsid w:val="000D0621"/>
    <w:rsid w:val="000D1B77"/>
    <w:rsid w:val="000D2089"/>
    <w:rsid w:val="000D3408"/>
    <w:rsid w:val="000D4AEF"/>
    <w:rsid w:val="000D5C05"/>
    <w:rsid w:val="000E05B3"/>
    <w:rsid w:val="000E31F9"/>
    <w:rsid w:val="000E35AE"/>
    <w:rsid w:val="000E366F"/>
    <w:rsid w:val="000E3CD4"/>
    <w:rsid w:val="000E484D"/>
    <w:rsid w:val="000E641C"/>
    <w:rsid w:val="000E65F5"/>
    <w:rsid w:val="000E6817"/>
    <w:rsid w:val="000E75E7"/>
    <w:rsid w:val="000F0604"/>
    <w:rsid w:val="000F1B3F"/>
    <w:rsid w:val="000F2D23"/>
    <w:rsid w:val="000F3C61"/>
    <w:rsid w:val="000F59DD"/>
    <w:rsid w:val="00100628"/>
    <w:rsid w:val="001013E2"/>
    <w:rsid w:val="00104419"/>
    <w:rsid w:val="0010460F"/>
    <w:rsid w:val="00105B65"/>
    <w:rsid w:val="0010705A"/>
    <w:rsid w:val="0010706B"/>
    <w:rsid w:val="00107139"/>
    <w:rsid w:val="0011134F"/>
    <w:rsid w:val="00113BEC"/>
    <w:rsid w:val="001140DF"/>
    <w:rsid w:val="0011540C"/>
    <w:rsid w:val="00117259"/>
    <w:rsid w:val="00117BE6"/>
    <w:rsid w:val="0012165B"/>
    <w:rsid w:val="0012392E"/>
    <w:rsid w:val="00125602"/>
    <w:rsid w:val="00130D9E"/>
    <w:rsid w:val="00134E3F"/>
    <w:rsid w:val="00136991"/>
    <w:rsid w:val="00141859"/>
    <w:rsid w:val="00142A00"/>
    <w:rsid w:val="00144764"/>
    <w:rsid w:val="001465D5"/>
    <w:rsid w:val="0014675B"/>
    <w:rsid w:val="001469A8"/>
    <w:rsid w:val="001532DD"/>
    <w:rsid w:val="00155763"/>
    <w:rsid w:val="00155842"/>
    <w:rsid w:val="001561F4"/>
    <w:rsid w:val="00156888"/>
    <w:rsid w:val="00157FD8"/>
    <w:rsid w:val="0016122F"/>
    <w:rsid w:val="00161888"/>
    <w:rsid w:val="00161C13"/>
    <w:rsid w:val="00162302"/>
    <w:rsid w:val="00163868"/>
    <w:rsid w:val="001638B7"/>
    <w:rsid w:val="00164329"/>
    <w:rsid w:val="00164C31"/>
    <w:rsid w:val="00165484"/>
    <w:rsid w:val="00170FB3"/>
    <w:rsid w:val="00172EDB"/>
    <w:rsid w:val="001771B3"/>
    <w:rsid w:val="0018013C"/>
    <w:rsid w:val="00182462"/>
    <w:rsid w:val="00182F54"/>
    <w:rsid w:val="00183247"/>
    <w:rsid w:val="001834D5"/>
    <w:rsid w:val="00185E78"/>
    <w:rsid w:val="0018607F"/>
    <w:rsid w:val="00187127"/>
    <w:rsid w:val="001873B7"/>
    <w:rsid w:val="001900D5"/>
    <w:rsid w:val="0019029A"/>
    <w:rsid w:val="0019036B"/>
    <w:rsid w:val="001914C9"/>
    <w:rsid w:val="001916AD"/>
    <w:rsid w:val="00193ABF"/>
    <w:rsid w:val="00195BBA"/>
    <w:rsid w:val="00197B14"/>
    <w:rsid w:val="001A0846"/>
    <w:rsid w:val="001A1C4B"/>
    <w:rsid w:val="001A45AB"/>
    <w:rsid w:val="001A4E93"/>
    <w:rsid w:val="001A6170"/>
    <w:rsid w:val="001A6231"/>
    <w:rsid w:val="001A7FEB"/>
    <w:rsid w:val="001B0D52"/>
    <w:rsid w:val="001B4E4F"/>
    <w:rsid w:val="001B5402"/>
    <w:rsid w:val="001B66D4"/>
    <w:rsid w:val="001B7DE5"/>
    <w:rsid w:val="001C0692"/>
    <w:rsid w:val="001C0806"/>
    <w:rsid w:val="001C0D2B"/>
    <w:rsid w:val="001C2AF1"/>
    <w:rsid w:val="001C2CA9"/>
    <w:rsid w:val="001C414F"/>
    <w:rsid w:val="001C4A26"/>
    <w:rsid w:val="001D0E8A"/>
    <w:rsid w:val="001D2E07"/>
    <w:rsid w:val="001D5BDB"/>
    <w:rsid w:val="001D5EBC"/>
    <w:rsid w:val="001E028B"/>
    <w:rsid w:val="001E0E38"/>
    <w:rsid w:val="001E1371"/>
    <w:rsid w:val="001E3FB9"/>
    <w:rsid w:val="001E5E85"/>
    <w:rsid w:val="001F2373"/>
    <w:rsid w:val="001F2E16"/>
    <w:rsid w:val="001F344A"/>
    <w:rsid w:val="001F6E1A"/>
    <w:rsid w:val="0020238B"/>
    <w:rsid w:val="002033C0"/>
    <w:rsid w:val="00206FB9"/>
    <w:rsid w:val="00212B05"/>
    <w:rsid w:val="00214D8A"/>
    <w:rsid w:val="002162C0"/>
    <w:rsid w:val="00222E65"/>
    <w:rsid w:val="002244DC"/>
    <w:rsid w:val="00225C40"/>
    <w:rsid w:val="00226289"/>
    <w:rsid w:val="00226B38"/>
    <w:rsid w:val="0022729A"/>
    <w:rsid w:val="00232004"/>
    <w:rsid w:val="002326C5"/>
    <w:rsid w:val="00232D1F"/>
    <w:rsid w:val="00233645"/>
    <w:rsid w:val="0023418B"/>
    <w:rsid w:val="002349C9"/>
    <w:rsid w:val="00236262"/>
    <w:rsid w:val="00240FB5"/>
    <w:rsid w:val="00242F78"/>
    <w:rsid w:val="00243469"/>
    <w:rsid w:val="00243DA3"/>
    <w:rsid w:val="0024411A"/>
    <w:rsid w:val="00247084"/>
    <w:rsid w:val="00247908"/>
    <w:rsid w:val="0025169E"/>
    <w:rsid w:val="002533AC"/>
    <w:rsid w:val="0025430D"/>
    <w:rsid w:val="0025632B"/>
    <w:rsid w:val="00257ECB"/>
    <w:rsid w:val="00261103"/>
    <w:rsid w:val="002625BE"/>
    <w:rsid w:val="00263B17"/>
    <w:rsid w:val="002703A0"/>
    <w:rsid w:val="00272291"/>
    <w:rsid w:val="0027326F"/>
    <w:rsid w:val="002768EC"/>
    <w:rsid w:val="002815BB"/>
    <w:rsid w:val="002822F3"/>
    <w:rsid w:val="002824B0"/>
    <w:rsid w:val="00283AF1"/>
    <w:rsid w:val="002904CF"/>
    <w:rsid w:val="00295A63"/>
    <w:rsid w:val="002A015E"/>
    <w:rsid w:val="002A3E14"/>
    <w:rsid w:val="002A4737"/>
    <w:rsid w:val="002A487A"/>
    <w:rsid w:val="002A4E1D"/>
    <w:rsid w:val="002A6796"/>
    <w:rsid w:val="002A67B8"/>
    <w:rsid w:val="002A7157"/>
    <w:rsid w:val="002B02EE"/>
    <w:rsid w:val="002B08B4"/>
    <w:rsid w:val="002B1914"/>
    <w:rsid w:val="002B36EE"/>
    <w:rsid w:val="002B51AE"/>
    <w:rsid w:val="002B56AE"/>
    <w:rsid w:val="002B5C19"/>
    <w:rsid w:val="002B5D1A"/>
    <w:rsid w:val="002B63EC"/>
    <w:rsid w:val="002B6742"/>
    <w:rsid w:val="002B7D5F"/>
    <w:rsid w:val="002C22C7"/>
    <w:rsid w:val="002C35B9"/>
    <w:rsid w:val="002C5395"/>
    <w:rsid w:val="002C6218"/>
    <w:rsid w:val="002C65E3"/>
    <w:rsid w:val="002C71B3"/>
    <w:rsid w:val="002C7FE1"/>
    <w:rsid w:val="002D08F2"/>
    <w:rsid w:val="002D1DE5"/>
    <w:rsid w:val="002D3B91"/>
    <w:rsid w:val="002D425A"/>
    <w:rsid w:val="002D4761"/>
    <w:rsid w:val="002D4E8D"/>
    <w:rsid w:val="002D5609"/>
    <w:rsid w:val="002D56D7"/>
    <w:rsid w:val="002E1C53"/>
    <w:rsid w:val="002E2A6C"/>
    <w:rsid w:val="002E60A9"/>
    <w:rsid w:val="002E764E"/>
    <w:rsid w:val="002E7A68"/>
    <w:rsid w:val="002F1540"/>
    <w:rsid w:val="002F3625"/>
    <w:rsid w:val="002F417D"/>
    <w:rsid w:val="002F4223"/>
    <w:rsid w:val="002F7148"/>
    <w:rsid w:val="003011F5"/>
    <w:rsid w:val="00301884"/>
    <w:rsid w:val="00301B48"/>
    <w:rsid w:val="00301D88"/>
    <w:rsid w:val="00306057"/>
    <w:rsid w:val="003069A5"/>
    <w:rsid w:val="00306CC0"/>
    <w:rsid w:val="003102BA"/>
    <w:rsid w:val="00313EAE"/>
    <w:rsid w:val="003163FB"/>
    <w:rsid w:val="00320AAE"/>
    <w:rsid w:val="0032300B"/>
    <w:rsid w:val="003237A1"/>
    <w:rsid w:val="00326D52"/>
    <w:rsid w:val="003321E8"/>
    <w:rsid w:val="00332F4D"/>
    <w:rsid w:val="00333091"/>
    <w:rsid w:val="0033453D"/>
    <w:rsid w:val="00336C84"/>
    <w:rsid w:val="00337DC8"/>
    <w:rsid w:val="003400DB"/>
    <w:rsid w:val="003419E1"/>
    <w:rsid w:val="00342065"/>
    <w:rsid w:val="0034270A"/>
    <w:rsid w:val="003447E1"/>
    <w:rsid w:val="00344BD5"/>
    <w:rsid w:val="00345DEE"/>
    <w:rsid w:val="00346152"/>
    <w:rsid w:val="00346E94"/>
    <w:rsid w:val="0035150A"/>
    <w:rsid w:val="0035220C"/>
    <w:rsid w:val="003535B2"/>
    <w:rsid w:val="003564B4"/>
    <w:rsid w:val="003568DB"/>
    <w:rsid w:val="00360444"/>
    <w:rsid w:val="00362C69"/>
    <w:rsid w:val="00364635"/>
    <w:rsid w:val="00365469"/>
    <w:rsid w:val="00371B31"/>
    <w:rsid w:val="0037269E"/>
    <w:rsid w:val="00373697"/>
    <w:rsid w:val="0037405B"/>
    <w:rsid w:val="00375BC7"/>
    <w:rsid w:val="00376D4E"/>
    <w:rsid w:val="003774D6"/>
    <w:rsid w:val="00380AAF"/>
    <w:rsid w:val="003815D8"/>
    <w:rsid w:val="003828DB"/>
    <w:rsid w:val="0038733C"/>
    <w:rsid w:val="00387AE5"/>
    <w:rsid w:val="00390753"/>
    <w:rsid w:val="003925A2"/>
    <w:rsid w:val="00394C8F"/>
    <w:rsid w:val="00397458"/>
    <w:rsid w:val="003A30E3"/>
    <w:rsid w:val="003A3F94"/>
    <w:rsid w:val="003A62F1"/>
    <w:rsid w:val="003A7A68"/>
    <w:rsid w:val="003B325C"/>
    <w:rsid w:val="003B3283"/>
    <w:rsid w:val="003B42D2"/>
    <w:rsid w:val="003B460C"/>
    <w:rsid w:val="003B5856"/>
    <w:rsid w:val="003C2A9B"/>
    <w:rsid w:val="003C4608"/>
    <w:rsid w:val="003C6172"/>
    <w:rsid w:val="003C77FF"/>
    <w:rsid w:val="003D0D63"/>
    <w:rsid w:val="003D35D3"/>
    <w:rsid w:val="003D42C2"/>
    <w:rsid w:val="003D4FE7"/>
    <w:rsid w:val="003D57BB"/>
    <w:rsid w:val="003D7831"/>
    <w:rsid w:val="003E088D"/>
    <w:rsid w:val="003E2289"/>
    <w:rsid w:val="003E277C"/>
    <w:rsid w:val="003E41AE"/>
    <w:rsid w:val="003E5440"/>
    <w:rsid w:val="003E59E5"/>
    <w:rsid w:val="003E5A5B"/>
    <w:rsid w:val="003E6A20"/>
    <w:rsid w:val="003E7D57"/>
    <w:rsid w:val="003F5D8D"/>
    <w:rsid w:val="00400AEE"/>
    <w:rsid w:val="0040112B"/>
    <w:rsid w:val="0040209E"/>
    <w:rsid w:val="0040236B"/>
    <w:rsid w:val="00404285"/>
    <w:rsid w:val="004060A2"/>
    <w:rsid w:val="00410DBA"/>
    <w:rsid w:val="00410F08"/>
    <w:rsid w:val="00411877"/>
    <w:rsid w:val="004149CC"/>
    <w:rsid w:val="00414E25"/>
    <w:rsid w:val="00416344"/>
    <w:rsid w:val="004207D2"/>
    <w:rsid w:val="004210EF"/>
    <w:rsid w:val="00423D68"/>
    <w:rsid w:val="00424487"/>
    <w:rsid w:val="00427B67"/>
    <w:rsid w:val="0043185B"/>
    <w:rsid w:val="004333B1"/>
    <w:rsid w:val="00433742"/>
    <w:rsid w:val="004346F2"/>
    <w:rsid w:val="004353E7"/>
    <w:rsid w:val="00435C91"/>
    <w:rsid w:val="00435DA3"/>
    <w:rsid w:val="00436A39"/>
    <w:rsid w:val="00436E02"/>
    <w:rsid w:val="004374D0"/>
    <w:rsid w:val="00437B3A"/>
    <w:rsid w:val="00440B6D"/>
    <w:rsid w:val="004414C1"/>
    <w:rsid w:val="00447339"/>
    <w:rsid w:val="00447A3B"/>
    <w:rsid w:val="00451125"/>
    <w:rsid w:val="0045174B"/>
    <w:rsid w:val="0045289D"/>
    <w:rsid w:val="00456D60"/>
    <w:rsid w:val="00457A5C"/>
    <w:rsid w:val="00461D77"/>
    <w:rsid w:val="00464896"/>
    <w:rsid w:val="00464C95"/>
    <w:rsid w:val="00465101"/>
    <w:rsid w:val="004654CA"/>
    <w:rsid w:val="00466F1B"/>
    <w:rsid w:val="004700EF"/>
    <w:rsid w:val="004706E1"/>
    <w:rsid w:val="00473CD7"/>
    <w:rsid w:val="004757C9"/>
    <w:rsid w:val="004772C6"/>
    <w:rsid w:val="00477377"/>
    <w:rsid w:val="00480443"/>
    <w:rsid w:val="00480D98"/>
    <w:rsid w:val="0048346D"/>
    <w:rsid w:val="004848C1"/>
    <w:rsid w:val="00486B72"/>
    <w:rsid w:val="00490316"/>
    <w:rsid w:val="004904B8"/>
    <w:rsid w:val="00492518"/>
    <w:rsid w:val="0049390D"/>
    <w:rsid w:val="004A115D"/>
    <w:rsid w:val="004A3138"/>
    <w:rsid w:val="004A524C"/>
    <w:rsid w:val="004A5C75"/>
    <w:rsid w:val="004A71D0"/>
    <w:rsid w:val="004B020A"/>
    <w:rsid w:val="004B035B"/>
    <w:rsid w:val="004B048D"/>
    <w:rsid w:val="004B33ED"/>
    <w:rsid w:val="004B477F"/>
    <w:rsid w:val="004B5A0A"/>
    <w:rsid w:val="004B6A57"/>
    <w:rsid w:val="004B6B27"/>
    <w:rsid w:val="004C188B"/>
    <w:rsid w:val="004C1CC2"/>
    <w:rsid w:val="004C29DC"/>
    <w:rsid w:val="004C3904"/>
    <w:rsid w:val="004C3A7C"/>
    <w:rsid w:val="004C3E08"/>
    <w:rsid w:val="004C4D90"/>
    <w:rsid w:val="004C5945"/>
    <w:rsid w:val="004C6554"/>
    <w:rsid w:val="004D0A9B"/>
    <w:rsid w:val="004D14A7"/>
    <w:rsid w:val="004D16C7"/>
    <w:rsid w:val="004D293A"/>
    <w:rsid w:val="004D2C50"/>
    <w:rsid w:val="004D7031"/>
    <w:rsid w:val="004E1BBC"/>
    <w:rsid w:val="004E1C1B"/>
    <w:rsid w:val="004E1D84"/>
    <w:rsid w:val="004E30E2"/>
    <w:rsid w:val="004E35C4"/>
    <w:rsid w:val="004E3925"/>
    <w:rsid w:val="004E652E"/>
    <w:rsid w:val="004E6DD1"/>
    <w:rsid w:val="004E7410"/>
    <w:rsid w:val="004E74BA"/>
    <w:rsid w:val="004F213A"/>
    <w:rsid w:val="004F4112"/>
    <w:rsid w:val="004F4B92"/>
    <w:rsid w:val="004F4C39"/>
    <w:rsid w:val="004F5004"/>
    <w:rsid w:val="004F709D"/>
    <w:rsid w:val="004F7FAB"/>
    <w:rsid w:val="00501D36"/>
    <w:rsid w:val="005039F6"/>
    <w:rsid w:val="00503F8D"/>
    <w:rsid w:val="00504328"/>
    <w:rsid w:val="00506116"/>
    <w:rsid w:val="00510442"/>
    <w:rsid w:val="00510A62"/>
    <w:rsid w:val="005124D2"/>
    <w:rsid w:val="005127C4"/>
    <w:rsid w:val="00515C86"/>
    <w:rsid w:val="00516537"/>
    <w:rsid w:val="00517116"/>
    <w:rsid w:val="00517E16"/>
    <w:rsid w:val="00522890"/>
    <w:rsid w:val="0052396B"/>
    <w:rsid w:val="00524746"/>
    <w:rsid w:val="005250D9"/>
    <w:rsid w:val="005257BB"/>
    <w:rsid w:val="005261A9"/>
    <w:rsid w:val="00527472"/>
    <w:rsid w:val="00527856"/>
    <w:rsid w:val="0053019E"/>
    <w:rsid w:val="00530D4C"/>
    <w:rsid w:val="005332F8"/>
    <w:rsid w:val="005350F8"/>
    <w:rsid w:val="0053628D"/>
    <w:rsid w:val="00537760"/>
    <w:rsid w:val="0054018C"/>
    <w:rsid w:val="005448CF"/>
    <w:rsid w:val="00545272"/>
    <w:rsid w:val="005461F2"/>
    <w:rsid w:val="00546BFA"/>
    <w:rsid w:val="00546F11"/>
    <w:rsid w:val="00547060"/>
    <w:rsid w:val="0054735B"/>
    <w:rsid w:val="00547E11"/>
    <w:rsid w:val="005510CF"/>
    <w:rsid w:val="0055165C"/>
    <w:rsid w:val="00552486"/>
    <w:rsid w:val="0055254B"/>
    <w:rsid w:val="005525A8"/>
    <w:rsid w:val="005566D4"/>
    <w:rsid w:val="0055740F"/>
    <w:rsid w:val="00557FC1"/>
    <w:rsid w:val="00560241"/>
    <w:rsid w:val="00562B25"/>
    <w:rsid w:val="005644B9"/>
    <w:rsid w:val="00564F41"/>
    <w:rsid w:val="005650CB"/>
    <w:rsid w:val="00565E14"/>
    <w:rsid w:val="00566C44"/>
    <w:rsid w:val="00567D27"/>
    <w:rsid w:val="0057099B"/>
    <w:rsid w:val="0057272C"/>
    <w:rsid w:val="0057279D"/>
    <w:rsid w:val="0057286B"/>
    <w:rsid w:val="00572D52"/>
    <w:rsid w:val="0057419D"/>
    <w:rsid w:val="00580DD1"/>
    <w:rsid w:val="0058331D"/>
    <w:rsid w:val="0058551A"/>
    <w:rsid w:val="00592A8A"/>
    <w:rsid w:val="00596911"/>
    <w:rsid w:val="00597250"/>
    <w:rsid w:val="00597545"/>
    <w:rsid w:val="005A24BE"/>
    <w:rsid w:val="005A32ED"/>
    <w:rsid w:val="005A3EB3"/>
    <w:rsid w:val="005A436D"/>
    <w:rsid w:val="005B048F"/>
    <w:rsid w:val="005B46A2"/>
    <w:rsid w:val="005B57D0"/>
    <w:rsid w:val="005B7469"/>
    <w:rsid w:val="005C10F1"/>
    <w:rsid w:val="005C4092"/>
    <w:rsid w:val="005C53C8"/>
    <w:rsid w:val="005C5594"/>
    <w:rsid w:val="005C62A0"/>
    <w:rsid w:val="005C6A06"/>
    <w:rsid w:val="005C702B"/>
    <w:rsid w:val="005C776F"/>
    <w:rsid w:val="005D0592"/>
    <w:rsid w:val="005D1CF2"/>
    <w:rsid w:val="005D1E86"/>
    <w:rsid w:val="005D20D6"/>
    <w:rsid w:val="005D2114"/>
    <w:rsid w:val="005D51D5"/>
    <w:rsid w:val="005D5B5F"/>
    <w:rsid w:val="005D72FF"/>
    <w:rsid w:val="005E1403"/>
    <w:rsid w:val="005E51C0"/>
    <w:rsid w:val="005E6BD2"/>
    <w:rsid w:val="005F0A5E"/>
    <w:rsid w:val="005F281E"/>
    <w:rsid w:val="005F458C"/>
    <w:rsid w:val="005F4749"/>
    <w:rsid w:val="005F4E2B"/>
    <w:rsid w:val="005F5003"/>
    <w:rsid w:val="005F7055"/>
    <w:rsid w:val="005F7137"/>
    <w:rsid w:val="0060118A"/>
    <w:rsid w:val="0060304A"/>
    <w:rsid w:val="00603A7B"/>
    <w:rsid w:val="00604FE5"/>
    <w:rsid w:val="0060735D"/>
    <w:rsid w:val="00607E81"/>
    <w:rsid w:val="00614FDD"/>
    <w:rsid w:val="00616311"/>
    <w:rsid w:val="00617792"/>
    <w:rsid w:val="006179F7"/>
    <w:rsid w:val="00620086"/>
    <w:rsid w:val="006207FA"/>
    <w:rsid w:val="00622B7E"/>
    <w:rsid w:val="0062343F"/>
    <w:rsid w:val="0062477E"/>
    <w:rsid w:val="00624853"/>
    <w:rsid w:val="00624C3E"/>
    <w:rsid w:val="006253FD"/>
    <w:rsid w:val="00625C0C"/>
    <w:rsid w:val="0062669E"/>
    <w:rsid w:val="0063094B"/>
    <w:rsid w:val="006333A7"/>
    <w:rsid w:val="0063378B"/>
    <w:rsid w:val="00634610"/>
    <w:rsid w:val="00634972"/>
    <w:rsid w:val="006350AE"/>
    <w:rsid w:val="00635C2A"/>
    <w:rsid w:val="00636A81"/>
    <w:rsid w:val="0063751E"/>
    <w:rsid w:val="00637983"/>
    <w:rsid w:val="0064094E"/>
    <w:rsid w:val="0064128F"/>
    <w:rsid w:val="0064158E"/>
    <w:rsid w:val="006417AB"/>
    <w:rsid w:val="0064356A"/>
    <w:rsid w:val="00646A2B"/>
    <w:rsid w:val="00646D56"/>
    <w:rsid w:val="00647AD7"/>
    <w:rsid w:val="00652FC1"/>
    <w:rsid w:val="00653501"/>
    <w:rsid w:val="0065365F"/>
    <w:rsid w:val="006550CC"/>
    <w:rsid w:val="00656B76"/>
    <w:rsid w:val="00656E82"/>
    <w:rsid w:val="0066074B"/>
    <w:rsid w:val="00661FB7"/>
    <w:rsid w:val="0066294F"/>
    <w:rsid w:val="00664128"/>
    <w:rsid w:val="006649F6"/>
    <w:rsid w:val="00666EDE"/>
    <w:rsid w:val="00667311"/>
    <w:rsid w:val="00667641"/>
    <w:rsid w:val="006677B9"/>
    <w:rsid w:val="00670157"/>
    <w:rsid w:val="00672D9F"/>
    <w:rsid w:val="00676351"/>
    <w:rsid w:val="00680B4E"/>
    <w:rsid w:val="006823E4"/>
    <w:rsid w:val="00683A15"/>
    <w:rsid w:val="00684F68"/>
    <w:rsid w:val="006856BD"/>
    <w:rsid w:val="00685D78"/>
    <w:rsid w:val="0068691E"/>
    <w:rsid w:val="00686B29"/>
    <w:rsid w:val="00687249"/>
    <w:rsid w:val="00687A1E"/>
    <w:rsid w:val="00690187"/>
    <w:rsid w:val="00690223"/>
    <w:rsid w:val="00690667"/>
    <w:rsid w:val="006919D6"/>
    <w:rsid w:val="0069513B"/>
    <w:rsid w:val="0069560B"/>
    <w:rsid w:val="006A051D"/>
    <w:rsid w:val="006A127F"/>
    <w:rsid w:val="006A1983"/>
    <w:rsid w:val="006A2E46"/>
    <w:rsid w:val="006A4E5E"/>
    <w:rsid w:val="006A54BD"/>
    <w:rsid w:val="006A7C15"/>
    <w:rsid w:val="006B0D96"/>
    <w:rsid w:val="006B1F24"/>
    <w:rsid w:val="006B2A02"/>
    <w:rsid w:val="006B4F2F"/>
    <w:rsid w:val="006B5D65"/>
    <w:rsid w:val="006B75E9"/>
    <w:rsid w:val="006C0A16"/>
    <w:rsid w:val="006C0AEB"/>
    <w:rsid w:val="006C1009"/>
    <w:rsid w:val="006C23E3"/>
    <w:rsid w:val="006C6272"/>
    <w:rsid w:val="006C753E"/>
    <w:rsid w:val="006D03AF"/>
    <w:rsid w:val="006D1526"/>
    <w:rsid w:val="006D1B3B"/>
    <w:rsid w:val="006D263D"/>
    <w:rsid w:val="006D457D"/>
    <w:rsid w:val="006D4AE6"/>
    <w:rsid w:val="006D592A"/>
    <w:rsid w:val="006D61C8"/>
    <w:rsid w:val="006D75A4"/>
    <w:rsid w:val="006E0BD6"/>
    <w:rsid w:val="006E23CB"/>
    <w:rsid w:val="006E2CA3"/>
    <w:rsid w:val="006E7977"/>
    <w:rsid w:val="006F0A7B"/>
    <w:rsid w:val="006F1FF4"/>
    <w:rsid w:val="006F3521"/>
    <w:rsid w:val="006F3539"/>
    <w:rsid w:val="006F5AA8"/>
    <w:rsid w:val="006F714D"/>
    <w:rsid w:val="007000AB"/>
    <w:rsid w:val="00700536"/>
    <w:rsid w:val="00701700"/>
    <w:rsid w:val="00702929"/>
    <w:rsid w:val="007042BB"/>
    <w:rsid w:val="007050FE"/>
    <w:rsid w:val="00706EF1"/>
    <w:rsid w:val="00710877"/>
    <w:rsid w:val="0071101B"/>
    <w:rsid w:val="007126EF"/>
    <w:rsid w:val="00712B97"/>
    <w:rsid w:val="00715F6C"/>
    <w:rsid w:val="00715FB6"/>
    <w:rsid w:val="007207C7"/>
    <w:rsid w:val="00720AE1"/>
    <w:rsid w:val="00720C34"/>
    <w:rsid w:val="00720F6D"/>
    <w:rsid w:val="00722A9B"/>
    <w:rsid w:val="0072479B"/>
    <w:rsid w:val="00725657"/>
    <w:rsid w:val="007257EE"/>
    <w:rsid w:val="00725F94"/>
    <w:rsid w:val="00726E13"/>
    <w:rsid w:val="00727949"/>
    <w:rsid w:val="00735734"/>
    <w:rsid w:val="00742D56"/>
    <w:rsid w:val="00743087"/>
    <w:rsid w:val="00743090"/>
    <w:rsid w:val="00743192"/>
    <w:rsid w:val="007459D6"/>
    <w:rsid w:val="00746EA9"/>
    <w:rsid w:val="007479A8"/>
    <w:rsid w:val="00750CD6"/>
    <w:rsid w:val="00751BE0"/>
    <w:rsid w:val="00752754"/>
    <w:rsid w:val="007536F2"/>
    <w:rsid w:val="00755D87"/>
    <w:rsid w:val="00756F30"/>
    <w:rsid w:val="007602E4"/>
    <w:rsid w:val="00760B23"/>
    <w:rsid w:val="007662BA"/>
    <w:rsid w:val="00767703"/>
    <w:rsid w:val="00770FEC"/>
    <w:rsid w:val="00771349"/>
    <w:rsid w:val="00771688"/>
    <w:rsid w:val="00772033"/>
    <w:rsid w:val="007723A4"/>
    <w:rsid w:val="0077509A"/>
    <w:rsid w:val="007769DC"/>
    <w:rsid w:val="00780C09"/>
    <w:rsid w:val="00781BF1"/>
    <w:rsid w:val="00783A94"/>
    <w:rsid w:val="00785243"/>
    <w:rsid w:val="00786B7D"/>
    <w:rsid w:val="007912CB"/>
    <w:rsid w:val="007930FE"/>
    <w:rsid w:val="00794AAC"/>
    <w:rsid w:val="00796A2A"/>
    <w:rsid w:val="007A1CD1"/>
    <w:rsid w:val="007A2664"/>
    <w:rsid w:val="007A31E7"/>
    <w:rsid w:val="007A3721"/>
    <w:rsid w:val="007A569A"/>
    <w:rsid w:val="007A7AF9"/>
    <w:rsid w:val="007B098A"/>
    <w:rsid w:val="007B0E3C"/>
    <w:rsid w:val="007B2193"/>
    <w:rsid w:val="007B273B"/>
    <w:rsid w:val="007B5FBF"/>
    <w:rsid w:val="007C0DE5"/>
    <w:rsid w:val="007C1BC8"/>
    <w:rsid w:val="007C2838"/>
    <w:rsid w:val="007C4307"/>
    <w:rsid w:val="007C59B7"/>
    <w:rsid w:val="007C7A2F"/>
    <w:rsid w:val="007D087B"/>
    <w:rsid w:val="007D0973"/>
    <w:rsid w:val="007D28AF"/>
    <w:rsid w:val="007D2A39"/>
    <w:rsid w:val="007D2A78"/>
    <w:rsid w:val="007D4432"/>
    <w:rsid w:val="007D5329"/>
    <w:rsid w:val="007D5EEB"/>
    <w:rsid w:val="007D6A57"/>
    <w:rsid w:val="007D7418"/>
    <w:rsid w:val="007E04EA"/>
    <w:rsid w:val="007E0832"/>
    <w:rsid w:val="007E14F0"/>
    <w:rsid w:val="007E1566"/>
    <w:rsid w:val="007E1629"/>
    <w:rsid w:val="007E2A69"/>
    <w:rsid w:val="007E50E3"/>
    <w:rsid w:val="007E59C1"/>
    <w:rsid w:val="007E5A9D"/>
    <w:rsid w:val="007E71A1"/>
    <w:rsid w:val="007F07FE"/>
    <w:rsid w:val="007F277A"/>
    <w:rsid w:val="007F3BF1"/>
    <w:rsid w:val="007F6418"/>
    <w:rsid w:val="007F65E2"/>
    <w:rsid w:val="00800967"/>
    <w:rsid w:val="00801829"/>
    <w:rsid w:val="0080256B"/>
    <w:rsid w:val="0080347A"/>
    <w:rsid w:val="00803A3B"/>
    <w:rsid w:val="00805517"/>
    <w:rsid w:val="008129CC"/>
    <w:rsid w:val="00812A28"/>
    <w:rsid w:val="0081457D"/>
    <w:rsid w:val="00814C9B"/>
    <w:rsid w:val="00816A1C"/>
    <w:rsid w:val="00816A92"/>
    <w:rsid w:val="00816AA2"/>
    <w:rsid w:val="00816B48"/>
    <w:rsid w:val="00817A8D"/>
    <w:rsid w:val="0082048C"/>
    <w:rsid w:val="008235AC"/>
    <w:rsid w:val="008254DE"/>
    <w:rsid w:val="00827DFF"/>
    <w:rsid w:val="008309C1"/>
    <w:rsid w:val="00830AA3"/>
    <w:rsid w:val="00830BEA"/>
    <w:rsid w:val="00831D4F"/>
    <w:rsid w:val="00832CBC"/>
    <w:rsid w:val="00833C4C"/>
    <w:rsid w:val="008346DD"/>
    <w:rsid w:val="00834A73"/>
    <w:rsid w:val="00834C8F"/>
    <w:rsid w:val="0083514F"/>
    <w:rsid w:val="00835E81"/>
    <w:rsid w:val="008376A2"/>
    <w:rsid w:val="00840944"/>
    <w:rsid w:val="0084192D"/>
    <w:rsid w:val="00841CE3"/>
    <w:rsid w:val="008433EF"/>
    <w:rsid w:val="00844BBE"/>
    <w:rsid w:val="00844E11"/>
    <w:rsid w:val="00845411"/>
    <w:rsid w:val="00847B4E"/>
    <w:rsid w:val="00851218"/>
    <w:rsid w:val="00853613"/>
    <w:rsid w:val="00853E00"/>
    <w:rsid w:val="008545DB"/>
    <w:rsid w:val="00854C9F"/>
    <w:rsid w:val="008570E3"/>
    <w:rsid w:val="0085774E"/>
    <w:rsid w:val="0086047A"/>
    <w:rsid w:val="00861551"/>
    <w:rsid w:val="00861BAB"/>
    <w:rsid w:val="00861F1F"/>
    <w:rsid w:val="0086411A"/>
    <w:rsid w:val="00865842"/>
    <w:rsid w:val="00865988"/>
    <w:rsid w:val="0086765D"/>
    <w:rsid w:val="008720DA"/>
    <w:rsid w:val="00872EE4"/>
    <w:rsid w:val="008749EE"/>
    <w:rsid w:val="00877FF1"/>
    <w:rsid w:val="0088527D"/>
    <w:rsid w:val="00886970"/>
    <w:rsid w:val="0089001B"/>
    <w:rsid w:val="0089115F"/>
    <w:rsid w:val="00893579"/>
    <w:rsid w:val="00894A17"/>
    <w:rsid w:val="00894E8A"/>
    <w:rsid w:val="00895E16"/>
    <w:rsid w:val="00895E46"/>
    <w:rsid w:val="0089649F"/>
    <w:rsid w:val="00897091"/>
    <w:rsid w:val="00897C36"/>
    <w:rsid w:val="008A077C"/>
    <w:rsid w:val="008A0FEA"/>
    <w:rsid w:val="008A2807"/>
    <w:rsid w:val="008A3B48"/>
    <w:rsid w:val="008B1163"/>
    <w:rsid w:val="008B324B"/>
    <w:rsid w:val="008B3B43"/>
    <w:rsid w:val="008B4231"/>
    <w:rsid w:val="008B59BE"/>
    <w:rsid w:val="008B6D3C"/>
    <w:rsid w:val="008C0395"/>
    <w:rsid w:val="008C0CB1"/>
    <w:rsid w:val="008C1537"/>
    <w:rsid w:val="008C6141"/>
    <w:rsid w:val="008C67B9"/>
    <w:rsid w:val="008C6B35"/>
    <w:rsid w:val="008C6D86"/>
    <w:rsid w:val="008C77F3"/>
    <w:rsid w:val="008D0550"/>
    <w:rsid w:val="008D31BA"/>
    <w:rsid w:val="008D3FAF"/>
    <w:rsid w:val="008D4136"/>
    <w:rsid w:val="008D4ED1"/>
    <w:rsid w:val="008D5491"/>
    <w:rsid w:val="008D57C6"/>
    <w:rsid w:val="008E5A54"/>
    <w:rsid w:val="008E681B"/>
    <w:rsid w:val="008F09F2"/>
    <w:rsid w:val="008F2ED1"/>
    <w:rsid w:val="008F357B"/>
    <w:rsid w:val="008F35EE"/>
    <w:rsid w:val="008F3D2B"/>
    <w:rsid w:val="008F4552"/>
    <w:rsid w:val="008F60F0"/>
    <w:rsid w:val="008F7053"/>
    <w:rsid w:val="008F7DAF"/>
    <w:rsid w:val="0090181E"/>
    <w:rsid w:val="009027B9"/>
    <w:rsid w:val="00904145"/>
    <w:rsid w:val="00905C14"/>
    <w:rsid w:val="00906668"/>
    <w:rsid w:val="0090697E"/>
    <w:rsid w:val="00906B26"/>
    <w:rsid w:val="00906F3D"/>
    <w:rsid w:val="009072DC"/>
    <w:rsid w:val="0090795C"/>
    <w:rsid w:val="009079E6"/>
    <w:rsid w:val="00907BA9"/>
    <w:rsid w:val="009103E0"/>
    <w:rsid w:val="009115CC"/>
    <w:rsid w:val="00911BB0"/>
    <w:rsid w:val="00914A0E"/>
    <w:rsid w:val="00914E0B"/>
    <w:rsid w:val="00915301"/>
    <w:rsid w:val="009159FD"/>
    <w:rsid w:val="00916353"/>
    <w:rsid w:val="0091741D"/>
    <w:rsid w:val="009205AB"/>
    <w:rsid w:val="00921464"/>
    <w:rsid w:val="00921C49"/>
    <w:rsid w:val="009226E4"/>
    <w:rsid w:val="00922A72"/>
    <w:rsid w:val="0092339E"/>
    <w:rsid w:val="00924F99"/>
    <w:rsid w:val="00930A07"/>
    <w:rsid w:val="00931ADE"/>
    <w:rsid w:val="0093359B"/>
    <w:rsid w:val="009336EE"/>
    <w:rsid w:val="00933789"/>
    <w:rsid w:val="009339B8"/>
    <w:rsid w:val="00936CE4"/>
    <w:rsid w:val="0093727F"/>
    <w:rsid w:val="00937872"/>
    <w:rsid w:val="00937FE9"/>
    <w:rsid w:val="00940045"/>
    <w:rsid w:val="00942E1A"/>
    <w:rsid w:val="00943466"/>
    <w:rsid w:val="009456DE"/>
    <w:rsid w:val="00945721"/>
    <w:rsid w:val="009515A9"/>
    <w:rsid w:val="009521D6"/>
    <w:rsid w:val="009533B5"/>
    <w:rsid w:val="00954298"/>
    <w:rsid w:val="00955A73"/>
    <w:rsid w:val="00955BB2"/>
    <w:rsid w:val="0095618A"/>
    <w:rsid w:val="0096065C"/>
    <w:rsid w:val="009611C0"/>
    <w:rsid w:val="0096460F"/>
    <w:rsid w:val="009648CB"/>
    <w:rsid w:val="00964F8B"/>
    <w:rsid w:val="00965D7F"/>
    <w:rsid w:val="009663C4"/>
    <w:rsid w:val="009705ED"/>
    <w:rsid w:val="00970F4E"/>
    <w:rsid w:val="009730DB"/>
    <w:rsid w:val="00976243"/>
    <w:rsid w:val="00977841"/>
    <w:rsid w:val="00977F7A"/>
    <w:rsid w:val="009830E7"/>
    <w:rsid w:val="009841DF"/>
    <w:rsid w:val="00991DE3"/>
    <w:rsid w:val="0099331C"/>
    <w:rsid w:val="00995238"/>
    <w:rsid w:val="0099628B"/>
    <w:rsid w:val="009A1028"/>
    <w:rsid w:val="009A28D3"/>
    <w:rsid w:val="009A2915"/>
    <w:rsid w:val="009A3454"/>
    <w:rsid w:val="009A400F"/>
    <w:rsid w:val="009B022C"/>
    <w:rsid w:val="009B0ECC"/>
    <w:rsid w:val="009B15E5"/>
    <w:rsid w:val="009B1BAB"/>
    <w:rsid w:val="009B35FA"/>
    <w:rsid w:val="009B63B4"/>
    <w:rsid w:val="009B7C4A"/>
    <w:rsid w:val="009C05A1"/>
    <w:rsid w:val="009C0FED"/>
    <w:rsid w:val="009C23E8"/>
    <w:rsid w:val="009C2A3D"/>
    <w:rsid w:val="009C32F6"/>
    <w:rsid w:val="009C33AC"/>
    <w:rsid w:val="009C35EA"/>
    <w:rsid w:val="009C4EFE"/>
    <w:rsid w:val="009C5303"/>
    <w:rsid w:val="009D004D"/>
    <w:rsid w:val="009D12FE"/>
    <w:rsid w:val="009D1EFC"/>
    <w:rsid w:val="009D37CA"/>
    <w:rsid w:val="009D4468"/>
    <w:rsid w:val="009D783D"/>
    <w:rsid w:val="009E295C"/>
    <w:rsid w:val="009E6021"/>
    <w:rsid w:val="009E6C98"/>
    <w:rsid w:val="009F037D"/>
    <w:rsid w:val="009F0FE2"/>
    <w:rsid w:val="009F111B"/>
    <w:rsid w:val="009F16DB"/>
    <w:rsid w:val="009F2356"/>
    <w:rsid w:val="009F27AB"/>
    <w:rsid w:val="009F2C0C"/>
    <w:rsid w:val="009F5D81"/>
    <w:rsid w:val="009F71D5"/>
    <w:rsid w:val="00A015F1"/>
    <w:rsid w:val="00A0257C"/>
    <w:rsid w:val="00A02A22"/>
    <w:rsid w:val="00A031E0"/>
    <w:rsid w:val="00A0350B"/>
    <w:rsid w:val="00A04CC7"/>
    <w:rsid w:val="00A06FEB"/>
    <w:rsid w:val="00A0710C"/>
    <w:rsid w:val="00A07499"/>
    <w:rsid w:val="00A101A9"/>
    <w:rsid w:val="00A1133D"/>
    <w:rsid w:val="00A12A7B"/>
    <w:rsid w:val="00A1368E"/>
    <w:rsid w:val="00A13A43"/>
    <w:rsid w:val="00A13A91"/>
    <w:rsid w:val="00A14653"/>
    <w:rsid w:val="00A15678"/>
    <w:rsid w:val="00A15C39"/>
    <w:rsid w:val="00A16FFC"/>
    <w:rsid w:val="00A21690"/>
    <w:rsid w:val="00A231D3"/>
    <w:rsid w:val="00A23290"/>
    <w:rsid w:val="00A24612"/>
    <w:rsid w:val="00A2510B"/>
    <w:rsid w:val="00A30C3E"/>
    <w:rsid w:val="00A311B1"/>
    <w:rsid w:val="00A32982"/>
    <w:rsid w:val="00A32A2B"/>
    <w:rsid w:val="00A32B47"/>
    <w:rsid w:val="00A36643"/>
    <w:rsid w:val="00A367F4"/>
    <w:rsid w:val="00A36FC3"/>
    <w:rsid w:val="00A3721C"/>
    <w:rsid w:val="00A37A81"/>
    <w:rsid w:val="00A41E8C"/>
    <w:rsid w:val="00A451F2"/>
    <w:rsid w:val="00A466E0"/>
    <w:rsid w:val="00A4699E"/>
    <w:rsid w:val="00A507E2"/>
    <w:rsid w:val="00A51276"/>
    <w:rsid w:val="00A534A9"/>
    <w:rsid w:val="00A536F9"/>
    <w:rsid w:val="00A541A9"/>
    <w:rsid w:val="00A5699E"/>
    <w:rsid w:val="00A56E2C"/>
    <w:rsid w:val="00A57017"/>
    <w:rsid w:val="00A5779B"/>
    <w:rsid w:val="00A606F5"/>
    <w:rsid w:val="00A60E8E"/>
    <w:rsid w:val="00A61234"/>
    <w:rsid w:val="00A6142D"/>
    <w:rsid w:val="00A636B8"/>
    <w:rsid w:val="00A63BEC"/>
    <w:rsid w:val="00A64CCE"/>
    <w:rsid w:val="00A64D4F"/>
    <w:rsid w:val="00A650AF"/>
    <w:rsid w:val="00A6537D"/>
    <w:rsid w:val="00A661F8"/>
    <w:rsid w:val="00A66A0C"/>
    <w:rsid w:val="00A706F1"/>
    <w:rsid w:val="00A711B9"/>
    <w:rsid w:val="00A7151A"/>
    <w:rsid w:val="00A727D6"/>
    <w:rsid w:val="00A7381E"/>
    <w:rsid w:val="00A73AEA"/>
    <w:rsid w:val="00A74ACA"/>
    <w:rsid w:val="00A76331"/>
    <w:rsid w:val="00A76453"/>
    <w:rsid w:val="00A81F11"/>
    <w:rsid w:val="00A8444B"/>
    <w:rsid w:val="00A84B32"/>
    <w:rsid w:val="00A861E4"/>
    <w:rsid w:val="00A86F9F"/>
    <w:rsid w:val="00A94035"/>
    <w:rsid w:val="00A94152"/>
    <w:rsid w:val="00A96F59"/>
    <w:rsid w:val="00AA2E41"/>
    <w:rsid w:val="00AA2E87"/>
    <w:rsid w:val="00AA2F57"/>
    <w:rsid w:val="00AA361F"/>
    <w:rsid w:val="00AA4D2A"/>
    <w:rsid w:val="00AA6162"/>
    <w:rsid w:val="00AB06A6"/>
    <w:rsid w:val="00AB13AA"/>
    <w:rsid w:val="00AB1A65"/>
    <w:rsid w:val="00AB1BCA"/>
    <w:rsid w:val="00AB1EA8"/>
    <w:rsid w:val="00AB22B2"/>
    <w:rsid w:val="00AB415A"/>
    <w:rsid w:val="00AB451E"/>
    <w:rsid w:val="00AB46F0"/>
    <w:rsid w:val="00AB4A15"/>
    <w:rsid w:val="00AB51D7"/>
    <w:rsid w:val="00AB5725"/>
    <w:rsid w:val="00AB7E15"/>
    <w:rsid w:val="00AC039A"/>
    <w:rsid w:val="00AC0A00"/>
    <w:rsid w:val="00AC0E18"/>
    <w:rsid w:val="00AC4D44"/>
    <w:rsid w:val="00AC4E75"/>
    <w:rsid w:val="00AC5ABA"/>
    <w:rsid w:val="00AD26A2"/>
    <w:rsid w:val="00AD2E9A"/>
    <w:rsid w:val="00AD37D5"/>
    <w:rsid w:val="00AD3AE5"/>
    <w:rsid w:val="00AD5C98"/>
    <w:rsid w:val="00AD6195"/>
    <w:rsid w:val="00AE0440"/>
    <w:rsid w:val="00AE1B08"/>
    <w:rsid w:val="00AE213B"/>
    <w:rsid w:val="00AE3348"/>
    <w:rsid w:val="00AE4A0B"/>
    <w:rsid w:val="00AE52B4"/>
    <w:rsid w:val="00AE799F"/>
    <w:rsid w:val="00AF06F1"/>
    <w:rsid w:val="00AF28F9"/>
    <w:rsid w:val="00AF2D4A"/>
    <w:rsid w:val="00AF36D9"/>
    <w:rsid w:val="00AF7AC3"/>
    <w:rsid w:val="00AF7B97"/>
    <w:rsid w:val="00B02987"/>
    <w:rsid w:val="00B04882"/>
    <w:rsid w:val="00B06223"/>
    <w:rsid w:val="00B07E88"/>
    <w:rsid w:val="00B101CA"/>
    <w:rsid w:val="00B16128"/>
    <w:rsid w:val="00B1719E"/>
    <w:rsid w:val="00B17B3C"/>
    <w:rsid w:val="00B21F5A"/>
    <w:rsid w:val="00B24C16"/>
    <w:rsid w:val="00B25253"/>
    <w:rsid w:val="00B26688"/>
    <w:rsid w:val="00B27AED"/>
    <w:rsid w:val="00B27C8F"/>
    <w:rsid w:val="00B30D6A"/>
    <w:rsid w:val="00B31F04"/>
    <w:rsid w:val="00B328A7"/>
    <w:rsid w:val="00B33E46"/>
    <w:rsid w:val="00B34D5A"/>
    <w:rsid w:val="00B352BB"/>
    <w:rsid w:val="00B378C8"/>
    <w:rsid w:val="00B37FA6"/>
    <w:rsid w:val="00B42585"/>
    <w:rsid w:val="00B4331E"/>
    <w:rsid w:val="00B500CC"/>
    <w:rsid w:val="00B536FE"/>
    <w:rsid w:val="00B53C14"/>
    <w:rsid w:val="00B53FF7"/>
    <w:rsid w:val="00B54912"/>
    <w:rsid w:val="00B55B0D"/>
    <w:rsid w:val="00B55FB5"/>
    <w:rsid w:val="00B63CA3"/>
    <w:rsid w:val="00B65093"/>
    <w:rsid w:val="00B6668C"/>
    <w:rsid w:val="00B67DB6"/>
    <w:rsid w:val="00B70312"/>
    <w:rsid w:val="00B713EA"/>
    <w:rsid w:val="00B720DE"/>
    <w:rsid w:val="00B73216"/>
    <w:rsid w:val="00B737A3"/>
    <w:rsid w:val="00B768C8"/>
    <w:rsid w:val="00B82D08"/>
    <w:rsid w:val="00B847AE"/>
    <w:rsid w:val="00B850E6"/>
    <w:rsid w:val="00B856F9"/>
    <w:rsid w:val="00B85C9A"/>
    <w:rsid w:val="00B868D8"/>
    <w:rsid w:val="00B86944"/>
    <w:rsid w:val="00B86A12"/>
    <w:rsid w:val="00B90FCD"/>
    <w:rsid w:val="00B92712"/>
    <w:rsid w:val="00B92A78"/>
    <w:rsid w:val="00B92F89"/>
    <w:rsid w:val="00B9371E"/>
    <w:rsid w:val="00B948BA"/>
    <w:rsid w:val="00B9557C"/>
    <w:rsid w:val="00B95D9A"/>
    <w:rsid w:val="00B977EB"/>
    <w:rsid w:val="00BA0C47"/>
    <w:rsid w:val="00BA13C3"/>
    <w:rsid w:val="00BA1743"/>
    <w:rsid w:val="00BA311C"/>
    <w:rsid w:val="00BA3209"/>
    <w:rsid w:val="00BA398B"/>
    <w:rsid w:val="00BA3AA0"/>
    <w:rsid w:val="00BA4449"/>
    <w:rsid w:val="00BB0809"/>
    <w:rsid w:val="00BB2F88"/>
    <w:rsid w:val="00BB40A5"/>
    <w:rsid w:val="00BB43CC"/>
    <w:rsid w:val="00BC1EA7"/>
    <w:rsid w:val="00BC276D"/>
    <w:rsid w:val="00BC33C2"/>
    <w:rsid w:val="00BC4A5F"/>
    <w:rsid w:val="00BC50FC"/>
    <w:rsid w:val="00BC5DCD"/>
    <w:rsid w:val="00BD00F1"/>
    <w:rsid w:val="00BD0D6F"/>
    <w:rsid w:val="00BD2A05"/>
    <w:rsid w:val="00BD4D8A"/>
    <w:rsid w:val="00BD6828"/>
    <w:rsid w:val="00BE10EB"/>
    <w:rsid w:val="00BE1AA6"/>
    <w:rsid w:val="00BE2402"/>
    <w:rsid w:val="00BE2EB8"/>
    <w:rsid w:val="00BE2F25"/>
    <w:rsid w:val="00BE4B9A"/>
    <w:rsid w:val="00BE519E"/>
    <w:rsid w:val="00BE52CE"/>
    <w:rsid w:val="00BE61AD"/>
    <w:rsid w:val="00BE71D1"/>
    <w:rsid w:val="00BE751F"/>
    <w:rsid w:val="00BF3604"/>
    <w:rsid w:val="00BF3A11"/>
    <w:rsid w:val="00BF3A84"/>
    <w:rsid w:val="00BF5D15"/>
    <w:rsid w:val="00BF6542"/>
    <w:rsid w:val="00C0183C"/>
    <w:rsid w:val="00C04842"/>
    <w:rsid w:val="00C04E22"/>
    <w:rsid w:val="00C06A7E"/>
    <w:rsid w:val="00C07462"/>
    <w:rsid w:val="00C11F64"/>
    <w:rsid w:val="00C12514"/>
    <w:rsid w:val="00C1295F"/>
    <w:rsid w:val="00C12C7B"/>
    <w:rsid w:val="00C135E4"/>
    <w:rsid w:val="00C14027"/>
    <w:rsid w:val="00C1696C"/>
    <w:rsid w:val="00C172B3"/>
    <w:rsid w:val="00C231C6"/>
    <w:rsid w:val="00C2338E"/>
    <w:rsid w:val="00C2587B"/>
    <w:rsid w:val="00C259B7"/>
    <w:rsid w:val="00C25D90"/>
    <w:rsid w:val="00C26D08"/>
    <w:rsid w:val="00C26EBD"/>
    <w:rsid w:val="00C274D3"/>
    <w:rsid w:val="00C275E8"/>
    <w:rsid w:val="00C27B68"/>
    <w:rsid w:val="00C30070"/>
    <w:rsid w:val="00C308C1"/>
    <w:rsid w:val="00C31554"/>
    <w:rsid w:val="00C3168D"/>
    <w:rsid w:val="00C322F6"/>
    <w:rsid w:val="00C32865"/>
    <w:rsid w:val="00C32F8C"/>
    <w:rsid w:val="00C33877"/>
    <w:rsid w:val="00C338B8"/>
    <w:rsid w:val="00C340AC"/>
    <w:rsid w:val="00C43ED0"/>
    <w:rsid w:val="00C456B5"/>
    <w:rsid w:val="00C468B2"/>
    <w:rsid w:val="00C46DC0"/>
    <w:rsid w:val="00C50006"/>
    <w:rsid w:val="00C517EF"/>
    <w:rsid w:val="00C54AE8"/>
    <w:rsid w:val="00C56A24"/>
    <w:rsid w:val="00C5732C"/>
    <w:rsid w:val="00C57BCD"/>
    <w:rsid w:val="00C57D5B"/>
    <w:rsid w:val="00C615EA"/>
    <w:rsid w:val="00C627D3"/>
    <w:rsid w:val="00C630BC"/>
    <w:rsid w:val="00C650E3"/>
    <w:rsid w:val="00C72F30"/>
    <w:rsid w:val="00C7535D"/>
    <w:rsid w:val="00C756B0"/>
    <w:rsid w:val="00C771B0"/>
    <w:rsid w:val="00C80395"/>
    <w:rsid w:val="00C81A14"/>
    <w:rsid w:val="00C847DB"/>
    <w:rsid w:val="00C86541"/>
    <w:rsid w:val="00C872A7"/>
    <w:rsid w:val="00C872FB"/>
    <w:rsid w:val="00C90705"/>
    <w:rsid w:val="00C91DF6"/>
    <w:rsid w:val="00C93348"/>
    <w:rsid w:val="00C933AF"/>
    <w:rsid w:val="00C94080"/>
    <w:rsid w:val="00C9492E"/>
    <w:rsid w:val="00C94C7D"/>
    <w:rsid w:val="00C9674E"/>
    <w:rsid w:val="00CA1F0E"/>
    <w:rsid w:val="00CA1FEF"/>
    <w:rsid w:val="00CA2C7B"/>
    <w:rsid w:val="00CA2E60"/>
    <w:rsid w:val="00CA4696"/>
    <w:rsid w:val="00CB1BF5"/>
    <w:rsid w:val="00CB30C7"/>
    <w:rsid w:val="00CB429D"/>
    <w:rsid w:val="00CB5659"/>
    <w:rsid w:val="00CB60E1"/>
    <w:rsid w:val="00CB6521"/>
    <w:rsid w:val="00CB6CDB"/>
    <w:rsid w:val="00CC2F77"/>
    <w:rsid w:val="00CC5011"/>
    <w:rsid w:val="00CD0573"/>
    <w:rsid w:val="00CD0E32"/>
    <w:rsid w:val="00CD14A4"/>
    <w:rsid w:val="00CD18ED"/>
    <w:rsid w:val="00CD19C2"/>
    <w:rsid w:val="00CD1F10"/>
    <w:rsid w:val="00CD256C"/>
    <w:rsid w:val="00CD343C"/>
    <w:rsid w:val="00CD580F"/>
    <w:rsid w:val="00CD704F"/>
    <w:rsid w:val="00CE0D0D"/>
    <w:rsid w:val="00CE10E9"/>
    <w:rsid w:val="00CE1F99"/>
    <w:rsid w:val="00CE2288"/>
    <w:rsid w:val="00CE4F08"/>
    <w:rsid w:val="00CE564C"/>
    <w:rsid w:val="00CE5CDB"/>
    <w:rsid w:val="00CF1011"/>
    <w:rsid w:val="00CF48E2"/>
    <w:rsid w:val="00CF4B03"/>
    <w:rsid w:val="00CF53D7"/>
    <w:rsid w:val="00CF5D55"/>
    <w:rsid w:val="00D004BD"/>
    <w:rsid w:val="00D0106C"/>
    <w:rsid w:val="00D025C8"/>
    <w:rsid w:val="00D048D9"/>
    <w:rsid w:val="00D121ED"/>
    <w:rsid w:val="00D1304D"/>
    <w:rsid w:val="00D140E0"/>
    <w:rsid w:val="00D1421B"/>
    <w:rsid w:val="00D149BE"/>
    <w:rsid w:val="00D16F5E"/>
    <w:rsid w:val="00D21286"/>
    <w:rsid w:val="00D22136"/>
    <w:rsid w:val="00D24679"/>
    <w:rsid w:val="00D24ED3"/>
    <w:rsid w:val="00D26FE8"/>
    <w:rsid w:val="00D2767F"/>
    <w:rsid w:val="00D27F07"/>
    <w:rsid w:val="00D300BF"/>
    <w:rsid w:val="00D313CB"/>
    <w:rsid w:val="00D31A37"/>
    <w:rsid w:val="00D325E9"/>
    <w:rsid w:val="00D32714"/>
    <w:rsid w:val="00D32D67"/>
    <w:rsid w:val="00D3303C"/>
    <w:rsid w:val="00D33ED8"/>
    <w:rsid w:val="00D3653A"/>
    <w:rsid w:val="00D36B7D"/>
    <w:rsid w:val="00D3783F"/>
    <w:rsid w:val="00D40128"/>
    <w:rsid w:val="00D40EEB"/>
    <w:rsid w:val="00D43355"/>
    <w:rsid w:val="00D47EEF"/>
    <w:rsid w:val="00D5069D"/>
    <w:rsid w:val="00D52EB4"/>
    <w:rsid w:val="00D53AA1"/>
    <w:rsid w:val="00D54167"/>
    <w:rsid w:val="00D5448B"/>
    <w:rsid w:val="00D55A99"/>
    <w:rsid w:val="00D6043C"/>
    <w:rsid w:val="00D612ED"/>
    <w:rsid w:val="00D61FB2"/>
    <w:rsid w:val="00D63239"/>
    <w:rsid w:val="00D63B77"/>
    <w:rsid w:val="00D63D1E"/>
    <w:rsid w:val="00D67734"/>
    <w:rsid w:val="00D705F3"/>
    <w:rsid w:val="00D728EB"/>
    <w:rsid w:val="00D75388"/>
    <w:rsid w:val="00D755EF"/>
    <w:rsid w:val="00D80F27"/>
    <w:rsid w:val="00D81156"/>
    <w:rsid w:val="00D83950"/>
    <w:rsid w:val="00D858AD"/>
    <w:rsid w:val="00D86E20"/>
    <w:rsid w:val="00D91582"/>
    <w:rsid w:val="00D93661"/>
    <w:rsid w:val="00D9443C"/>
    <w:rsid w:val="00D9460A"/>
    <w:rsid w:val="00D961B2"/>
    <w:rsid w:val="00D963A8"/>
    <w:rsid w:val="00DA0B83"/>
    <w:rsid w:val="00DA414F"/>
    <w:rsid w:val="00DA56EA"/>
    <w:rsid w:val="00DA7285"/>
    <w:rsid w:val="00DB0330"/>
    <w:rsid w:val="00DB03A6"/>
    <w:rsid w:val="00DB07CF"/>
    <w:rsid w:val="00DB1006"/>
    <w:rsid w:val="00DB318F"/>
    <w:rsid w:val="00DB4B9A"/>
    <w:rsid w:val="00DC1732"/>
    <w:rsid w:val="00DC401B"/>
    <w:rsid w:val="00DC4654"/>
    <w:rsid w:val="00DC5476"/>
    <w:rsid w:val="00DD3BE4"/>
    <w:rsid w:val="00DD512F"/>
    <w:rsid w:val="00DD5BBE"/>
    <w:rsid w:val="00DD6A06"/>
    <w:rsid w:val="00DE2113"/>
    <w:rsid w:val="00DE4224"/>
    <w:rsid w:val="00DE4934"/>
    <w:rsid w:val="00DE78E3"/>
    <w:rsid w:val="00DF02B3"/>
    <w:rsid w:val="00DF0559"/>
    <w:rsid w:val="00DF0AE6"/>
    <w:rsid w:val="00DF2BAC"/>
    <w:rsid w:val="00DF48B6"/>
    <w:rsid w:val="00DF598B"/>
    <w:rsid w:val="00DF5BF3"/>
    <w:rsid w:val="00DF7A91"/>
    <w:rsid w:val="00E00F09"/>
    <w:rsid w:val="00E0230B"/>
    <w:rsid w:val="00E023CF"/>
    <w:rsid w:val="00E02CA9"/>
    <w:rsid w:val="00E0556F"/>
    <w:rsid w:val="00E0704A"/>
    <w:rsid w:val="00E10159"/>
    <w:rsid w:val="00E11E92"/>
    <w:rsid w:val="00E12774"/>
    <w:rsid w:val="00E151BF"/>
    <w:rsid w:val="00E15CFC"/>
    <w:rsid w:val="00E160BB"/>
    <w:rsid w:val="00E203C5"/>
    <w:rsid w:val="00E20B6E"/>
    <w:rsid w:val="00E217AF"/>
    <w:rsid w:val="00E21E68"/>
    <w:rsid w:val="00E25D21"/>
    <w:rsid w:val="00E276C6"/>
    <w:rsid w:val="00E27C7D"/>
    <w:rsid w:val="00E337B0"/>
    <w:rsid w:val="00E367D3"/>
    <w:rsid w:val="00E40166"/>
    <w:rsid w:val="00E445E4"/>
    <w:rsid w:val="00E459A9"/>
    <w:rsid w:val="00E467EE"/>
    <w:rsid w:val="00E4737E"/>
    <w:rsid w:val="00E47B62"/>
    <w:rsid w:val="00E504FB"/>
    <w:rsid w:val="00E52A43"/>
    <w:rsid w:val="00E55EF9"/>
    <w:rsid w:val="00E6250D"/>
    <w:rsid w:val="00E625FB"/>
    <w:rsid w:val="00E62954"/>
    <w:rsid w:val="00E62A7E"/>
    <w:rsid w:val="00E63F6A"/>
    <w:rsid w:val="00E63FA2"/>
    <w:rsid w:val="00E6498E"/>
    <w:rsid w:val="00E65AA9"/>
    <w:rsid w:val="00E6769C"/>
    <w:rsid w:val="00E70090"/>
    <w:rsid w:val="00E70691"/>
    <w:rsid w:val="00E71C9B"/>
    <w:rsid w:val="00E74226"/>
    <w:rsid w:val="00E75115"/>
    <w:rsid w:val="00E75149"/>
    <w:rsid w:val="00E75230"/>
    <w:rsid w:val="00E753BE"/>
    <w:rsid w:val="00E76C1E"/>
    <w:rsid w:val="00E770F4"/>
    <w:rsid w:val="00E775AB"/>
    <w:rsid w:val="00E77934"/>
    <w:rsid w:val="00E77C68"/>
    <w:rsid w:val="00E80FC3"/>
    <w:rsid w:val="00E812C5"/>
    <w:rsid w:val="00E83DBE"/>
    <w:rsid w:val="00E841F6"/>
    <w:rsid w:val="00E86862"/>
    <w:rsid w:val="00E86B4D"/>
    <w:rsid w:val="00E94343"/>
    <w:rsid w:val="00E954F2"/>
    <w:rsid w:val="00E978D1"/>
    <w:rsid w:val="00EA15CD"/>
    <w:rsid w:val="00EA34D6"/>
    <w:rsid w:val="00EA3636"/>
    <w:rsid w:val="00EA38D8"/>
    <w:rsid w:val="00EA5A2E"/>
    <w:rsid w:val="00EA74C1"/>
    <w:rsid w:val="00EA7DD6"/>
    <w:rsid w:val="00EB0AA2"/>
    <w:rsid w:val="00EB1A18"/>
    <w:rsid w:val="00EB1B29"/>
    <w:rsid w:val="00EB1C64"/>
    <w:rsid w:val="00EB30B2"/>
    <w:rsid w:val="00EB3CC8"/>
    <w:rsid w:val="00EB5839"/>
    <w:rsid w:val="00EB61D9"/>
    <w:rsid w:val="00EB6874"/>
    <w:rsid w:val="00EC04CF"/>
    <w:rsid w:val="00EC07BF"/>
    <w:rsid w:val="00EC2173"/>
    <w:rsid w:val="00EC23CC"/>
    <w:rsid w:val="00EC40BB"/>
    <w:rsid w:val="00EC6E58"/>
    <w:rsid w:val="00ED1346"/>
    <w:rsid w:val="00ED3CEA"/>
    <w:rsid w:val="00ED4562"/>
    <w:rsid w:val="00EE119C"/>
    <w:rsid w:val="00EE20A2"/>
    <w:rsid w:val="00EE2196"/>
    <w:rsid w:val="00EE22F1"/>
    <w:rsid w:val="00EE3827"/>
    <w:rsid w:val="00EE4632"/>
    <w:rsid w:val="00EE4AB8"/>
    <w:rsid w:val="00EF02DC"/>
    <w:rsid w:val="00EF1C79"/>
    <w:rsid w:val="00EF1E33"/>
    <w:rsid w:val="00EF250B"/>
    <w:rsid w:val="00EF286B"/>
    <w:rsid w:val="00EF41D5"/>
    <w:rsid w:val="00EF70F6"/>
    <w:rsid w:val="00EF7BAF"/>
    <w:rsid w:val="00F005CC"/>
    <w:rsid w:val="00F00BFD"/>
    <w:rsid w:val="00F0116B"/>
    <w:rsid w:val="00F01BA7"/>
    <w:rsid w:val="00F01CB5"/>
    <w:rsid w:val="00F025B3"/>
    <w:rsid w:val="00F0458F"/>
    <w:rsid w:val="00F07720"/>
    <w:rsid w:val="00F07DFD"/>
    <w:rsid w:val="00F103F2"/>
    <w:rsid w:val="00F11817"/>
    <w:rsid w:val="00F12016"/>
    <w:rsid w:val="00F13051"/>
    <w:rsid w:val="00F13556"/>
    <w:rsid w:val="00F14842"/>
    <w:rsid w:val="00F14893"/>
    <w:rsid w:val="00F14A49"/>
    <w:rsid w:val="00F14AA5"/>
    <w:rsid w:val="00F150FF"/>
    <w:rsid w:val="00F15748"/>
    <w:rsid w:val="00F1798B"/>
    <w:rsid w:val="00F20594"/>
    <w:rsid w:val="00F20B84"/>
    <w:rsid w:val="00F243A3"/>
    <w:rsid w:val="00F24DB6"/>
    <w:rsid w:val="00F25DE8"/>
    <w:rsid w:val="00F27853"/>
    <w:rsid w:val="00F34438"/>
    <w:rsid w:val="00F34612"/>
    <w:rsid w:val="00F37391"/>
    <w:rsid w:val="00F4145C"/>
    <w:rsid w:val="00F43062"/>
    <w:rsid w:val="00F441DD"/>
    <w:rsid w:val="00F45FF5"/>
    <w:rsid w:val="00F47828"/>
    <w:rsid w:val="00F52A8D"/>
    <w:rsid w:val="00F538C6"/>
    <w:rsid w:val="00F54885"/>
    <w:rsid w:val="00F559D2"/>
    <w:rsid w:val="00F56CB1"/>
    <w:rsid w:val="00F56CE1"/>
    <w:rsid w:val="00F61206"/>
    <w:rsid w:val="00F613DC"/>
    <w:rsid w:val="00F6214A"/>
    <w:rsid w:val="00F63897"/>
    <w:rsid w:val="00F6411C"/>
    <w:rsid w:val="00F657A2"/>
    <w:rsid w:val="00F66B70"/>
    <w:rsid w:val="00F71032"/>
    <w:rsid w:val="00F71290"/>
    <w:rsid w:val="00F729C1"/>
    <w:rsid w:val="00F7374A"/>
    <w:rsid w:val="00F73AF8"/>
    <w:rsid w:val="00F812C2"/>
    <w:rsid w:val="00F8300A"/>
    <w:rsid w:val="00F83A76"/>
    <w:rsid w:val="00F83E98"/>
    <w:rsid w:val="00F84690"/>
    <w:rsid w:val="00F86813"/>
    <w:rsid w:val="00F86C6F"/>
    <w:rsid w:val="00F86E0B"/>
    <w:rsid w:val="00F90124"/>
    <w:rsid w:val="00F90ABE"/>
    <w:rsid w:val="00F90EC6"/>
    <w:rsid w:val="00F91B7C"/>
    <w:rsid w:val="00F94316"/>
    <w:rsid w:val="00F944A6"/>
    <w:rsid w:val="00F9578E"/>
    <w:rsid w:val="00F966FC"/>
    <w:rsid w:val="00FA0CC7"/>
    <w:rsid w:val="00FA1BC0"/>
    <w:rsid w:val="00FA1E01"/>
    <w:rsid w:val="00FA2C02"/>
    <w:rsid w:val="00FA3783"/>
    <w:rsid w:val="00FA3BBB"/>
    <w:rsid w:val="00FA5D49"/>
    <w:rsid w:val="00FA77E6"/>
    <w:rsid w:val="00FB13FE"/>
    <w:rsid w:val="00FB70ED"/>
    <w:rsid w:val="00FB769F"/>
    <w:rsid w:val="00FB7A31"/>
    <w:rsid w:val="00FC2FD9"/>
    <w:rsid w:val="00FC349E"/>
    <w:rsid w:val="00FC4580"/>
    <w:rsid w:val="00FC4685"/>
    <w:rsid w:val="00FC4769"/>
    <w:rsid w:val="00FC528C"/>
    <w:rsid w:val="00FC59A3"/>
    <w:rsid w:val="00FC5C4C"/>
    <w:rsid w:val="00FD168B"/>
    <w:rsid w:val="00FD2104"/>
    <w:rsid w:val="00FD2A51"/>
    <w:rsid w:val="00FD2C21"/>
    <w:rsid w:val="00FD3191"/>
    <w:rsid w:val="00FD4151"/>
    <w:rsid w:val="00FD48C0"/>
    <w:rsid w:val="00FD5EA6"/>
    <w:rsid w:val="00FD6410"/>
    <w:rsid w:val="00FD7D02"/>
    <w:rsid w:val="00FE0A1C"/>
    <w:rsid w:val="00FE1742"/>
    <w:rsid w:val="00FE4C7E"/>
    <w:rsid w:val="00FE7465"/>
    <w:rsid w:val="00FF0954"/>
    <w:rsid w:val="00FF16C8"/>
    <w:rsid w:val="00FF536A"/>
    <w:rsid w:val="01DB7ECE"/>
    <w:rsid w:val="01E925F2"/>
    <w:rsid w:val="055B7735"/>
    <w:rsid w:val="09CA4C53"/>
    <w:rsid w:val="0A424FBD"/>
    <w:rsid w:val="0A695261"/>
    <w:rsid w:val="0D8321F2"/>
    <w:rsid w:val="0E8B67DF"/>
    <w:rsid w:val="10A255AA"/>
    <w:rsid w:val="10FC376C"/>
    <w:rsid w:val="130F7D8D"/>
    <w:rsid w:val="13F13588"/>
    <w:rsid w:val="15EE60AA"/>
    <w:rsid w:val="1A174205"/>
    <w:rsid w:val="1C421CEE"/>
    <w:rsid w:val="1E7354F5"/>
    <w:rsid w:val="20CA2053"/>
    <w:rsid w:val="215678E9"/>
    <w:rsid w:val="21E169EA"/>
    <w:rsid w:val="23635580"/>
    <w:rsid w:val="23705540"/>
    <w:rsid w:val="23871575"/>
    <w:rsid w:val="238D3B77"/>
    <w:rsid w:val="26090F1F"/>
    <w:rsid w:val="2663236B"/>
    <w:rsid w:val="26C17FC9"/>
    <w:rsid w:val="29374301"/>
    <w:rsid w:val="2A0E523D"/>
    <w:rsid w:val="2C916D79"/>
    <w:rsid w:val="317C2B11"/>
    <w:rsid w:val="321E3FFA"/>
    <w:rsid w:val="324F5B44"/>
    <w:rsid w:val="327F1980"/>
    <w:rsid w:val="32F12432"/>
    <w:rsid w:val="346E09F2"/>
    <w:rsid w:val="349B09AA"/>
    <w:rsid w:val="35D044B2"/>
    <w:rsid w:val="36375735"/>
    <w:rsid w:val="378A4584"/>
    <w:rsid w:val="378C6D4A"/>
    <w:rsid w:val="390C7D35"/>
    <w:rsid w:val="39290B7B"/>
    <w:rsid w:val="39745F39"/>
    <w:rsid w:val="3D3C085F"/>
    <w:rsid w:val="3DF43CB0"/>
    <w:rsid w:val="3E8A5678"/>
    <w:rsid w:val="3F654A5D"/>
    <w:rsid w:val="426C4F0E"/>
    <w:rsid w:val="431C567C"/>
    <w:rsid w:val="44B63F1A"/>
    <w:rsid w:val="451654F4"/>
    <w:rsid w:val="48810F87"/>
    <w:rsid w:val="4A5B3B64"/>
    <w:rsid w:val="4AC01A61"/>
    <w:rsid w:val="4B42452F"/>
    <w:rsid w:val="4B820183"/>
    <w:rsid w:val="4B88547A"/>
    <w:rsid w:val="4BC01C90"/>
    <w:rsid w:val="4E1A1FF3"/>
    <w:rsid w:val="4F576EB4"/>
    <w:rsid w:val="50CF1F2E"/>
    <w:rsid w:val="51E031B4"/>
    <w:rsid w:val="531A4FAA"/>
    <w:rsid w:val="535C05BC"/>
    <w:rsid w:val="541B05CB"/>
    <w:rsid w:val="54A46742"/>
    <w:rsid w:val="56BD1493"/>
    <w:rsid w:val="5AE76118"/>
    <w:rsid w:val="5B197DCD"/>
    <w:rsid w:val="5BCE7D78"/>
    <w:rsid w:val="5C3A5466"/>
    <w:rsid w:val="5CE14FED"/>
    <w:rsid w:val="5DC51364"/>
    <w:rsid w:val="6014409A"/>
    <w:rsid w:val="621A06A3"/>
    <w:rsid w:val="649C1615"/>
    <w:rsid w:val="64B32B11"/>
    <w:rsid w:val="65962F5E"/>
    <w:rsid w:val="65A70431"/>
    <w:rsid w:val="65D84CB5"/>
    <w:rsid w:val="6646797E"/>
    <w:rsid w:val="665520F7"/>
    <w:rsid w:val="679805F2"/>
    <w:rsid w:val="682B70D6"/>
    <w:rsid w:val="68375C81"/>
    <w:rsid w:val="68DA1C74"/>
    <w:rsid w:val="6A435B2F"/>
    <w:rsid w:val="6BF44DA3"/>
    <w:rsid w:val="6F8827C0"/>
    <w:rsid w:val="71993DE6"/>
    <w:rsid w:val="73CF0012"/>
    <w:rsid w:val="74A832A3"/>
    <w:rsid w:val="77B9721C"/>
    <w:rsid w:val="79002BED"/>
    <w:rsid w:val="7981580B"/>
    <w:rsid w:val="79F6726D"/>
    <w:rsid w:val="7A927884"/>
    <w:rsid w:val="7C77614F"/>
    <w:rsid w:val="7D551A87"/>
    <w:rsid w:val="7E29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7F99"/>
  <w15:docId w15:val="{7E37EA2F-ABA4-470F-BAB6-9E85980E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480" w:line="276" w:lineRule="auto"/>
      <w:jc w:val="left"/>
      <w:outlineLvl w:val="0"/>
    </w:pPr>
    <w:rPr>
      <w:rFonts w:ascii="Cambria" w:hAnsi="Cambria"/>
      <w:b/>
      <w:bCs/>
      <w:color w:val="21798E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1"/>
    </w:pPr>
    <w:rPr>
      <w:rFonts w:ascii="Cambria" w:hAnsi="Cambria"/>
      <w:b/>
      <w:bCs/>
      <w:color w:val="2DA2BF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2"/>
    </w:pPr>
    <w:rPr>
      <w:rFonts w:ascii="Cambria" w:hAnsi="Cambria"/>
      <w:b/>
      <w:bCs/>
      <w:color w:val="2DA2BF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2DA2BF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4"/>
    </w:pPr>
    <w:rPr>
      <w:rFonts w:ascii="Cambria" w:hAnsi="Cambria"/>
      <w:color w:val="16505E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5"/>
    </w:pPr>
    <w:rPr>
      <w:rFonts w:ascii="Cambria" w:hAnsi="Cambria"/>
      <w:i/>
      <w:iCs/>
      <w:color w:val="16505E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6"/>
    </w:pPr>
    <w:rPr>
      <w:rFonts w:ascii="Cambria" w:hAnsi="Cambria"/>
      <w:i/>
      <w:iCs/>
      <w:color w:val="404040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7"/>
    </w:pPr>
    <w:rPr>
      <w:rFonts w:ascii="Cambria" w:hAnsi="Cambria"/>
      <w:color w:val="2DA2BF"/>
      <w:kern w:val="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8"/>
    </w:pPr>
    <w:rPr>
      <w:rFonts w:ascii="Cambria" w:hAnsi="Cambria"/>
      <w:i/>
      <w:iCs/>
      <w:color w:val="404040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widowControl/>
      <w:spacing w:after="200"/>
      <w:jc w:val="left"/>
    </w:pPr>
    <w:rPr>
      <w:rFonts w:asciiTheme="minorHAnsi" w:eastAsiaTheme="minorEastAsia" w:hAnsiTheme="minorHAnsi" w:cstheme="minorBidi"/>
      <w:b/>
      <w:bCs/>
      <w:color w:val="2DA2BF"/>
      <w:kern w:val="0"/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pPr>
      <w:widowControl/>
      <w:spacing w:after="200" w:line="276" w:lineRule="auto"/>
      <w:jc w:val="left"/>
    </w:pPr>
    <w:rPr>
      <w:rFonts w:ascii="Cambria" w:hAnsi="Cambria"/>
      <w:i/>
      <w:iCs/>
      <w:color w:val="2DA2BF"/>
      <w:spacing w:val="15"/>
      <w:kern w:val="0"/>
      <w:sz w:val="24"/>
      <w:szCs w:val="24"/>
    </w:r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widowControl/>
      <w:pBdr>
        <w:bottom w:val="single" w:sz="8" w:space="4" w:color="2DA2BF"/>
      </w:pBdr>
      <w:spacing w:after="300"/>
      <w:contextualSpacing/>
      <w:jc w:val="left"/>
    </w:pPr>
    <w:rPr>
      <w:rFonts w:ascii="Cambria" w:hAnsi="Cambria"/>
      <w:color w:val="343434"/>
      <w:spacing w:val="5"/>
      <w:kern w:val="28"/>
      <w:sz w:val="52"/>
      <w:szCs w:val="52"/>
    </w:rPr>
  </w:style>
  <w:style w:type="paragraph" w:styleId="af1">
    <w:name w:val="annotation subject"/>
    <w:basedOn w:val="a4"/>
    <w:next w:val="a4"/>
    <w:link w:val="af2"/>
    <w:uiPriority w:val="99"/>
    <w:semiHidden/>
    <w:unhideWhenUsed/>
    <w:qFormat/>
    <w:rPr>
      <w:b/>
      <w:bCs/>
    </w:rPr>
  </w:style>
  <w:style w:type="character" w:styleId="af3">
    <w:name w:val="Strong"/>
    <w:uiPriority w:val="22"/>
    <w:qFormat/>
    <w:rPr>
      <w:b/>
      <w:bCs/>
    </w:rPr>
  </w:style>
  <w:style w:type="character" w:styleId="af4">
    <w:name w:val="Emphasis"/>
    <w:uiPriority w:val="20"/>
    <w:qFormat/>
    <w:rPr>
      <w:i/>
      <w:iCs/>
    </w:rPr>
  </w:style>
  <w:style w:type="character" w:styleId="af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Cambria" w:eastAsia="宋体" w:hAnsi="Cambria" w:cs="Times New Roman"/>
      <w:b/>
      <w:bCs/>
      <w:color w:val="21798E"/>
      <w:sz w:val="28"/>
      <w:szCs w:val="28"/>
    </w:rPr>
  </w:style>
  <w:style w:type="character" w:customStyle="1" w:styleId="20">
    <w:name w:val="标题 2 字符"/>
    <w:link w:val="2"/>
    <w:uiPriority w:val="9"/>
    <w:semiHidden/>
    <w:qFormat/>
    <w:rPr>
      <w:rFonts w:ascii="Cambria" w:eastAsia="宋体" w:hAnsi="Cambria" w:cs="Times New Roman"/>
      <w:b/>
      <w:bCs/>
      <w:color w:val="2DA2BF"/>
      <w:sz w:val="26"/>
      <w:szCs w:val="26"/>
    </w:rPr>
  </w:style>
  <w:style w:type="character" w:customStyle="1" w:styleId="30">
    <w:name w:val="标题 3 字符"/>
    <w:link w:val="3"/>
    <w:uiPriority w:val="9"/>
    <w:semiHidden/>
    <w:qFormat/>
    <w:rPr>
      <w:rFonts w:ascii="Cambria" w:eastAsia="宋体" w:hAnsi="Cambria" w:cs="Times New Roman"/>
      <w:b/>
      <w:bCs/>
      <w:color w:val="2DA2BF"/>
    </w:rPr>
  </w:style>
  <w:style w:type="character" w:customStyle="1" w:styleId="40">
    <w:name w:val="标题 4 字符"/>
    <w:link w:val="4"/>
    <w:uiPriority w:val="9"/>
    <w:semiHidden/>
    <w:qFormat/>
    <w:rPr>
      <w:rFonts w:ascii="Cambria" w:eastAsia="宋体" w:hAnsi="Cambria" w:cs="Times New Roman"/>
      <w:b/>
      <w:bCs/>
      <w:i/>
      <w:iCs/>
      <w:color w:val="2DA2BF"/>
    </w:rPr>
  </w:style>
  <w:style w:type="character" w:customStyle="1" w:styleId="50">
    <w:name w:val="标题 5 字符"/>
    <w:link w:val="5"/>
    <w:uiPriority w:val="9"/>
    <w:semiHidden/>
    <w:qFormat/>
    <w:rPr>
      <w:rFonts w:ascii="Cambria" w:eastAsia="宋体" w:hAnsi="Cambria" w:cs="Times New Roman"/>
      <w:color w:val="16505E"/>
    </w:rPr>
  </w:style>
  <w:style w:type="character" w:customStyle="1" w:styleId="60">
    <w:name w:val="标题 6 字符"/>
    <w:link w:val="6"/>
    <w:uiPriority w:val="9"/>
    <w:semiHidden/>
    <w:qFormat/>
    <w:rPr>
      <w:rFonts w:ascii="Cambria" w:eastAsia="宋体" w:hAnsi="Cambria" w:cs="Times New Roman"/>
      <w:i/>
      <w:iCs/>
      <w:color w:val="16505E"/>
    </w:rPr>
  </w:style>
  <w:style w:type="character" w:customStyle="1" w:styleId="70">
    <w:name w:val="标题 7 字符"/>
    <w:link w:val="7"/>
    <w:uiPriority w:val="9"/>
    <w:semiHidden/>
    <w:qFormat/>
    <w:rPr>
      <w:rFonts w:ascii="Cambria" w:eastAsia="宋体" w:hAnsi="Cambria" w:cs="Times New Roman"/>
      <w:i/>
      <w:iCs/>
      <w:color w:val="404040"/>
    </w:rPr>
  </w:style>
  <w:style w:type="character" w:customStyle="1" w:styleId="80">
    <w:name w:val="标题 8 字符"/>
    <w:link w:val="8"/>
    <w:uiPriority w:val="9"/>
    <w:semiHidden/>
    <w:qFormat/>
    <w:rPr>
      <w:rFonts w:ascii="Cambria" w:eastAsia="宋体" w:hAnsi="Cambria" w:cs="Times New Roman"/>
      <w:color w:val="2DA2BF"/>
      <w:sz w:val="20"/>
      <w:szCs w:val="20"/>
    </w:rPr>
  </w:style>
  <w:style w:type="character" w:customStyle="1" w:styleId="90">
    <w:name w:val="标题 9 字符"/>
    <w:link w:val="9"/>
    <w:uiPriority w:val="9"/>
    <w:semiHidden/>
    <w:qFormat/>
    <w:rPr>
      <w:rFonts w:ascii="Cambria" w:eastAsia="宋体" w:hAnsi="Cambria" w:cs="Times New Roman"/>
      <w:i/>
      <w:iCs/>
      <w:color w:val="404040"/>
      <w:sz w:val="20"/>
      <w:szCs w:val="20"/>
    </w:rPr>
  </w:style>
  <w:style w:type="character" w:customStyle="1" w:styleId="af0">
    <w:name w:val="标题 字符"/>
    <w:link w:val="af"/>
    <w:uiPriority w:val="10"/>
    <w:qFormat/>
    <w:rPr>
      <w:rFonts w:ascii="Cambria" w:eastAsia="宋体" w:hAnsi="Cambria" w:cs="Times New Roman"/>
      <w:color w:val="343434"/>
      <w:spacing w:val="5"/>
      <w:kern w:val="28"/>
      <w:sz w:val="52"/>
      <w:szCs w:val="52"/>
    </w:rPr>
  </w:style>
  <w:style w:type="character" w:customStyle="1" w:styleId="ad">
    <w:name w:val="副标题 字符"/>
    <w:link w:val="ac"/>
    <w:uiPriority w:val="11"/>
    <w:qFormat/>
    <w:rPr>
      <w:rFonts w:ascii="Cambria" w:eastAsia="宋体" w:hAnsi="Cambria" w:cs="Times New Roman"/>
      <w:i/>
      <w:iCs/>
      <w:color w:val="2DA2BF"/>
      <w:spacing w:val="15"/>
      <w:sz w:val="24"/>
      <w:szCs w:val="24"/>
    </w:rPr>
  </w:style>
  <w:style w:type="paragraph" w:styleId="af7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f9">
    <w:name w:val="Quote"/>
    <w:basedOn w:val="a"/>
    <w:next w:val="a"/>
    <w:link w:val="afa"/>
    <w:uiPriority w:val="29"/>
    <w:qFormat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000000"/>
      <w:kern w:val="0"/>
      <w:sz w:val="22"/>
      <w:szCs w:val="22"/>
    </w:rPr>
  </w:style>
  <w:style w:type="character" w:customStyle="1" w:styleId="afa">
    <w:name w:val="引用 字符"/>
    <w:link w:val="af9"/>
    <w:uiPriority w:val="29"/>
    <w:qFormat/>
    <w:rPr>
      <w:i/>
      <w:iCs/>
      <w:color w:val="000000"/>
    </w:rPr>
  </w:style>
  <w:style w:type="paragraph" w:styleId="afb">
    <w:name w:val="Intense Quote"/>
    <w:basedOn w:val="a"/>
    <w:next w:val="a"/>
    <w:link w:val="afc"/>
    <w:uiPriority w:val="30"/>
    <w:qFormat/>
    <w:pPr>
      <w:widowControl/>
      <w:pBdr>
        <w:bottom w:val="single" w:sz="4" w:space="4" w:color="2DA2BF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 w:cstheme="minorBidi"/>
      <w:b/>
      <w:bCs/>
      <w:i/>
      <w:iCs/>
      <w:color w:val="2DA2BF"/>
      <w:kern w:val="0"/>
      <w:sz w:val="22"/>
      <w:szCs w:val="22"/>
    </w:rPr>
  </w:style>
  <w:style w:type="character" w:customStyle="1" w:styleId="afc">
    <w:name w:val="明显引用 字符"/>
    <w:link w:val="afb"/>
    <w:uiPriority w:val="30"/>
    <w:qFormat/>
    <w:rPr>
      <w:b/>
      <w:bCs/>
      <w:i/>
      <w:iCs/>
      <w:color w:val="2DA2BF"/>
    </w:rPr>
  </w:style>
  <w:style w:type="character" w:customStyle="1" w:styleId="11">
    <w:name w:val="不明显强调1"/>
    <w:uiPriority w:val="19"/>
    <w:qFormat/>
    <w:rPr>
      <w:i/>
      <w:iCs/>
      <w:color w:val="808080"/>
    </w:rPr>
  </w:style>
  <w:style w:type="character" w:customStyle="1" w:styleId="12">
    <w:name w:val="明显强调1"/>
    <w:uiPriority w:val="21"/>
    <w:qFormat/>
    <w:rPr>
      <w:b/>
      <w:bCs/>
      <w:i/>
      <w:iCs/>
      <w:color w:val="2DA2BF"/>
    </w:rPr>
  </w:style>
  <w:style w:type="character" w:customStyle="1" w:styleId="13">
    <w:name w:val="不明显参考1"/>
    <w:uiPriority w:val="31"/>
    <w:qFormat/>
    <w:rPr>
      <w:smallCaps/>
      <w:color w:val="DA1F28"/>
      <w:u w:val="single"/>
    </w:rPr>
  </w:style>
  <w:style w:type="character" w:customStyle="1" w:styleId="14">
    <w:name w:val="明显参考1"/>
    <w:uiPriority w:val="32"/>
    <w:qFormat/>
    <w:rPr>
      <w:b/>
      <w:bCs/>
      <w:smallCaps/>
      <w:color w:val="DA1F28"/>
      <w:spacing w:val="5"/>
      <w:u w:val="single"/>
    </w:rPr>
  </w:style>
  <w:style w:type="character" w:customStyle="1" w:styleId="15">
    <w:name w:val="书籍标题1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  <w:style w:type="character" w:customStyle="1" w:styleId="ab">
    <w:name w:val="页眉 字符"/>
    <w:basedOn w:val="a0"/>
    <w:link w:val="aa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21"/>
      <w:szCs w:val="20"/>
    </w:rPr>
  </w:style>
  <w:style w:type="character" w:customStyle="1" w:styleId="af2">
    <w:name w:val="批注主题 字符"/>
    <w:basedOn w:val="a5"/>
    <w:link w:val="af1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6">
    <w:name w:val="修订1"/>
    <w:hidden/>
    <w:uiPriority w:val="99"/>
    <w:unhideWhenUsed/>
    <w:qFormat/>
    <w:rPr>
      <w:kern w:val="2"/>
      <w:sz w:val="21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keyword">
    <w:name w:val="keyword"/>
    <w:basedOn w:val="a0"/>
    <w:qFormat/>
  </w:style>
  <w:style w:type="character" w:customStyle="1" w:styleId="activekeyword">
    <w:name w:val="activekeyword"/>
    <w:basedOn w:val="a0"/>
    <w:qFormat/>
  </w:style>
  <w:style w:type="character" w:customStyle="1" w:styleId="highlight">
    <w:name w:val="highlight"/>
    <w:basedOn w:val="a0"/>
    <w:qFormat/>
  </w:style>
  <w:style w:type="character" w:customStyle="1" w:styleId="text-only">
    <w:name w:val="text-only"/>
    <w:basedOn w:val="a0"/>
    <w:qFormat/>
  </w:style>
  <w:style w:type="paragraph" w:customStyle="1" w:styleId="3090">
    <w:name w:val="3090"/>
    <w:basedOn w:val="a"/>
    <w:qFormat/>
    <w:pPr>
      <w:spacing w:line="360" w:lineRule="auto"/>
      <w:ind w:firstLineChars="200" w:firstLine="200"/>
    </w:pPr>
    <w:rPr>
      <w:sz w:val="24"/>
      <w:szCs w:val="24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b/>
      <w:bCs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biaodian">
    <w:name w:val="biaodi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F1191-D2AE-4B2D-A192-BA65C073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909</Words>
  <Characters>5184</Characters>
  <Application>Microsoft Office Word</Application>
  <DocSecurity>0</DocSecurity>
  <Lines>43</Lines>
  <Paragraphs>12</Paragraphs>
  <ScaleCrop>false</ScaleCrop>
  <Company>Microsoft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Song Jiajun 宋佳峻 (FH)</cp:lastModifiedBy>
  <cp:revision>439</cp:revision>
  <cp:lastPrinted>2024-05-14T09:00:00Z</cp:lastPrinted>
  <dcterms:created xsi:type="dcterms:W3CDTF">2023-06-02T09:16:00Z</dcterms:created>
  <dcterms:modified xsi:type="dcterms:W3CDTF">2026-08-21T07:02:00Z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</vt:lpwstr>
  </property>
  <property fmtid="{D5CDD505-2E9C-101B-9397-08002B2CF9AE}" pid="3" name="KSOProductBuildVer">
    <vt:lpwstr>2052-12.1.0.24034</vt:lpwstr>
  </property>
  <property fmtid="{D5CDD505-2E9C-101B-9397-08002B2CF9AE}" pid="4" name="ICV">
    <vt:lpwstr>4008ABD01AF747508157E4D0231EB8D4_13</vt:lpwstr>
  </property>
  <property fmtid="{D5CDD505-2E9C-101B-9397-08002B2CF9AE}" pid="5" name="KSOTemplateDocerSaveRecord">
    <vt:lpwstr>eyJoZGlkIjoiMWI2NjQxNWM0NGMxNTljNDhlZDNkN2YzMDE2MGVmZjciLCJ1c2VySWQiOiI1ODUzMDk2MjkifQ==</vt:lpwstr>
  </property>
</Properties>
</file>