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487E7D">
      <w:pPr>
        <w:spacing w:before="156" w:beforeLines="50" w:after="156" w:afterLines="50" w:line="360" w:lineRule="auto"/>
        <w:rPr>
          <w:rFonts w:ascii="华文楷体" w:hAnsi="华文楷体" w:eastAsia="华文楷体"/>
          <w:bCs/>
          <w:iCs/>
          <w:color w:val="000000"/>
          <w:sz w:val="24"/>
        </w:rPr>
      </w:pPr>
      <w:r>
        <w:rPr>
          <w:rFonts w:hint="eastAsia" w:ascii="华文楷体" w:hAnsi="华文楷体" w:eastAsia="华文楷体"/>
          <w:bCs/>
          <w:iCs/>
          <w:color w:val="000000"/>
          <w:sz w:val="24"/>
        </w:rPr>
        <w:t>证券代码：688683                                                  证券简称：莱尔科技</w:t>
      </w:r>
    </w:p>
    <w:p w14:paraId="7C295733">
      <w:pPr>
        <w:spacing w:before="156" w:beforeLines="50" w:after="156" w:afterLines="50" w:line="360" w:lineRule="auto"/>
        <w:jc w:val="center"/>
        <w:rPr>
          <w:rFonts w:ascii="华文楷体" w:hAnsi="华文楷体" w:eastAsia="华文楷体"/>
          <w:b/>
          <w:bCs/>
          <w:iCs/>
          <w:color w:val="000000"/>
          <w:sz w:val="32"/>
          <w:szCs w:val="32"/>
        </w:rPr>
      </w:pPr>
      <w:r>
        <w:rPr>
          <w:rFonts w:hint="eastAsia" w:ascii="华文楷体" w:hAnsi="华文楷体" w:eastAsia="华文楷体"/>
          <w:b/>
          <w:bCs/>
          <w:iCs/>
          <w:color w:val="000000"/>
          <w:sz w:val="32"/>
          <w:szCs w:val="32"/>
        </w:rPr>
        <w:t>广东莱尔新材料科技股份有限公司</w:t>
      </w:r>
    </w:p>
    <w:p w14:paraId="59033EE7">
      <w:pPr>
        <w:spacing w:before="156" w:beforeLines="50" w:after="156" w:afterLines="50" w:line="360" w:lineRule="auto"/>
        <w:jc w:val="center"/>
        <w:rPr>
          <w:rFonts w:ascii="华文楷体" w:hAnsi="华文楷体" w:eastAsia="华文楷体"/>
          <w:b/>
          <w:bCs/>
          <w:iCs/>
          <w:color w:val="000000"/>
          <w:sz w:val="32"/>
          <w:szCs w:val="32"/>
        </w:rPr>
      </w:pPr>
      <w:r>
        <w:rPr>
          <w:rFonts w:hint="eastAsia" w:ascii="华文楷体" w:hAnsi="华文楷体" w:eastAsia="华文楷体"/>
          <w:b/>
          <w:bCs/>
          <w:iCs/>
          <w:color w:val="000000"/>
          <w:sz w:val="32"/>
          <w:szCs w:val="32"/>
        </w:rPr>
        <w:t>投资者关系活动记录表</w:t>
      </w:r>
    </w:p>
    <w:p w14:paraId="6C911C07">
      <w:pPr>
        <w:spacing w:line="360" w:lineRule="auto"/>
        <w:rPr>
          <w:rFonts w:ascii="华文楷体" w:hAnsi="华文楷体" w:eastAsia="华文楷体"/>
          <w:bCs/>
          <w:iCs/>
          <w:color w:val="000000"/>
          <w:sz w:val="24"/>
        </w:rPr>
      </w:pPr>
      <w:r>
        <w:rPr>
          <w:rFonts w:hint="eastAsia" w:ascii="华文楷体" w:hAnsi="华文楷体" w:eastAsia="华文楷体"/>
          <w:bCs/>
          <w:iCs/>
          <w:color w:val="000000"/>
          <w:sz w:val="24"/>
        </w:rPr>
        <w:t xml:space="preserve">                                                                       </w:t>
      </w:r>
      <w:r>
        <w:rPr>
          <w:rFonts w:hint="eastAsia" w:ascii="华文楷体" w:hAnsi="华文楷体" w:eastAsia="华文楷体"/>
          <w:bCs/>
          <w:iCs/>
          <w:color w:val="0D0D0D" w:themeColor="text1" w:themeTint="F2"/>
          <w:sz w:val="24"/>
          <w14:textFill>
            <w14:solidFill>
              <w14:schemeClr w14:val="tx1">
                <w14:lumMod w14:val="95000"/>
                <w14:lumOff w14:val="5000"/>
              </w14:schemeClr>
            </w14:solidFill>
          </w14:textFill>
        </w:rPr>
        <w:t>编号：202</w:t>
      </w:r>
      <w:r>
        <w:rPr>
          <w:rFonts w:ascii="华文楷体" w:hAnsi="华文楷体" w:eastAsia="华文楷体"/>
          <w:bCs/>
          <w:iCs/>
          <w:color w:val="0D0D0D" w:themeColor="text1" w:themeTint="F2"/>
          <w:sz w:val="24"/>
          <w14:textFill>
            <w14:solidFill>
              <w14:schemeClr w14:val="tx1">
                <w14:lumMod w14:val="95000"/>
                <w14:lumOff w14:val="5000"/>
              </w14:schemeClr>
            </w14:solidFill>
          </w14:textFill>
        </w:rPr>
        <w:t>6</w:t>
      </w:r>
      <w:r>
        <w:rPr>
          <w:rFonts w:hint="eastAsia" w:ascii="华文楷体" w:hAnsi="华文楷体" w:eastAsia="华文楷体"/>
          <w:bCs/>
          <w:iCs/>
          <w:color w:val="0D0D0D" w:themeColor="text1" w:themeTint="F2"/>
          <w:sz w:val="24"/>
          <w14:textFill>
            <w14:solidFill>
              <w14:schemeClr w14:val="tx1">
                <w14:lumMod w14:val="95000"/>
                <w14:lumOff w14:val="5000"/>
              </w14:schemeClr>
            </w14:solidFill>
          </w14:textFill>
        </w:rPr>
        <w:t>-0</w:t>
      </w:r>
      <w:r>
        <w:rPr>
          <w:rFonts w:ascii="华文楷体" w:hAnsi="华文楷体" w:eastAsia="华文楷体"/>
          <w:bCs/>
          <w:iCs/>
          <w:color w:val="0D0D0D" w:themeColor="text1" w:themeTint="F2"/>
          <w:sz w:val="24"/>
          <w14:textFill>
            <w14:solidFill>
              <w14:schemeClr w14:val="tx1">
                <w14:lumMod w14:val="95000"/>
                <w14:lumOff w14:val="5000"/>
              </w14:schemeClr>
            </w14:solidFill>
          </w14:textFill>
        </w:rPr>
        <w:t>0</w:t>
      </w:r>
      <w:r>
        <w:rPr>
          <w:rFonts w:hint="eastAsia" w:ascii="华文楷体" w:hAnsi="华文楷体" w:eastAsia="华文楷体"/>
          <w:bCs/>
          <w:iCs/>
          <w:color w:val="0D0D0D" w:themeColor="text1" w:themeTint="F2"/>
          <w:sz w:val="24"/>
          <w14:textFill>
            <w14:solidFill>
              <w14:schemeClr w14:val="tx1">
                <w14:lumMod w14:val="95000"/>
                <w14:lumOff w14:val="5000"/>
              </w14:schemeClr>
            </w14:solidFill>
          </w14:textFill>
        </w:rPr>
        <w:t>6</w:t>
      </w: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0"/>
        <w:gridCol w:w="8872"/>
      </w:tblGrid>
      <w:tr w14:paraId="78AD4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9" w:hRule="atLeast"/>
        </w:trPr>
        <w:tc>
          <w:tcPr>
            <w:tcW w:w="847" w:type="pct"/>
            <w:tcBorders>
              <w:top w:val="single" w:color="auto" w:sz="4" w:space="0"/>
              <w:left w:val="single" w:color="auto" w:sz="4" w:space="0"/>
              <w:bottom w:val="single" w:color="auto" w:sz="4" w:space="0"/>
              <w:right w:val="single" w:color="auto" w:sz="4" w:space="0"/>
            </w:tcBorders>
            <w:vAlign w:val="center"/>
          </w:tcPr>
          <w:p w14:paraId="15ED18E7">
            <w:pPr>
              <w:snapToGrid w:val="0"/>
              <w:spacing w:line="360" w:lineRule="auto"/>
              <w:jc w:val="center"/>
              <w:rPr>
                <w:rFonts w:ascii="华文楷体" w:hAnsi="华文楷体" w:eastAsia="华文楷体"/>
                <w:bCs/>
                <w:iCs/>
                <w:color w:val="000000"/>
                <w:sz w:val="22"/>
                <w:szCs w:val="22"/>
              </w:rPr>
            </w:pPr>
            <w:r>
              <w:rPr>
                <w:rFonts w:hint="eastAsia" w:ascii="华文楷体" w:hAnsi="华文楷体" w:eastAsia="华文楷体"/>
                <w:b/>
                <w:bCs/>
                <w:iCs/>
                <w:color w:val="000000"/>
                <w:sz w:val="22"/>
                <w:szCs w:val="22"/>
              </w:rPr>
              <w:t>投资者关系活动类别</w:t>
            </w:r>
          </w:p>
        </w:tc>
        <w:tc>
          <w:tcPr>
            <w:tcW w:w="4153" w:type="pct"/>
            <w:tcBorders>
              <w:top w:val="single" w:color="auto" w:sz="4" w:space="0"/>
              <w:left w:val="single" w:color="auto" w:sz="4" w:space="0"/>
              <w:bottom w:val="single" w:color="auto" w:sz="4" w:space="0"/>
              <w:right w:val="single" w:color="auto" w:sz="4" w:space="0"/>
            </w:tcBorders>
          </w:tcPr>
          <w:p w14:paraId="43E1202C">
            <w:pPr>
              <w:snapToGrid w:val="0"/>
              <w:spacing w:before="156" w:beforeLines="50" w:line="360" w:lineRule="auto"/>
              <w:rPr>
                <w:rFonts w:ascii="华文楷体" w:hAnsi="华文楷体" w:eastAsia="华文楷体"/>
                <w:bCs/>
                <w:iCs/>
                <w:color w:val="000000"/>
                <w:sz w:val="22"/>
                <w:szCs w:val="22"/>
              </w:rPr>
            </w:pPr>
            <w:r>
              <w:rPr>
                <w:rFonts w:hint="eastAsia" w:ascii="华文楷体" w:hAnsi="华文楷体" w:eastAsia="华文楷体"/>
                <w:sz w:val="22"/>
                <w:szCs w:val="22"/>
              </w:rPr>
              <w:t xml:space="preserve">□特定对象调研        </w:t>
            </w:r>
            <w:r>
              <w:rPr>
                <w:rFonts w:hint="eastAsia" w:ascii="华文楷体" w:hAnsi="华文楷体" w:eastAsia="华文楷体"/>
                <w:bCs/>
                <w:iCs/>
                <w:color w:val="000000"/>
                <w:sz w:val="22"/>
                <w:szCs w:val="22"/>
              </w:rPr>
              <w:t>□</w:t>
            </w:r>
            <w:r>
              <w:rPr>
                <w:rFonts w:hint="eastAsia" w:ascii="华文楷体" w:hAnsi="华文楷体" w:eastAsia="华文楷体"/>
                <w:sz w:val="22"/>
                <w:szCs w:val="22"/>
              </w:rPr>
              <w:t>分析师会议</w:t>
            </w:r>
          </w:p>
          <w:p w14:paraId="2E9C120D">
            <w:pPr>
              <w:snapToGrid w:val="0"/>
              <w:spacing w:line="360" w:lineRule="auto"/>
              <w:rPr>
                <w:rFonts w:ascii="华文楷体" w:hAnsi="华文楷体" w:eastAsia="华文楷体"/>
                <w:bCs/>
                <w:iCs/>
                <w:color w:val="000000"/>
                <w:sz w:val="22"/>
                <w:szCs w:val="22"/>
              </w:rPr>
            </w:pPr>
            <w:r>
              <w:rPr>
                <w:rFonts w:hint="eastAsia" w:ascii="华文楷体" w:hAnsi="华文楷体" w:eastAsia="华文楷体"/>
                <w:bCs/>
                <w:iCs/>
                <w:color w:val="000000"/>
                <w:sz w:val="22"/>
                <w:szCs w:val="22"/>
              </w:rPr>
              <w:t>□</w:t>
            </w:r>
            <w:r>
              <w:rPr>
                <w:rFonts w:hint="eastAsia" w:ascii="华文楷体" w:hAnsi="华文楷体" w:eastAsia="华文楷体"/>
                <w:sz w:val="22"/>
                <w:szCs w:val="22"/>
              </w:rPr>
              <w:t xml:space="preserve">媒体采访            </w:t>
            </w:r>
            <w:r>
              <w:rPr>
                <w:rFonts w:hint="eastAsia" w:ascii="华文楷体" w:hAnsi="华文楷体" w:eastAsia="华文楷体"/>
                <w:bCs/>
                <w:iCs/>
                <w:color w:val="000000"/>
                <w:sz w:val="22"/>
                <w:szCs w:val="22"/>
              </w:rPr>
              <w:t>□</w:t>
            </w:r>
            <w:r>
              <w:rPr>
                <w:rFonts w:hint="eastAsia" w:ascii="华文楷体" w:hAnsi="华文楷体" w:eastAsia="华文楷体"/>
                <w:sz w:val="22"/>
                <w:szCs w:val="22"/>
              </w:rPr>
              <w:t>业绩说明会</w:t>
            </w:r>
          </w:p>
          <w:p w14:paraId="346D3CF0">
            <w:pPr>
              <w:snapToGrid w:val="0"/>
              <w:spacing w:line="360" w:lineRule="auto"/>
              <w:rPr>
                <w:rFonts w:ascii="华文楷体" w:hAnsi="华文楷体" w:eastAsia="华文楷体"/>
                <w:bCs/>
                <w:iCs/>
                <w:color w:val="000000"/>
                <w:sz w:val="22"/>
                <w:szCs w:val="22"/>
              </w:rPr>
            </w:pPr>
            <w:r>
              <w:rPr>
                <w:rFonts w:hint="eastAsia" w:ascii="华文楷体" w:hAnsi="华文楷体" w:eastAsia="华文楷体"/>
                <w:bCs/>
                <w:iCs/>
                <w:color w:val="000000"/>
                <w:sz w:val="22"/>
                <w:szCs w:val="22"/>
              </w:rPr>
              <w:t>□</w:t>
            </w:r>
            <w:r>
              <w:rPr>
                <w:rFonts w:hint="eastAsia" w:ascii="华文楷体" w:hAnsi="华文楷体" w:eastAsia="华文楷体"/>
                <w:sz w:val="22"/>
                <w:szCs w:val="22"/>
              </w:rPr>
              <w:t xml:space="preserve">新闻发布会          </w:t>
            </w:r>
            <w:r>
              <w:rPr>
                <w:rFonts w:hint="eastAsia" w:ascii="华文楷体" w:hAnsi="华文楷体" w:eastAsia="华文楷体"/>
                <w:bCs/>
                <w:iCs/>
                <w:color w:val="000000"/>
                <w:sz w:val="22"/>
                <w:szCs w:val="22"/>
              </w:rPr>
              <w:t>√</w:t>
            </w:r>
            <w:r>
              <w:rPr>
                <w:rFonts w:hint="eastAsia" w:ascii="华文楷体" w:hAnsi="华文楷体" w:eastAsia="华文楷体"/>
                <w:sz w:val="22"/>
                <w:szCs w:val="22"/>
              </w:rPr>
              <w:t>路演活动</w:t>
            </w:r>
          </w:p>
          <w:p w14:paraId="4BF45D54">
            <w:pPr>
              <w:tabs>
                <w:tab w:val="center" w:pos="3199"/>
              </w:tabs>
              <w:snapToGrid w:val="0"/>
              <w:spacing w:line="360" w:lineRule="auto"/>
              <w:rPr>
                <w:rFonts w:ascii="华文楷体" w:hAnsi="华文楷体" w:eastAsia="华文楷体"/>
                <w:bCs/>
                <w:iCs/>
                <w:color w:val="000000"/>
                <w:sz w:val="22"/>
                <w:szCs w:val="22"/>
                <w:u w:val="single"/>
              </w:rPr>
            </w:pPr>
            <w:r>
              <w:rPr>
                <w:rFonts w:hint="eastAsia" w:ascii="华文楷体" w:hAnsi="华文楷体" w:eastAsia="华文楷体"/>
                <w:bCs/>
                <w:iCs/>
                <w:color w:val="000000"/>
                <w:sz w:val="22"/>
                <w:szCs w:val="22"/>
              </w:rPr>
              <w:t>□</w:t>
            </w:r>
            <w:r>
              <w:rPr>
                <w:rFonts w:hint="eastAsia" w:ascii="华文楷体" w:hAnsi="华文楷体" w:eastAsia="华文楷体"/>
                <w:sz w:val="22"/>
                <w:szCs w:val="22"/>
              </w:rPr>
              <w:t xml:space="preserve">现场参观 </w:t>
            </w:r>
            <w:r>
              <w:rPr>
                <w:rFonts w:ascii="华文楷体" w:hAnsi="华文楷体" w:eastAsia="华文楷体"/>
                <w:sz w:val="22"/>
                <w:szCs w:val="22"/>
              </w:rPr>
              <w:t xml:space="preserve">           </w:t>
            </w:r>
            <w:r>
              <w:rPr>
                <w:rFonts w:hint="eastAsia" w:ascii="华文楷体" w:hAnsi="华文楷体" w:eastAsia="华文楷体"/>
                <w:bCs/>
                <w:iCs/>
                <w:color w:val="000000"/>
                <w:sz w:val="22"/>
                <w:szCs w:val="22"/>
              </w:rPr>
              <w:t>□</w:t>
            </w:r>
            <w:r>
              <w:rPr>
                <w:rFonts w:hint="eastAsia" w:ascii="华文楷体" w:hAnsi="华文楷体" w:eastAsia="华文楷体"/>
                <w:sz w:val="22"/>
                <w:szCs w:val="22"/>
              </w:rPr>
              <w:t>其他</w:t>
            </w:r>
          </w:p>
        </w:tc>
      </w:tr>
      <w:tr w14:paraId="63F41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trPr>
        <w:tc>
          <w:tcPr>
            <w:tcW w:w="847" w:type="pct"/>
            <w:tcBorders>
              <w:top w:val="single" w:color="auto" w:sz="4" w:space="0"/>
              <w:left w:val="single" w:color="auto" w:sz="4" w:space="0"/>
              <w:bottom w:val="single" w:color="auto" w:sz="4" w:space="0"/>
              <w:right w:val="single" w:color="auto" w:sz="4" w:space="0"/>
            </w:tcBorders>
            <w:vAlign w:val="center"/>
          </w:tcPr>
          <w:p w14:paraId="5F697663">
            <w:pPr>
              <w:snapToGrid w:val="0"/>
              <w:spacing w:line="360" w:lineRule="auto"/>
              <w:jc w:val="center"/>
              <w:rPr>
                <w:rFonts w:ascii="华文楷体" w:hAnsi="华文楷体" w:eastAsia="华文楷体"/>
                <w:b/>
                <w:bCs/>
                <w:iCs/>
                <w:color w:val="000000"/>
                <w:sz w:val="22"/>
                <w:szCs w:val="22"/>
              </w:rPr>
            </w:pPr>
            <w:r>
              <w:rPr>
                <w:rFonts w:hint="eastAsia" w:ascii="华文楷体" w:hAnsi="华文楷体" w:eastAsia="华文楷体"/>
                <w:b/>
                <w:bCs/>
                <w:iCs/>
                <w:color w:val="000000"/>
                <w:sz w:val="22"/>
                <w:szCs w:val="22"/>
              </w:rPr>
              <w:t>参与单位名称</w:t>
            </w:r>
          </w:p>
        </w:tc>
        <w:tc>
          <w:tcPr>
            <w:tcW w:w="4153" w:type="pct"/>
            <w:tcBorders>
              <w:top w:val="single" w:color="auto" w:sz="4" w:space="0"/>
              <w:left w:val="single" w:color="auto" w:sz="4" w:space="0"/>
              <w:bottom w:val="single" w:color="auto" w:sz="4" w:space="0"/>
              <w:right w:val="single" w:color="auto" w:sz="4" w:space="0"/>
            </w:tcBorders>
            <w:vAlign w:val="center"/>
          </w:tcPr>
          <w:p w14:paraId="60F9F463">
            <w:pPr>
              <w:snapToGrid w:val="0"/>
              <w:rPr>
                <w:rFonts w:ascii="华文楷体" w:hAnsi="华文楷体" w:eastAsia="华文楷体"/>
                <w:bCs/>
                <w:iCs/>
                <w:color w:val="0D0D0D" w:themeColor="text1" w:themeTint="F2"/>
                <w:sz w:val="22"/>
                <w:szCs w:val="22"/>
                <w14:textFill>
                  <w14:solidFill>
                    <w14:schemeClr w14:val="tx1">
                      <w14:lumMod w14:val="95000"/>
                      <w14:lumOff w14:val="5000"/>
                    </w14:schemeClr>
                  </w14:solidFill>
                </w14:textFill>
              </w:rPr>
            </w:pPr>
            <w:r>
              <w:rPr>
                <w:rFonts w:ascii="华文楷体" w:hAnsi="华文楷体" w:eastAsia="华文楷体"/>
                <w:bCs/>
                <w:iCs/>
                <w:color w:val="0D0D0D" w:themeColor="text1" w:themeTint="F2"/>
                <w:sz w:val="22"/>
                <w:szCs w:val="22"/>
                <w14:textFill>
                  <w14:solidFill>
                    <w14:schemeClr w14:val="tx1">
                      <w14:lumMod w14:val="95000"/>
                      <w14:lumOff w14:val="5000"/>
                    </w14:schemeClr>
                  </w14:solidFill>
                </w14:textFill>
              </w:rPr>
              <w:t>鸿运私募基金</w:t>
            </w:r>
            <w:r>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t>、</w:t>
            </w:r>
            <w:r>
              <w:rPr>
                <w:rFonts w:ascii="华文楷体" w:hAnsi="华文楷体" w:eastAsia="华文楷体"/>
                <w:bCs/>
                <w:iCs/>
                <w:color w:val="0D0D0D" w:themeColor="text1" w:themeTint="F2"/>
                <w:sz w:val="22"/>
                <w:szCs w:val="22"/>
                <w14:textFill>
                  <w14:solidFill>
                    <w14:schemeClr w14:val="tx1">
                      <w14:lumMod w14:val="95000"/>
                      <w14:lumOff w14:val="5000"/>
                    </w14:schemeClr>
                  </w14:solidFill>
                </w14:textFill>
              </w:rPr>
              <w:t>华宝基金</w:t>
            </w:r>
            <w:r>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t>、</w:t>
            </w:r>
            <w:r>
              <w:rPr>
                <w:rFonts w:ascii="华文楷体" w:hAnsi="华文楷体" w:eastAsia="华文楷体"/>
                <w:bCs/>
                <w:iCs/>
                <w:color w:val="0D0D0D" w:themeColor="text1" w:themeTint="F2"/>
                <w:sz w:val="22"/>
                <w:szCs w:val="22"/>
                <w14:textFill>
                  <w14:solidFill>
                    <w14:schemeClr w14:val="tx1">
                      <w14:lumMod w14:val="95000"/>
                      <w14:lumOff w14:val="5000"/>
                    </w14:schemeClr>
                  </w14:solidFill>
                </w14:textFill>
              </w:rPr>
              <w:t>圆信永丰基金</w:t>
            </w:r>
            <w:r>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t>、</w:t>
            </w:r>
            <w:r>
              <w:rPr>
                <w:rFonts w:ascii="华文楷体" w:hAnsi="华文楷体" w:eastAsia="华文楷体"/>
                <w:bCs/>
                <w:iCs/>
                <w:color w:val="0D0D0D" w:themeColor="text1" w:themeTint="F2"/>
                <w:sz w:val="22"/>
                <w:szCs w:val="22"/>
                <w14:textFill>
                  <w14:solidFill>
                    <w14:schemeClr w14:val="tx1">
                      <w14:lumMod w14:val="95000"/>
                      <w14:lumOff w14:val="5000"/>
                    </w14:schemeClr>
                  </w14:solidFill>
                </w14:textFill>
              </w:rPr>
              <w:t>新华基金</w:t>
            </w:r>
            <w:r>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t>、</w:t>
            </w:r>
            <w:r>
              <w:rPr>
                <w:rFonts w:ascii="华文楷体" w:hAnsi="华文楷体" w:eastAsia="华文楷体"/>
                <w:bCs/>
                <w:iCs/>
                <w:color w:val="0D0D0D" w:themeColor="text1" w:themeTint="F2"/>
                <w:sz w:val="22"/>
                <w:szCs w:val="22"/>
                <w14:textFill>
                  <w14:solidFill>
                    <w14:schemeClr w14:val="tx1">
                      <w14:lumMod w14:val="95000"/>
                      <w14:lumOff w14:val="5000"/>
                    </w14:schemeClr>
                  </w14:solidFill>
                </w14:textFill>
              </w:rPr>
              <w:t>银河基金</w:t>
            </w:r>
            <w:r>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t>、</w:t>
            </w:r>
            <w:r>
              <w:rPr>
                <w:rFonts w:ascii="华文楷体" w:hAnsi="华文楷体" w:eastAsia="华文楷体"/>
                <w:bCs/>
                <w:iCs/>
                <w:color w:val="0D0D0D" w:themeColor="text1" w:themeTint="F2"/>
                <w:sz w:val="22"/>
                <w:szCs w:val="22"/>
                <w14:textFill>
                  <w14:solidFill>
                    <w14:schemeClr w14:val="tx1">
                      <w14:lumMod w14:val="95000"/>
                      <w14:lumOff w14:val="5000"/>
                    </w14:schemeClr>
                  </w14:solidFill>
                </w14:textFill>
              </w:rPr>
              <w:t>景顺长城基金</w:t>
            </w:r>
            <w:r>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t>、</w:t>
            </w:r>
            <w:r>
              <w:rPr>
                <w:rFonts w:ascii="华文楷体" w:hAnsi="华文楷体" w:eastAsia="华文楷体"/>
                <w:bCs/>
                <w:iCs/>
                <w:color w:val="0D0D0D" w:themeColor="text1" w:themeTint="F2"/>
                <w:sz w:val="22"/>
                <w:szCs w:val="22"/>
                <w14:textFill>
                  <w14:solidFill>
                    <w14:schemeClr w14:val="tx1">
                      <w14:lumMod w14:val="95000"/>
                      <w14:lumOff w14:val="5000"/>
                    </w14:schemeClr>
                  </w14:solidFill>
                </w14:textFill>
              </w:rPr>
              <w:t>创金合信基金</w:t>
            </w:r>
            <w:r>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t>、</w:t>
            </w:r>
            <w:r>
              <w:rPr>
                <w:rFonts w:ascii="华文楷体" w:hAnsi="华文楷体" w:eastAsia="华文楷体"/>
                <w:bCs/>
                <w:iCs/>
                <w:color w:val="0D0D0D" w:themeColor="text1" w:themeTint="F2"/>
                <w:sz w:val="22"/>
                <w:szCs w:val="22"/>
                <w14:textFill>
                  <w14:solidFill>
                    <w14:schemeClr w14:val="tx1">
                      <w14:lumMod w14:val="95000"/>
                      <w14:lumOff w14:val="5000"/>
                    </w14:schemeClr>
                  </w14:solidFill>
                </w14:textFill>
              </w:rPr>
              <w:t>申万菱信基金</w:t>
            </w:r>
            <w:r>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t>、</w:t>
            </w:r>
            <w:r>
              <w:rPr>
                <w:rFonts w:ascii="华文楷体" w:hAnsi="华文楷体" w:eastAsia="华文楷体"/>
                <w:bCs/>
                <w:iCs/>
                <w:color w:val="0D0D0D" w:themeColor="text1" w:themeTint="F2"/>
                <w:sz w:val="22"/>
                <w:szCs w:val="22"/>
                <w14:textFill>
                  <w14:solidFill>
                    <w14:schemeClr w14:val="tx1">
                      <w14:lumMod w14:val="95000"/>
                      <w14:lumOff w14:val="5000"/>
                    </w14:schemeClr>
                  </w14:solidFill>
                </w14:textFill>
              </w:rPr>
              <w:t>鑫元基金</w:t>
            </w:r>
            <w:r>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t>、</w:t>
            </w:r>
            <w:r>
              <w:rPr>
                <w:rFonts w:ascii="华文楷体" w:hAnsi="华文楷体" w:eastAsia="华文楷体"/>
                <w:bCs/>
                <w:iCs/>
                <w:color w:val="0D0D0D" w:themeColor="text1" w:themeTint="F2"/>
                <w:sz w:val="22"/>
                <w:szCs w:val="22"/>
                <w14:textFill>
                  <w14:solidFill>
                    <w14:schemeClr w14:val="tx1">
                      <w14:lumMod w14:val="95000"/>
                      <w14:lumOff w14:val="5000"/>
                    </w14:schemeClr>
                  </w14:solidFill>
                </w14:textFill>
              </w:rPr>
              <w:t>汇丰晋信基金</w:t>
            </w:r>
            <w:r>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t>、</w:t>
            </w:r>
            <w:r>
              <w:rPr>
                <w:rFonts w:ascii="华文楷体" w:hAnsi="华文楷体" w:eastAsia="华文楷体"/>
                <w:bCs/>
                <w:iCs/>
                <w:color w:val="0D0D0D" w:themeColor="text1" w:themeTint="F2"/>
                <w:sz w:val="22"/>
                <w:szCs w:val="22"/>
                <w14:textFill>
                  <w14:solidFill>
                    <w14:schemeClr w14:val="tx1">
                      <w14:lumMod w14:val="95000"/>
                      <w14:lumOff w14:val="5000"/>
                    </w14:schemeClr>
                  </w14:solidFill>
                </w14:textFill>
              </w:rPr>
              <w:t>中国人寿养老保险</w:t>
            </w:r>
            <w:r>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t>、</w:t>
            </w:r>
            <w:r>
              <w:rPr>
                <w:rFonts w:ascii="华文楷体" w:hAnsi="华文楷体" w:eastAsia="华文楷体"/>
                <w:bCs/>
                <w:iCs/>
                <w:color w:val="0D0D0D" w:themeColor="text1" w:themeTint="F2"/>
                <w:sz w:val="22"/>
                <w:szCs w:val="22"/>
                <w14:textFill>
                  <w14:solidFill>
                    <w14:schemeClr w14:val="tx1">
                      <w14:lumMod w14:val="95000"/>
                      <w14:lumOff w14:val="5000"/>
                    </w14:schemeClr>
                  </w14:solidFill>
                </w14:textFill>
              </w:rPr>
              <w:t>招商证券</w:t>
            </w:r>
            <w:r>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t>、</w:t>
            </w:r>
            <w:r>
              <w:rPr>
                <w:rFonts w:ascii="华文楷体" w:hAnsi="华文楷体" w:eastAsia="华文楷体"/>
                <w:bCs/>
                <w:iCs/>
                <w:color w:val="0D0D0D" w:themeColor="text1" w:themeTint="F2"/>
                <w:sz w:val="22"/>
                <w:szCs w:val="22"/>
                <w14:textFill>
                  <w14:solidFill>
                    <w14:schemeClr w14:val="tx1">
                      <w14:lumMod w14:val="95000"/>
                      <w14:lumOff w14:val="5000"/>
                    </w14:schemeClr>
                  </w14:solidFill>
                </w14:textFill>
              </w:rPr>
              <w:t>光大证券</w:t>
            </w:r>
            <w:r>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t>、</w:t>
            </w:r>
            <w:r>
              <w:rPr>
                <w:rFonts w:ascii="华文楷体" w:hAnsi="华文楷体" w:eastAsia="华文楷体"/>
                <w:bCs/>
                <w:iCs/>
                <w:color w:val="0D0D0D" w:themeColor="text1" w:themeTint="F2"/>
                <w:sz w:val="22"/>
                <w:szCs w:val="22"/>
                <w14:textFill>
                  <w14:solidFill>
                    <w14:schemeClr w14:val="tx1">
                      <w14:lumMod w14:val="95000"/>
                      <w14:lumOff w14:val="5000"/>
                    </w14:schemeClr>
                  </w14:solidFill>
                </w14:textFill>
              </w:rPr>
              <w:t>平安证券</w:t>
            </w:r>
            <w:r>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t>、</w:t>
            </w:r>
            <w:r>
              <w:rPr>
                <w:rFonts w:ascii="华文楷体" w:hAnsi="华文楷体" w:eastAsia="华文楷体"/>
                <w:bCs/>
                <w:iCs/>
                <w:color w:val="0D0D0D" w:themeColor="text1" w:themeTint="F2"/>
                <w:sz w:val="22"/>
                <w:szCs w:val="22"/>
                <w14:textFill>
                  <w14:solidFill>
                    <w14:schemeClr w14:val="tx1">
                      <w14:lumMod w14:val="95000"/>
                      <w14:lumOff w14:val="5000"/>
                    </w14:schemeClr>
                  </w14:solidFill>
                </w14:textFill>
              </w:rPr>
              <w:t>中信证券</w:t>
            </w:r>
            <w:r>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t>、</w:t>
            </w:r>
            <w:r>
              <w:rPr>
                <w:rFonts w:ascii="华文楷体" w:hAnsi="华文楷体" w:eastAsia="华文楷体"/>
                <w:bCs/>
                <w:iCs/>
                <w:color w:val="0D0D0D" w:themeColor="text1" w:themeTint="F2"/>
                <w:sz w:val="22"/>
                <w:szCs w:val="22"/>
                <w14:textFill>
                  <w14:solidFill>
                    <w14:schemeClr w14:val="tx1">
                      <w14:lumMod w14:val="95000"/>
                      <w14:lumOff w14:val="5000"/>
                    </w14:schemeClr>
                  </w14:solidFill>
                </w14:textFill>
              </w:rPr>
              <w:t>开源证券</w:t>
            </w:r>
            <w:r>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t>、</w:t>
            </w:r>
            <w:r>
              <w:rPr>
                <w:rFonts w:ascii="华文楷体" w:hAnsi="华文楷体" w:eastAsia="华文楷体"/>
                <w:bCs/>
                <w:iCs/>
                <w:color w:val="0D0D0D" w:themeColor="text1" w:themeTint="F2"/>
                <w:sz w:val="22"/>
                <w:szCs w:val="22"/>
                <w14:textFill>
                  <w14:solidFill>
                    <w14:schemeClr w14:val="tx1">
                      <w14:lumMod w14:val="95000"/>
                      <w14:lumOff w14:val="5000"/>
                    </w14:schemeClr>
                  </w14:solidFill>
                </w14:textFill>
              </w:rPr>
              <w:t>海通证券</w:t>
            </w:r>
            <w:r>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t>、</w:t>
            </w:r>
            <w:r>
              <w:rPr>
                <w:rFonts w:ascii="华文楷体" w:hAnsi="华文楷体" w:eastAsia="华文楷体"/>
                <w:bCs/>
                <w:iCs/>
                <w:color w:val="0D0D0D" w:themeColor="text1" w:themeTint="F2"/>
                <w:sz w:val="22"/>
                <w:szCs w:val="22"/>
                <w14:textFill>
                  <w14:solidFill>
                    <w14:schemeClr w14:val="tx1">
                      <w14:lumMod w14:val="95000"/>
                      <w14:lumOff w14:val="5000"/>
                    </w14:schemeClr>
                  </w14:solidFill>
                </w14:textFill>
              </w:rPr>
              <w:t>海南佳岳私募基金</w:t>
            </w:r>
            <w:r>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t>、</w:t>
            </w:r>
            <w:r>
              <w:rPr>
                <w:rFonts w:ascii="华文楷体" w:hAnsi="华文楷体" w:eastAsia="华文楷体"/>
                <w:bCs/>
                <w:iCs/>
                <w:color w:val="0D0D0D" w:themeColor="text1" w:themeTint="F2"/>
                <w:sz w:val="22"/>
                <w:szCs w:val="22"/>
                <w14:textFill>
                  <w14:solidFill>
                    <w14:schemeClr w14:val="tx1">
                      <w14:lumMod w14:val="95000"/>
                      <w14:lumOff w14:val="5000"/>
                    </w14:schemeClr>
                  </w14:solidFill>
                </w14:textFill>
              </w:rPr>
              <w:t>青榕资产管理</w:t>
            </w:r>
            <w:r>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t>、</w:t>
            </w:r>
            <w:r>
              <w:rPr>
                <w:rFonts w:ascii="华文楷体" w:hAnsi="华文楷体" w:eastAsia="华文楷体"/>
                <w:bCs/>
                <w:iCs/>
                <w:color w:val="0D0D0D" w:themeColor="text1" w:themeTint="F2"/>
                <w:sz w:val="22"/>
                <w:szCs w:val="22"/>
                <w14:textFill>
                  <w14:solidFill>
                    <w14:schemeClr w14:val="tx1">
                      <w14:lumMod w14:val="95000"/>
                      <w14:lumOff w14:val="5000"/>
                    </w14:schemeClr>
                  </w14:solidFill>
                </w14:textFill>
              </w:rPr>
              <w:t>合众资产管理</w:t>
            </w:r>
            <w:r>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t>、</w:t>
            </w:r>
            <w:r>
              <w:rPr>
                <w:rFonts w:ascii="华文楷体" w:hAnsi="华文楷体" w:eastAsia="华文楷体"/>
                <w:bCs/>
                <w:iCs/>
                <w:color w:val="0D0D0D" w:themeColor="text1" w:themeTint="F2"/>
                <w:sz w:val="22"/>
                <w:szCs w:val="22"/>
                <w14:textFill>
                  <w14:solidFill>
                    <w14:schemeClr w14:val="tx1">
                      <w14:lumMod w14:val="95000"/>
                      <w14:lumOff w14:val="5000"/>
                    </w14:schemeClr>
                  </w14:solidFill>
                </w14:textFill>
              </w:rPr>
              <w:t>深圳市尚诚资产管理</w:t>
            </w:r>
            <w:r>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t>、</w:t>
            </w:r>
            <w:r>
              <w:rPr>
                <w:rFonts w:ascii="华文楷体" w:hAnsi="华文楷体" w:eastAsia="华文楷体"/>
                <w:bCs/>
                <w:iCs/>
                <w:color w:val="0D0D0D" w:themeColor="text1" w:themeTint="F2"/>
                <w:sz w:val="22"/>
                <w:szCs w:val="22"/>
                <w14:textFill>
                  <w14:solidFill>
                    <w14:schemeClr w14:val="tx1">
                      <w14:lumMod w14:val="95000"/>
                      <w14:lumOff w14:val="5000"/>
                    </w14:schemeClr>
                  </w14:solidFill>
                </w14:textFill>
              </w:rPr>
              <w:t>深圳市正德泰投资</w:t>
            </w:r>
            <w:r>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t>、</w:t>
            </w:r>
            <w:r>
              <w:rPr>
                <w:rFonts w:ascii="华文楷体" w:hAnsi="华文楷体" w:eastAsia="华文楷体"/>
                <w:bCs/>
                <w:iCs/>
                <w:color w:val="0D0D0D" w:themeColor="text1" w:themeTint="F2"/>
                <w:sz w:val="22"/>
                <w:szCs w:val="22"/>
                <w14:textFill>
                  <w14:solidFill>
                    <w14:schemeClr w14:val="tx1">
                      <w14:lumMod w14:val="95000"/>
                      <w14:lumOff w14:val="5000"/>
                    </w14:schemeClr>
                  </w14:solidFill>
                </w14:textFill>
              </w:rPr>
              <w:t>北京东方引擎投资</w:t>
            </w:r>
            <w:r>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t>、</w:t>
            </w:r>
            <w:r>
              <w:rPr>
                <w:rFonts w:ascii="华文楷体" w:hAnsi="华文楷体" w:eastAsia="华文楷体"/>
                <w:bCs/>
                <w:iCs/>
                <w:color w:val="0D0D0D" w:themeColor="text1" w:themeTint="F2"/>
                <w:sz w:val="22"/>
                <w:szCs w:val="22"/>
                <w14:textFill>
                  <w14:solidFill>
                    <w14:schemeClr w14:val="tx1">
                      <w14:lumMod w14:val="95000"/>
                      <w14:lumOff w14:val="5000"/>
                    </w14:schemeClr>
                  </w14:solidFill>
                </w14:textFill>
              </w:rPr>
              <w:t>浙江秘银投资</w:t>
            </w:r>
            <w:r>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t>、</w:t>
            </w:r>
            <w:r>
              <w:rPr>
                <w:rFonts w:ascii="华文楷体" w:hAnsi="华文楷体" w:eastAsia="华文楷体"/>
                <w:bCs/>
                <w:iCs/>
                <w:color w:val="0D0D0D" w:themeColor="text1" w:themeTint="F2"/>
                <w:sz w:val="22"/>
                <w:szCs w:val="22"/>
                <w14:textFill>
                  <w14:solidFill>
                    <w14:schemeClr w14:val="tx1">
                      <w14:lumMod w14:val="95000"/>
                      <w14:lumOff w14:val="5000"/>
                    </w14:schemeClr>
                  </w14:solidFill>
                </w14:textFill>
              </w:rPr>
              <w:t>上海洛书投资</w:t>
            </w:r>
            <w:r>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t>、</w:t>
            </w:r>
            <w:r>
              <w:rPr>
                <w:rFonts w:ascii="华文楷体" w:hAnsi="华文楷体" w:eastAsia="华文楷体"/>
                <w:bCs/>
                <w:iCs/>
                <w:color w:val="0D0D0D" w:themeColor="text1" w:themeTint="F2"/>
                <w:sz w:val="22"/>
                <w:szCs w:val="22"/>
                <w14:textFill>
                  <w14:solidFill>
                    <w14:schemeClr w14:val="tx1">
                      <w14:lumMod w14:val="95000"/>
                      <w14:lumOff w14:val="5000"/>
                    </w14:schemeClr>
                  </w14:solidFill>
                </w14:textFill>
              </w:rPr>
              <w:t>长江</w:t>
            </w:r>
            <w:r>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t>证券</w:t>
            </w:r>
          </w:p>
        </w:tc>
      </w:tr>
      <w:tr w14:paraId="543A4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847" w:type="pct"/>
            <w:tcBorders>
              <w:top w:val="single" w:color="auto" w:sz="4" w:space="0"/>
              <w:left w:val="single" w:color="auto" w:sz="4" w:space="0"/>
              <w:bottom w:val="single" w:color="auto" w:sz="4" w:space="0"/>
              <w:right w:val="single" w:color="auto" w:sz="4" w:space="0"/>
            </w:tcBorders>
            <w:vAlign w:val="center"/>
          </w:tcPr>
          <w:p w14:paraId="27190669">
            <w:pPr>
              <w:snapToGrid w:val="0"/>
              <w:spacing w:line="360" w:lineRule="auto"/>
              <w:jc w:val="center"/>
              <w:rPr>
                <w:rFonts w:ascii="华文楷体" w:hAnsi="华文楷体" w:eastAsia="华文楷体"/>
                <w:b/>
                <w:bCs/>
                <w:iCs/>
                <w:color w:val="000000"/>
                <w:sz w:val="22"/>
                <w:szCs w:val="22"/>
              </w:rPr>
            </w:pPr>
            <w:r>
              <w:rPr>
                <w:rFonts w:hint="eastAsia" w:ascii="华文楷体" w:hAnsi="华文楷体" w:eastAsia="华文楷体"/>
                <w:b/>
                <w:bCs/>
                <w:iCs/>
                <w:color w:val="000000"/>
                <w:sz w:val="22"/>
                <w:szCs w:val="22"/>
              </w:rPr>
              <w:t>时间</w:t>
            </w:r>
          </w:p>
        </w:tc>
        <w:tc>
          <w:tcPr>
            <w:tcW w:w="4153" w:type="pct"/>
            <w:tcBorders>
              <w:top w:val="single" w:color="auto" w:sz="4" w:space="0"/>
              <w:left w:val="single" w:color="auto" w:sz="4" w:space="0"/>
              <w:bottom w:val="single" w:color="auto" w:sz="4" w:space="0"/>
              <w:right w:val="single" w:color="auto" w:sz="4" w:space="0"/>
            </w:tcBorders>
          </w:tcPr>
          <w:p w14:paraId="0617A5A4">
            <w:pPr>
              <w:rPr>
                <w:rFonts w:ascii="华文楷体" w:hAnsi="华文楷体" w:eastAsia="华文楷体"/>
                <w:bCs/>
                <w:iCs/>
                <w:color w:val="000000"/>
                <w:sz w:val="22"/>
                <w:szCs w:val="22"/>
              </w:rPr>
            </w:pPr>
            <w:r>
              <w:rPr>
                <w:rFonts w:hint="eastAsia" w:ascii="华文楷体" w:hAnsi="华文楷体" w:eastAsia="华文楷体"/>
                <w:bCs/>
                <w:iCs/>
                <w:color w:val="000000"/>
                <w:sz w:val="22"/>
                <w:szCs w:val="22"/>
              </w:rPr>
              <w:t>202</w:t>
            </w:r>
            <w:r>
              <w:rPr>
                <w:rFonts w:ascii="华文楷体" w:hAnsi="华文楷体" w:eastAsia="华文楷体"/>
                <w:bCs/>
                <w:iCs/>
                <w:color w:val="000000"/>
                <w:sz w:val="22"/>
                <w:szCs w:val="22"/>
              </w:rPr>
              <w:t>6</w:t>
            </w:r>
            <w:r>
              <w:rPr>
                <w:rFonts w:hint="eastAsia" w:ascii="华文楷体" w:hAnsi="华文楷体" w:eastAsia="华文楷体"/>
                <w:bCs/>
                <w:iCs/>
                <w:color w:val="000000"/>
                <w:sz w:val="22"/>
                <w:szCs w:val="22"/>
              </w:rPr>
              <w:t>年8月20日15：0</w:t>
            </w:r>
            <w:r>
              <w:rPr>
                <w:rFonts w:ascii="华文楷体" w:hAnsi="华文楷体" w:eastAsia="华文楷体"/>
                <w:bCs/>
                <w:iCs/>
                <w:color w:val="000000"/>
                <w:sz w:val="22"/>
                <w:szCs w:val="22"/>
              </w:rPr>
              <w:t>0-</w:t>
            </w:r>
            <w:r>
              <w:rPr>
                <w:rFonts w:hint="eastAsia" w:ascii="华文楷体" w:hAnsi="华文楷体" w:eastAsia="华文楷体"/>
                <w:bCs/>
                <w:iCs/>
                <w:color w:val="000000"/>
                <w:sz w:val="22"/>
                <w:szCs w:val="22"/>
              </w:rPr>
              <w:t>1</w:t>
            </w:r>
            <w:r>
              <w:rPr>
                <w:rFonts w:ascii="华文楷体" w:hAnsi="华文楷体" w:eastAsia="华文楷体"/>
                <w:bCs/>
                <w:iCs/>
                <w:color w:val="000000"/>
                <w:sz w:val="22"/>
                <w:szCs w:val="22"/>
              </w:rPr>
              <w:t>6</w:t>
            </w:r>
            <w:r>
              <w:rPr>
                <w:rFonts w:hint="eastAsia" w:ascii="华文楷体" w:hAnsi="华文楷体" w:eastAsia="华文楷体"/>
                <w:bCs/>
                <w:iCs/>
                <w:color w:val="000000"/>
                <w:sz w:val="22"/>
                <w:szCs w:val="22"/>
              </w:rPr>
              <w:t>：</w:t>
            </w:r>
            <w:r>
              <w:rPr>
                <w:rFonts w:ascii="华文楷体" w:hAnsi="华文楷体" w:eastAsia="华文楷体"/>
                <w:bCs/>
                <w:iCs/>
                <w:color w:val="000000"/>
                <w:sz w:val="22"/>
                <w:szCs w:val="22"/>
              </w:rPr>
              <w:t>00</w:t>
            </w:r>
          </w:p>
        </w:tc>
      </w:tr>
      <w:tr w14:paraId="4AA0F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847" w:type="pct"/>
            <w:tcBorders>
              <w:top w:val="single" w:color="auto" w:sz="4" w:space="0"/>
              <w:left w:val="single" w:color="auto" w:sz="4" w:space="0"/>
              <w:bottom w:val="single" w:color="auto" w:sz="4" w:space="0"/>
              <w:right w:val="single" w:color="auto" w:sz="4" w:space="0"/>
            </w:tcBorders>
            <w:vAlign w:val="center"/>
          </w:tcPr>
          <w:p w14:paraId="59CCF403">
            <w:pPr>
              <w:snapToGrid w:val="0"/>
              <w:spacing w:line="360" w:lineRule="auto"/>
              <w:jc w:val="center"/>
              <w:rPr>
                <w:rFonts w:ascii="华文楷体" w:hAnsi="华文楷体" w:eastAsia="华文楷体"/>
                <w:b/>
                <w:bCs/>
                <w:iCs/>
                <w:color w:val="000000"/>
                <w:sz w:val="22"/>
                <w:szCs w:val="22"/>
              </w:rPr>
            </w:pPr>
            <w:r>
              <w:rPr>
                <w:rFonts w:hint="eastAsia" w:ascii="华文楷体" w:hAnsi="华文楷体" w:eastAsia="华文楷体"/>
                <w:b/>
                <w:bCs/>
                <w:iCs/>
                <w:color w:val="000000"/>
                <w:sz w:val="22"/>
                <w:szCs w:val="22"/>
              </w:rPr>
              <w:t>地点</w:t>
            </w:r>
          </w:p>
        </w:tc>
        <w:tc>
          <w:tcPr>
            <w:tcW w:w="4153" w:type="pct"/>
            <w:tcBorders>
              <w:top w:val="single" w:color="auto" w:sz="4" w:space="0"/>
              <w:left w:val="single" w:color="auto" w:sz="4" w:space="0"/>
              <w:bottom w:val="single" w:color="auto" w:sz="4" w:space="0"/>
              <w:right w:val="single" w:color="auto" w:sz="4" w:space="0"/>
            </w:tcBorders>
          </w:tcPr>
          <w:p w14:paraId="26BA0D67">
            <w:pPr>
              <w:spacing w:line="360" w:lineRule="auto"/>
              <w:rPr>
                <w:rFonts w:ascii="华文楷体" w:hAnsi="华文楷体" w:eastAsia="华文楷体"/>
                <w:bCs/>
                <w:iCs/>
                <w:color w:val="000000"/>
                <w:sz w:val="22"/>
                <w:szCs w:val="22"/>
              </w:rPr>
            </w:pPr>
            <w:r>
              <w:rPr>
                <w:rFonts w:hint="eastAsia" w:ascii="华文楷体" w:hAnsi="华文楷体" w:eastAsia="华文楷体"/>
                <w:bCs/>
                <w:iCs/>
                <w:color w:val="000000"/>
                <w:kern w:val="0"/>
                <w:sz w:val="22"/>
                <w:szCs w:val="22"/>
              </w:rPr>
              <w:t>线上会议</w:t>
            </w:r>
          </w:p>
        </w:tc>
      </w:tr>
      <w:tr w14:paraId="6BFE1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847" w:type="pct"/>
            <w:tcBorders>
              <w:top w:val="single" w:color="auto" w:sz="4" w:space="0"/>
              <w:left w:val="single" w:color="auto" w:sz="4" w:space="0"/>
              <w:bottom w:val="single" w:color="auto" w:sz="4" w:space="0"/>
              <w:right w:val="single" w:color="auto" w:sz="4" w:space="0"/>
            </w:tcBorders>
            <w:vAlign w:val="center"/>
          </w:tcPr>
          <w:p w14:paraId="0B4D7A16">
            <w:pPr>
              <w:snapToGrid w:val="0"/>
              <w:jc w:val="center"/>
              <w:rPr>
                <w:rFonts w:ascii="华文楷体" w:hAnsi="华文楷体" w:eastAsia="华文楷体"/>
                <w:b/>
                <w:bCs/>
                <w:iCs/>
                <w:color w:val="000000"/>
                <w:sz w:val="22"/>
                <w:szCs w:val="22"/>
              </w:rPr>
            </w:pPr>
            <w:r>
              <w:rPr>
                <w:rFonts w:hint="eastAsia" w:ascii="华文楷体" w:hAnsi="华文楷体" w:eastAsia="华文楷体"/>
                <w:b/>
                <w:bCs/>
                <w:iCs/>
                <w:color w:val="000000"/>
                <w:sz w:val="22"/>
                <w:szCs w:val="22"/>
              </w:rPr>
              <w:t>上市公司</w:t>
            </w:r>
          </w:p>
          <w:p w14:paraId="7D79ED4C">
            <w:pPr>
              <w:snapToGrid w:val="0"/>
              <w:jc w:val="center"/>
              <w:rPr>
                <w:rFonts w:ascii="华文楷体" w:hAnsi="华文楷体" w:eastAsia="华文楷体"/>
                <w:b/>
                <w:bCs/>
                <w:iCs/>
                <w:color w:val="000000"/>
                <w:sz w:val="22"/>
                <w:szCs w:val="22"/>
              </w:rPr>
            </w:pPr>
            <w:r>
              <w:rPr>
                <w:rFonts w:hint="eastAsia" w:ascii="华文楷体" w:hAnsi="华文楷体" w:eastAsia="华文楷体"/>
                <w:b/>
                <w:bCs/>
                <w:iCs/>
                <w:color w:val="000000"/>
                <w:sz w:val="22"/>
                <w:szCs w:val="22"/>
              </w:rPr>
              <w:t>接待人员姓名</w:t>
            </w:r>
          </w:p>
        </w:tc>
        <w:tc>
          <w:tcPr>
            <w:tcW w:w="4153" w:type="pct"/>
            <w:tcBorders>
              <w:top w:val="single" w:color="auto" w:sz="4" w:space="0"/>
              <w:left w:val="single" w:color="auto" w:sz="4" w:space="0"/>
              <w:bottom w:val="single" w:color="auto" w:sz="4" w:space="0"/>
              <w:right w:val="single" w:color="auto" w:sz="4" w:space="0"/>
            </w:tcBorders>
            <w:vAlign w:val="center"/>
          </w:tcPr>
          <w:p w14:paraId="23C64189">
            <w:pPr>
              <w:snapToGrid w:val="0"/>
              <w:spacing w:before="62" w:beforeLines="20" w:line="312" w:lineRule="auto"/>
              <w:rPr>
                <w:rFonts w:ascii="华文楷体" w:hAnsi="华文楷体" w:eastAsia="华文楷体"/>
                <w:bCs/>
                <w:iCs/>
                <w:sz w:val="22"/>
                <w:szCs w:val="22"/>
              </w:rPr>
            </w:pPr>
            <w:r>
              <w:rPr>
                <w:rFonts w:hint="eastAsia" w:ascii="华文楷体" w:hAnsi="华文楷体" w:eastAsia="华文楷体"/>
                <w:bCs/>
                <w:iCs/>
                <w:sz w:val="22"/>
                <w:szCs w:val="22"/>
              </w:rPr>
              <w:t>副董事长：范小平</w:t>
            </w:r>
          </w:p>
          <w:p w14:paraId="0A3DF35D">
            <w:pPr>
              <w:snapToGrid w:val="0"/>
              <w:spacing w:before="62" w:beforeLines="20" w:line="312" w:lineRule="auto"/>
              <w:rPr>
                <w:rFonts w:ascii="华文楷体" w:hAnsi="华文楷体" w:eastAsia="华文楷体"/>
                <w:bCs/>
                <w:iCs/>
                <w:sz w:val="22"/>
                <w:szCs w:val="22"/>
              </w:rPr>
            </w:pPr>
            <w:r>
              <w:rPr>
                <w:rFonts w:hint="eastAsia" w:ascii="华文楷体" w:hAnsi="华文楷体" w:eastAsia="华文楷体"/>
                <w:bCs/>
                <w:iCs/>
                <w:sz w:val="22"/>
                <w:szCs w:val="22"/>
              </w:rPr>
              <w:t>董事、常务副总经理兼董事会秘书：梁韵湘</w:t>
            </w:r>
          </w:p>
          <w:p w14:paraId="49917338">
            <w:pPr>
              <w:snapToGrid w:val="0"/>
              <w:spacing w:before="62" w:beforeLines="20" w:line="312" w:lineRule="auto"/>
              <w:rPr>
                <w:rFonts w:hint="eastAsia" w:ascii="华文楷体" w:hAnsi="华文楷体" w:eastAsia="华文楷体"/>
                <w:bCs/>
                <w:iCs/>
                <w:sz w:val="22"/>
                <w:szCs w:val="22"/>
              </w:rPr>
            </w:pPr>
            <w:r>
              <w:rPr>
                <w:rFonts w:hint="eastAsia" w:ascii="华文楷体" w:hAnsi="华文楷体" w:eastAsia="华文楷体"/>
                <w:bCs/>
                <w:iCs/>
                <w:sz w:val="22"/>
                <w:szCs w:val="22"/>
              </w:rPr>
              <w:t>证券投资部经理：唐谱</w:t>
            </w:r>
          </w:p>
          <w:p w14:paraId="5FF09083">
            <w:pPr>
              <w:snapToGrid w:val="0"/>
              <w:spacing w:before="62" w:beforeLines="20" w:line="312" w:lineRule="auto"/>
              <w:rPr>
                <w:rFonts w:hint="eastAsia" w:ascii="华文楷体" w:hAnsi="华文楷体" w:eastAsia="华文楷体"/>
                <w:bCs/>
                <w:iCs/>
                <w:sz w:val="22"/>
                <w:szCs w:val="22"/>
              </w:rPr>
            </w:pPr>
            <w:r>
              <w:rPr>
                <w:rFonts w:hint="eastAsia" w:ascii="华文楷体" w:hAnsi="华文楷体" w:eastAsia="华文楷体"/>
                <w:bCs/>
                <w:iCs/>
                <w:sz w:val="22"/>
                <w:szCs w:val="22"/>
              </w:rPr>
              <w:t>证券事务代表：王海玉</w:t>
            </w:r>
          </w:p>
        </w:tc>
      </w:tr>
      <w:tr w14:paraId="76836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3" w:hRule="atLeast"/>
        </w:trPr>
        <w:tc>
          <w:tcPr>
            <w:tcW w:w="847" w:type="pct"/>
            <w:tcBorders>
              <w:top w:val="single" w:color="auto" w:sz="4" w:space="0"/>
              <w:left w:val="single" w:color="auto" w:sz="4" w:space="0"/>
              <w:bottom w:val="single" w:color="auto" w:sz="4" w:space="0"/>
              <w:right w:val="single" w:color="auto" w:sz="4" w:space="0"/>
            </w:tcBorders>
            <w:vAlign w:val="center"/>
          </w:tcPr>
          <w:p w14:paraId="75C8F3DF">
            <w:pPr>
              <w:spacing w:line="360" w:lineRule="auto"/>
              <w:jc w:val="center"/>
              <w:rPr>
                <w:rFonts w:ascii="华文楷体" w:hAnsi="华文楷体" w:eastAsia="华文楷体"/>
                <w:b/>
                <w:bCs/>
                <w:iCs/>
                <w:color w:val="000000"/>
                <w:sz w:val="22"/>
                <w:szCs w:val="22"/>
              </w:rPr>
            </w:pPr>
            <w:r>
              <w:rPr>
                <w:rFonts w:hint="eastAsia" w:ascii="华文楷体" w:hAnsi="华文楷体" w:eastAsia="华文楷体"/>
                <w:b/>
                <w:bCs/>
                <w:iCs/>
                <w:color w:val="000000"/>
                <w:sz w:val="22"/>
                <w:szCs w:val="22"/>
              </w:rPr>
              <w:t>投资者关系</w:t>
            </w:r>
          </w:p>
          <w:p w14:paraId="6D80E5C2">
            <w:pPr>
              <w:spacing w:line="360" w:lineRule="auto"/>
              <w:jc w:val="center"/>
              <w:rPr>
                <w:rFonts w:ascii="华文楷体" w:hAnsi="华文楷体" w:eastAsia="华文楷体"/>
                <w:b/>
                <w:bCs/>
                <w:iCs/>
                <w:color w:val="000000"/>
                <w:sz w:val="22"/>
                <w:szCs w:val="22"/>
              </w:rPr>
            </w:pPr>
            <w:r>
              <w:rPr>
                <w:rFonts w:hint="eastAsia" w:ascii="华文楷体" w:hAnsi="华文楷体" w:eastAsia="华文楷体"/>
                <w:b/>
                <w:bCs/>
                <w:iCs/>
                <w:color w:val="000000"/>
                <w:sz w:val="22"/>
                <w:szCs w:val="22"/>
              </w:rPr>
              <w:t>活动主要内容</w:t>
            </w:r>
          </w:p>
          <w:p w14:paraId="0E330A0E">
            <w:pPr>
              <w:spacing w:line="360" w:lineRule="auto"/>
              <w:jc w:val="center"/>
              <w:rPr>
                <w:rFonts w:ascii="华文楷体" w:hAnsi="华文楷体" w:eastAsia="华文楷体"/>
                <w:bCs/>
                <w:iCs/>
                <w:color w:val="000000"/>
                <w:sz w:val="22"/>
                <w:szCs w:val="22"/>
              </w:rPr>
            </w:pPr>
            <w:r>
              <w:rPr>
                <w:rFonts w:hint="eastAsia" w:ascii="华文楷体" w:hAnsi="华文楷体" w:eastAsia="华文楷体"/>
                <w:b/>
                <w:bCs/>
                <w:iCs/>
                <w:color w:val="000000"/>
                <w:sz w:val="22"/>
                <w:szCs w:val="22"/>
              </w:rPr>
              <w:t>介绍</w:t>
            </w:r>
          </w:p>
        </w:tc>
        <w:tc>
          <w:tcPr>
            <w:tcW w:w="4153" w:type="pct"/>
            <w:tcBorders>
              <w:top w:val="single" w:color="auto" w:sz="4" w:space="0"/>
              <w:left w:val="single" w:color="auto" w:sz="4" w:space="0"/>
              <w:bottom w:val="single" w:color="auto" w:sz="4" w:space="0"/>
              <w:right w:val="single" w:color="auto" w:sz="4" w:space="0"/>
            </w:tcBorders>
          </w:tcPr>
          <w:p w14:paraId="02A11DC7">
            <w:pPr>
              <w:shd w:val="clear"/>
              <w:spacing w:line="360" w:lineRule="auto"/>
              <w:ind w:firstLine="440" w:firstLineChars="200"/>
              <w:rPr>
                <w:rFonts w:ascii="华文楷体" w:hAnsi="华文楷体" w:eastAsia="华文楷体"/>
                <w:b/>
                <w:color w:val="0D0D0D" w:themeColor="text1" w:themeTint="F2"/>
                <w:sz w:val="22"/>
                <w:szCs w:val="22"/>
                <w14:textFill>
                  <w14:solidFill>
                    <w14:schemeClr w14:val="tx1">
                      <w14:lumMod w14:val="95000"/>
                      <w14:lumOff w14:val="5000"/>
                    </w14:schemeClr>
                  </w14:solidFill>
                </w14:textFill>
              </w:rPr>
            </w:pPr>
            <w:r>
              <w:rPr>
                <w:rFonts w:ascii="华文楷体" w:hAnsi="华文楷体" w:eastAsia="华文楷体"/>
                <w:b/>
                <w:color w:val="0D0D0D" w:themeColor="text1" w:themeTint="F2"/>
                <w:sz w:val="22"/>
                <w:szCs w:val="22"/>
                <w14:textFill>
                  <w14:solidFill>
                    <w14:schemeClr w14:val="tx1">
                      <w14:lumMod w14:val="95000"/>
                      <w14:lumOff w14:val="5000"/>
                    </w14:schemeClr>
                  </w14:solidFill>
                </w14:textFill>
              </w:rPr>
              <w:t>第</w:t>
            </w:r>
            <w:r>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t>一</w:t>
            </w:r>
            <w:r>
              <w:rPr>
                <w:rFonts w:ascii="华文楷体" w:hAnsi="华文楷体" w:eastAsia="华文楷体"/>
                <w:b/>
                <w:color w:val="0D0D0D" w:themeColor="text1" w:themeTint="F2"/>
                <w:sz w:val="22"/>
                <w:szCs w:val="22"/>
                <w14:textFill>
                  <w14:solidFill>
                    <w14:schemeClr w14:val="tx1">
                      <w14:lumMod w14:val="95000"/>
                      <w14:lumOff w14:val="5000"/>
                    </w14:schemeClr>
                  </w14:solidFill>
                </w14:textFill>
              </w:rPr>
              <w:t>环节</w:t>
            </w:r>
            <w:r>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t>：公司发展概况介绍</w:t>
            </w:r>
            <w:r>
              <w:rPr>
                <w:rFonts w:ascii="华文楷体" w:hAnsi="华文楷体" w:eastAsia="华文楷体"/>
                <w:b/>
                <w:color w:val="0D0D0D" w:themeColor="text1" w:themeTint="F2"/>
                <w:sz w:val="22"/>
                <w:szCs w:val="22"/>
                <w14:textFill>
                  <w14:solidFill>
                    <w14:schemeClr w14:val="tx1">
                      <w14:lumMod w14:val="95000"/>
                      <w14:lumOff w14:val="5000"/>
                    </w14:schemeClr>
                  </w14:solidFill>
                </w14:textFill>
              </w:rPr>
              <w:t xml:space="preserve"> </w:t>
            </w:r>
          </w:p>
          <w:p w14:paraId="2993146D">
            <w:pPr>
              <w:shd w:val="clear"/>
              <w:spacing w:line="360" w:lineRule="auto"/>
              <w:ind w:firstLine="440" w:firstLineChars="200"/>
              <w:rPr>
                <w:rFonts w:ascii="华文楷体" w:hAnsi="华文楷体" w:eastAsia="华文楷体"/>
                <w:b/>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Cs/>
                <w:color w:val="0D0D0D" w:themeColor="text1" w:themeTint="F2"/>
                <w:sz w:val="22"/>
                <w:szCs w:val="22"/>
                <w14:textFill>
                  <w14:solidFill>
                    <w14:schemeClr w14:val="tx1">
                      <w14:lumMod w14:val="95000"/>
                      <w14:lumOff w14:val="5000"/>
                    </w14:schemeClr>
                  </w14:solidFill>
                </w14:textFill>
              </w:rPr>
              <w:t>公司管理层介绍了公司的基本情况、经营情况及未来发展战略等。</w:t>
            </w:r>
          </w:p>
          <w:p w14:paraId="3080DBF0">
            <w:pPr>
              <w:spacing w:line="360" w:lineRule="auto"/>
              <w:ind w:firstLine="440" w:firstLineChars="200"/>
              <w:rPr>
                <w:rFonts w:ascii="华文楷体" w:hAnsi="华文楷体" w:eastAsia="华文楷体"/>
                <w:b/>
                <w:color w:val="0D0D0D" w:themeColor="text1" w:themeTint="F2"/>
                <w:sz w:val="22"/>
                <w:szCs w:val="22"/>
                <w14:textFill>
                  <w14:solidFill>
                    <w14:schemeClr w14:val="tx1">
                      <w14:lumMod w14:val="95000"/>
                      <w14:lumOff w14:val="5000"/>
                    </w14:schemeClr>
                  </w14:solidFill>
                </w14:textFill>
              </w:rPr>
            </w:pPr>
            <w:r>
              <w:rPr>
                <w:rFonts w:ascii="华文楷体" w:hAnsi="华文楷体" w:eastAsia="华文楷体"/>
                <w:b/>
                <w:color w:val="0D0D0D" w:themeColor="text1" w:themeTint="F2"/>
                <w:sz w:val="22"/>
                <w:szCs w:val="22"/>
                <w14:textFill>
                  <w14:solidFill>
                    <w14:schemeClr w14:val="tx1">
                      <w14:lumMod w14:val="95000"/>
                      <w14:lumOff w14:val="5000"/>
                    </w14:schemeClr>
                  </w14:solidFill>
                </w14:textFill>
              </w:rPr>
              <w:t>第</w:t>
            </w:r>
            <w:r>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t>二</w:t>
            </w:r>
            <w:r>
              <w:rPr>
                <w:rFonts w:ascii="华文楷体" w:hAnsi="华文楷体" w:eastAsia="华文楷体"/>
                <w:b/>
                <w:color w:val="0D0D0D" w:themeColor="text1" w:themeTint="F2"/>
                <w:sz w:val="22"/>
                <w:szCs w:val="22"/>
                <w14:textFill>
                  <w14:solidFill>
                    <w14:schemeClr w14:val="tx1">
                      <w14:lumMod w14:val="95000"/>
                      <w14:lumOff w14:val="5000"/>
                    </w14:schemeClr>
                  </w14:solidFill>
                </w14:textFill>
              </w:rPr>
              <w:t>环节</w:t>
            </w:r>
            <w:r>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t>：</w:t>
            </w:r>
            <w:r>
              <w:rPr>
                <w:rFonts w:ascii="华文楷体" w:hAnsi="华文楷体" w:eastAsia="华文楷体"/>
                <w:b/>
                <w:color w:val="0D0D0D" w:themeColor="text1" w:themeTint="F2"/>
                <w:sz w:val="22"/>
                <w:szCs w:val="22"/>
                <w14:textFill>
                  <w14:solidFill>
                    <w14:schemeClr w14:val="tx1">
                      <w14:lumMod w14:val="95000"/>
                      <w14:lumOff w14:val="5000"/>
                    </w14:schemeClr>
                  </w14:solidFill>
                </w14:textFill>
              </w:rPr>
              <w:t>问答环节</w:t>
            </w:r>
          </w:p>
          <w:p w14:paraId="7B028528">
            <w:pPr>
              <w:spacing w:line="360" w:lineRule="auto"/>
              <w:ind w:firstLine="440" w:firstLineChars="200"/>
              <w:rPr>
                <w:rFonts w:ascii="华文楷体" w:hAnsi="华文楷体" w:eastAsia="华文楷体"/>
                <w:b/>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t>问题一：公司2026年半年度业绩情况如何？</w:t>
            </w:r>
          </w:p>
          <w:p w14:paraId="18BD28BC">
            <w:pPr>
              <w:spacing w:line="360" w:lineRule="auto"/>
              <w:ind w:firstLine="440" w:firstLineChars="200"/>
              <w:rPr>
                <w:rFonts w:ascii="华文楷体" w:hAnsi="华文楷体" w:eastAsia="华文楷体"/>
                <w:bCs/>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t>回答：</w:t>
            </w:r>
            <w:r>
              <w:rPr>
                <w:rFonts w:hint="eastAsia" w:ascii="华文楷体" w:hAnsi="华文楷体" w:eastAsia="华文楷体"/>
                <w:bCs/>
                <w:color w:val="0D0D0D" w:themeColor="text1" w:themeTint="F2"/>
                <w:sz w:val="22"/>
                <w:szCs w:val="22"/>
                <w14:textFill>
                  <w14:solidFill>
                    <w14:schemeClr w14:val="tx1">
                      <w14:lumMod w14:val="95000"/>
                      <w14:lumOff w14:val="5000"/>
                    </w14:schemeClr>
                  </w14:solidFill>
                </w14:textFill>
              </w:rPr>
              <w:t>2026年上半年，公司实现营业收入70,493.49万元，较上年同期增长83.43%；归属于母公司所有者的净利润2,530.80万元，较上年同期增长26.97%；归属于母公司所有者的扣除非经常性损益的净利润2,482.74万元，较上年同期增长39.57%。</w:t>
            </w:r>
          </w:p>
          <w:p w14:paraId="63FC3C7F">
            <w:pPr>
              <w:spacing w:line="360" w:lineRule="auto"/>
              <w:ind w:firstLine="440" w:firstLineChars="200"/>
              <w:rPr>
                <w:rFonts w:ascii="华文楷体" w:hAnsi="华文楷体" w:eastAsia="华文楷体"/>
                <w:bCs/>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Cs/>
                <w:color w:val="0D0D0D" w:themeColor="text1" w:themeTint="F2"/>
                <w:sz w:val="22"/>
                <w:szCs w:val="22"/>
                <w14:textFill>
                  <w14:solidFill>
                    <w14:schemeClr w14:val="tx1">
                      <w14:lumMod w14:val="95000"/>
                      <w14:lumOff w14:val="5000"/>
                    </w14:schemeClr>
                  </w14:solidFill>
                </w14:textFill>
              </w:rPr>
              <w:t>2026年上半年，公司新能源电池集流体业务保持高速增长态势，实现营业收入47,939.02万元，同比增长139.74%；功能性胶膜及其应用产品在新能源领域的应用持续提升，产品结构不断优化，公司整体经营业绩稳步提升，整体盈利能力进一步增强。</w:t>
            </w:r>
          </w:p>
          <w:p w14:paraId="72DCBAC8">
            <w:pPr>
              <w:spacing w:line="360" w:lineRule="auto"/>
              <w:ind w:firstLine="440" w:firstLineChars="200"/>
              <w:rPr>
                <w:rFonts w:ascii="华文楷体" w:hAnsi="华文楷体" w:eastAsia="华文楷体"/>
                <w:b/>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t>问题二：公司2026年半年度净利润增速不如营业收入增速的原因是什么?</w:t>
            </w:r>
          </w:p>
          <w:p w14:paraId="18FB1AA4">
            <w:pPr>
              <w:spacing w:line="360" w:lineRule="auto"/>
              <w:ind w:firstLine="440" w:firstLineChars="200"/>
              <w:rPr>
                <w:rFonts w:ascii="华文楷体" w:hAnsi="华文楷体" w:eastAsia="华文楷体"/>
                <w:bCs/>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t>回答：</w:t>
            </w:r>
            <w:r>
              <w:rPr>
                <w:rFonts w:hint="eastAsia" w:ascii="华文楷体" w:hAnsi="华文楷体" w:eastAsia="华文楷体"/>
                <w:b w:val="0"/>
                <w:color w:val="0D0D0D" w:themeColor="text1" w:themeTint="F2"/>
                <w:sz w:val="22"/>
                <w:szCs w:val="22"/>
                <w14:textFill>
                  <w14:solidFill>
                    <w14:schemeClr w14:val="tx1">
                      <w14:lumMod w14:val="95000"/>
                      <w14:lumOff w14:val="5000"/>
                    </w14:schemeClr>
                  </w14:solidFill>
                </w14:textFill>
              </w:rPr>
              <w:t>2</w:t>
            </w:r>
            <w:r>
              <w:rPr>
                <w:rFonts w:ascii="华文楷体" w:hAnsi="华文楷体" w:eastAsia="华文楷体"/>
                <w:b w:val="0"/>
                <w:color w:val="0D0D0D" w:themeColor="text1" w:themeTint="F2"/>
                <w:sz w:val="22"/>
                <w:szCs w:val="22"/>
                <w14:textFill>
                  <w14:solidFill>
                    <w14:schemeClr w14:val="tx1">
                      <w14:lumMod w14:val="95000"/>
                      <w14:lumOff w14:val="5000"/>
                    </w14:schemeClr>
                  </w14:solidFill>
                </w14:textFill>
              </w:rPr>
              <w:t>026</w:t>
            </w:r>
            <w:r>
              <w:rPr>
                <w:rFonts w:hint="eastAsia" w:ascii="华文楷体" w:hAnsi="华文楷体" w:eastAsia="华文楷体"/>
                <w:b w:val="0"/>
                <w:color w:val="0D0D0D" w:themeColor="text1" w:themeTint="F2"/>
                <w:sz w:val="22"/>
                <w:szCs w:val="22"/>
                <w14:textFill>
                  <w14:solidFill>
                    <w14:schemeClr w14:val="tx1">
                      <w14:lumMod w14:val="95000"/>
                      <w14:lumOff w14:val="5000"/>
                    </w14:schemeClr>
                  </w14:solidFill>
                </w14:textFill>
              </w:rPr>
              <w:t>年上半年，</w:t>
            </w:r>
            <w:r>
              <w:rPr>
                <w:rFonts w:hint="eastAsia" w:ascii="华文楷体" w:hAnsi="华文楷体" w:eastAsia="华文楷体"/>
                <w:bCs/>
                <w:color w:val="0D0D0D" w:themeColor="text1" w:themeTint="F2"/>
                <w:sz w:val="22"/>
                <w:szCs w:val="22"/>
                <w14:textFill>
                  <w14:solidFill>
                    <w14:schemeClr w14:val="tx1">
                      <w14:lumMod w14:val="95000"/>
                      <w14:lumOff w14:val="5000"/>
                    </w14:schemeClr>
                  </w14:solidFill>
                </w14:textFill>
              </w:rPr>
              <w:t>公司净利润增速低于营业收入增速主要受以下因素影响：①公司新能源电池集流体业务处于产能快速爬坡与市场拓展阶段，产能投放、固定资产折旧、运营成本前置等原因导致规模效应尚未充分显现；②2</w:t>
            </w:r>
            <w:r>
              <w:rPr>
                <w:rFonts w:ascii="华文楷体" w:hAnsi="华文楷体" w:eastAsia="华文楷体"/>
                <w:bCs/>
                <w:color w:val="0D0D0D" w:themeColor="text1" w:themeTint="F2"/>
                <w:sz w:val="22"/>
                <w:szCs w:val="22"/>
                <w14:textFill>
                  <w14:solidFill>
                    <w14:schemeClr w14:val="tx1">
                      <w14:lumMod w14:val="95000"/>
                      <w14:lumOff w14:val="5000"/>
                    </w14:schemeClr>
                  </w14:solidFill>
                </w14:textFill>
              </w:rPr>
              <w:t>026</w:t>
            </w:r>
            <w:r>
              <w:rPr>
                <w:rFonts w:hint="eastAsia" w:ascii="华文楷体" w:hAnsi="华文楷体" w:eastAsia="华文楷体"/>
                <w:bCs/>
                <w:color w:val="0D0D0D" w:themeColor="text1" w:themeTint="F2"/>
                <w:sz w:val="22"/>
                <w:szCs w:val="22"/>
                <w14:textFill>
                  <w14:solidFill>
                    <w14:schemeClr w14:val="tx1">
                      <w14:lumMod w14:val="95000"/>
                      <w14:lumOff w14:val="5000"/>
                    </w14:schemeClr>
                  </w14:solidFill>
                </w14:textFill>
              </w:rPr>
              <w:t>年上半年</w:t>
            </w:r>
            <w:r>
              <w:rPr>
                <w:rFonts w:hint="eastAsia" w:ascii="华文楷体" w:hAnsi="华文楷体" w:eastAsia="华文楷体"/>
                <w:bCs/>
                <w:color w:val="0D0D0D" w:themeColor="text1" w:themeTint="F2"/>
                <w:sz w:val="22"/>
                <w:szCs w:val="22"/>
                <w:lang w:val="en-US" w:eastAsia="zh-CN"/>
                <w14:textFill>
                  <w14:solidFill>
                    <w14:schemeClr w14:val="tx1">
                      <w14:lumMod w14:val="95000"/>
                      <w14:lumOff w14:val="5000"/>
                    </w14:schemeClr>
                  </w14:solidFill>
                </w14:textFill>
              </w:rPr>
              <w:t>确认</w:t>
            </w:r>
            <w:r>
              <w:rPr>
                <w:rFonts w:hint="eastAsia" w:ascii="华文楷体" w:hAnsi="华文楷体" w:eastAsia="华文楷体"/>
                <w:bCs/>
                <w:color w:val="0D0D0D" w:themeColor="text1" w:themeTint="F2"/>
                <w:sz w:val="22"/>
                <w:szCs w:val="22"/>
                <w14:textFill>
                  <w14:solidFill>
                    <w14:schemeClr w14:val="tx1">
                      <w14:lumMod w14:val="95000"/>
                      <w14:lumOff w14:val="5000"/>
                    </w14:schemeClr>
                  </w14:solidFill>
                </w14:textFill>
              </w:rPr>
              <w:t>的股份支付费用对当期净利润形成一定影响，扣除股份支付影响后的归属于上市公司股东的扣除非经常性损益的净利润为2</w:t>
            </w:r>
            <w:r>
              <w:rPr>
                <w:rFonts w:ascii="华文楷体" w:hAnsi="华文楷体" w:eastAsia="华文楷体"/>
                <w:bCs/>
                <w:color w:val="0D0D0D" w:themeColor="text1" w:themeTint="F2"/>
                <w:sz w:val="22"/>
                <w:szCs w:val="22"/>
                <w14:textFill>
                  <w14:solidFill>
                    <w14:schemeClr w14:val="tx1">
                      <w14:lumMod w14:val="95000"/>
                      <w14:lumOff w14:val="5000"/>
                    </w14:schemeClr>
                  </w14:solidFill>
                </w14:textFill>
              </w:rPr>
              <w:t>9</w:t>
            </w:r>
            <w:r>
              <w:rPr>
                <w:rFonts w:hint="eastAsia" w:ascii="华文楷体" w:hAnsi="华文楷体" w:eastAsia="华文楷体"/>
                <w:bCs/>
                <w:color w:val="0D0D0D" w:themeColor="text1" w:themeTint="F2"/>
                <w:sz w:val="22"/>
                <w:szCs w:val="22"/>
                <w:lang w:val="en-US" w:eastAsia="zh-CN"/>
                <w14:textFill>
                  <w14:solidFill>
                    <w14:schemeClr w14:val="tx1">
                      <w14:lumMod w14:val="95000"/>
                      <w14:lumOff w14:val="5000"/>
                    </w14:schemeClr>
                  </w14:solidFill>
                </w14:textFill>
              </w:rPr>
              <w:t>00</w:t>
            </w:r>
            <w:r>
              <w:rPr>
                <w:rFonts w:hint="eastAsia" w:ascii="华文楷体" w:hAnsi="华文楷体" w:eastAsia="华文楷体"/>
                <w:bCs/>
                <w:color w:val="0D0D0D" w:themeColor="text1" w:themeTint="F2"/>
                <w:sz w:val="22"/>
                <w:szCs w:val="22"/>
                <w14:textFill>
                  <w14:solidFill>
                    <w14:schemeClr w14:val="tx1">
                      <w14:lumMod w14:val="95000"/>
                      <w14:lumOff w14:val="5000"/>
                    </w14:schemeClr>
                  </w14:solidFill>
                </w14:textFill>
              </w:rPr>
              <w:t>.</w:t>
            </w:r>
            <w:r>
              <w:rPr>
                <w:rFonts w:hint="eastAsia" w:ascii="华文楷体" w:hAnsi="华文楷体" w:eastAsia="华文楷体"/>
                <w:bCs/>
                <w:color w:val="0D0D0D" w:themeColor="text1" w:themeTint="F2"/>
                <w:sz w:val="22"/>
                <w:szCs w:val="22"/>
                <w:lang w:val="en-US" w:eastAsia="zh-CN"/>
                <w14:textFill>
                  <w14:solidFill>
                    <w14:schemeClr w14:val="tx1">
                      <w14:lumMod w14:val="95000"/>
                      <w14:lumOff w14:val="5000"/>
                    </w14:schemeClr>
                  </w14:solidFill>
                </w14:textFill>
              </w:rPr>
              <w:t>99</w:t>
            </w:r>
            <w:r>
              <w:rPr>
                <w:rFonts w:hint="eastAsia" w:ascii="华文楷体" w:hAnsi="华文楷体" w:eastAsia="华文楷体"/>
                <w:bCs/>
                <w:color w:val="0D0D0D" w:themeColor="text1" w:themeTint="F2"/>
                <w:sz w:val="22"/>
                <w:szCs w:val="22"/>
                <w14:textFill>
                  <w14:solidFill>
                    <w14:schemeClr w14:val="tx1">
                      <w14:lumMod w14:val="95000"/>
                      <w14:lumOff w14:val="5000"/>
                    </w14:schemeClr>
                  </w14:solidFill>
                </w14:textFill>
              </w:rPr>
              <w:t>万元，较上年同期增长</w:t>
            </w:r>
            <w:r>
              <w:rPr>
                <w:rFonts w:hint="eastAsia" w:ascii="华文楷体" w:hAnsi="华文楷体" w:eastAsia="华文楷体"/>
                <w:bCs/>
                <w:color w:val="0D0D0D" w:themeColor="text1" w:themeTint="F2"/>
                <w:sz w:val="22"/>
                <w:szCs w:val="22"/>
                <w:lang w:val="en-US" w:eastAsia="zh-CN"/>
                <w14:textFill>
                  <w14:solidFill>
                    <w14:schemeClr w14:val="tx1">
                      <w14:lumMod w14:val="95000"/>
                      <w14:lumOff w14:val="5000"/>
                    </w14:schemeClr>
                  </w14:solidFill>
                </w14:textFill>
              </w:rPr>
              <w:t>63.08</w:t>
            </w:r>
            <w:r>
              <w:rPr>
                <w:rFonts w:ascii="华文楷体" w:hAnsi="华文楷体" w:eastAsia="华文楷体"/>
                <w:bCs/>
                <w:color w:val="0D0D0D" w:themeColor="text1" w:themeTint="F2"/>
                <w:sz w:val="22"/>
                <w:szCs w:val="22"/>
                <w14:textFill>
                  <w14:solidFill>
                    <w14:schemeClr w14:val="tx1">
                      <w14:lumMod w14:val="95000"/>
                      <w14:lumOff w14:val="5000"/>
                    </w14:schemeClr>
                  </w14:solidFill>
                </w14:textFill>
              </w:rPr>
              <w:t>%</w:t>
            </w:r>
            <w:r>
              <w:rPr>
                <w:rFonts w:hint="eastAsia" w:ascii="华文楷体" w:hAnsi="华文楷体" w:eastAsia="华文楷体"/>
                <w:bCs/>
                <w:color w:val="0D0D0D" w:themeColor="text1" w:themeTint="F2"/>
                <w:sz w:val="22"/>
                <w:szCs w:val="22"/>
                <w14:textFill>
                  <w14:solidFill>
                    <w14:schemeClr w14:val="tx1">
                      <w14:lumMod w14:val="95000"/>
                      <w14:lumOff w14:val="5000"/>
                    </w14:schemeClr>
                  </w14:solidFill>
                </w14:textFill>
              </w:rPr>
              <w:t>；③公司持续加大研发投入及高端人才引进力度，相关费用同比有所增加。</w:t>
            </w:r>
          </w:p>
          <w:p w14:paraId="48533ADF">
            <w:pPr>
              <w:spacing w:line="360" w:lineRule="auto"/>
              <w:ind w:firstLine="440" w:firstLineChars="200"/>
              <w:rPr>
                <w:rFonts w:ascii="华文楷体" w:hAnsi="华文楷体" w:eastAsia="华文楷体"/>
                <w:b/>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Cs/>
                <w:color w:val="0D0D0D" w:themeColor="text1" w:themeTint="F2"/>
                <w:sz w:val="22"/>
                <w:szCs w:val="22"/>
                <w14:textFill>
                  <w14:solidFill>
                    <w14:schemeClr w14:val="tx1">
                      <w14:lumMod w14:val="95000"/>
                      <w14:lumOff w14:val="5000"/>
                    </w14:schemeClr>
                  </w14:solidFill>
                </w14:textFill>
              </w:rPr>
              <w:t>上述投入均服务于公司中长期战略布局，随着产能的持续扩大、高附加值产品占比提高，盈利水平有望持续优化。</w:t>
            </w:r>
          </w:p>
          <w:p w14:paraId="630F4AC2">
            <w:pPr>
              <w:spacing w:line="360" w:lineRule="auto"/>
              <w:ind w:firstLine="440" w:firstLineChars="200"/>
              <w:rPr>
                <w:rFonts w:hint="default" w:ascii="华文楷体" w:hAnsi="华文楷体" w:eastAsia="华文楷体"/>
                <w:b/>
                <w:color w:val="0D0D0D" w:themeColor="text1" w:themeTint="F2"/>
                <w:sz w:val="22"/>
                <w:szCs w:val="22"/>
                <w:lang w:val="en-US" w:eastAsia="zh-CN"/>
                <w14:textFill>
                  <w14:solidFill>
                    <w14:schemeClr w14:val="tx1">
                      <w14:lumMod w14:val="95000"/>
                      <w14:lumOff w14:val="5000"/>
                    </w14:schemeClr>
                  </w14:solidFill>
                </w14:textFill>
              </w:rPr>
            </w:pPr>
            <w:r>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t>问题三：公司在新能源电池集流体的产能布局</w:t>
            </w:r>
            <w:r>
              <w:rPr>
                <w:rFonts w:hint="eastAsia" w:ascii="华文楷体" w:hAnsi="华文楷体" w:eastAsia="华文楷体"/>
                <w:b/>
                <w:color w:val="0D0D0D" w:themeColor="text1" w:themeTint="F2"/>
                <w:sz w:val="22"/>
                <w:szCs w:val="22"/>
                <w:lang w:val="en-US" w:eastAsia="zh-CN"/>
                <w14:textFill>
                  <w14:solidFill>
                    <w14:schemeClr w14:val="tx1">
                      <w14:lumMod w14:val="95000"/>
                      <w14:lumOff w14:val="5000"/>
                    </w14:schemeClr>
                  </w14:solidFill>
                </w14:textFill>
              </w:rPr>
              <w:t>是如何的？公司如何保障新能源电池集流体新增产能的消化？</w:t>
            </w:r>
          </w:p>
          <w:p w14:paraId="7AE020E7">
            <w:pPr>
              <w:spacing w:line="360" w:lineRule="auto"/>
              <w:ind w:firstLine="440" w:firstLineChars="200"/>
              <w:rPr>
                <w:rFonts w:hint="eastAsia" w:ascii="华文楷体" w:hAnsi="华文楷体" w:eastAsia="华文楷体"/>
                <w:b w:val="0"/>
                <w:bCs/>
                <w:color w:val="0D0D0D" w:themeColor="text1" w:themeTint="F2"/>
                <w:sz w:val="22"/>
                <w:szCs w:val="22"/>
                <w:lang w:val="en-US" w:eastAsia="zh-CN"/>
                <w14:textFill>
                  <w14:solidFill>
                    <w14:schemeClr w14:val="tx1">
                      <w14:lumMod w14:val="95000"/>
                      <w14:lumOff w14:val="5000"/>
                    </w14:schemeClr>
                  </w14:solidFill>
                </w14:textFill>
              </w:rPr>
            </w:pPr>
            <w:r>
              <w:rPr>
                <w:rFonts w:hint="eastAsia" w:ascii="华文楷体" w:hAnsi="华文楷体" w:eastAsia="华文楷体"/>
                <w:b/>
                <w:color w:val="0D0D0D" w:themeColor="text1" w:themeTint="F2"/>
                <w:sz w:val="22"/>
                <w:szCs w:val="22"/>
                <w:lang w:val="en-US" w:eastAsia="zh-CN"/>
                <w14:textFill>
                  <w14:solidFill>
                    <w14:schemeClr w14:val="tx1">
                      <w14:lumMod w14:val="95000"/>
                      <w14:lumOff w14:val="5000"/>
                    </w14:schemeClr>
                  </w14:solidFill>
                </w14:textFill>
              </w:rPr>
              <w:t>回答：</w:t>
            </w:r>
            <w:r>
              <w:rPr>
                <w:rFonts w:hint="eastAsia" w:ascii="华文楷体" w:hAnsi="华文楷体" w:eastAsia="华文楷体"/>
                <w:b w:val="0"/>
                <w:bCs/>
                <w:color w:val="0D0D0D" w:themeColor="text1" w:themeTint="F2"/>
                <w:sz w:val="22"/>
                <w:szCs w:val="22"/>
                <w:lang w:val="en-US" w:eastAsia="zh-CN"/>
                <w14:textFill>
                  <w14:solidFill>
                    <w14:schemeClr w14:val="tx1">
                      <w14:lumMod w14:val="95000"/>
                      <w14:lumOff w14:val="5000"/>
                    </w14:schemeClr>
                  </w14:solidFill>
                </w14:textFill>
              </w:rPr>
              <w:t>公司目前新能源电池集流体产能主要分布在广东佛山和河南商丘两大生产基地。广东基地“年产1.2万吨新能源涂碳箔项目”已建成投产；河南基地“7200吨新型新能源电池集流体材料生产建设项目”亦在持续快速推进中。在此基础上，公司于2026年8月启动向特定对象发行股票项目，募集资金将用于持续推进河南基地“年产6万吨新能源涂碳箔项目”及新建四川眉山基地的“年产3.6万吨功能性特种涂层箔材建设项目”等其他项目，进一步扩充新能源电池集流体产能、优化产品结构，巩固公司在新能源电池材料领域的市场地位。</w:t>
            </w:r>
          </w:p>
          <w:p w14:paraId="0DFB090B">
            <w:pPr>
              <w:spacing w:line="360" w:lineRule="auto"/>
              <w:ind w:firstLine="440" w:firstLineChars="200"/>
              <w:rPr>
                <w:rFonts w:hint="eastAsia" w:ascii="华文楷体" w:hAnsi="华文楷体" w:eastAsia="华文楷体"/>
                <w:b w:val="0"/>
                <w:bCs/>
                <w:color w:val="0D0D0D" w:themeColor="text1" w:themeTint="F2"/>
                <w:sz w:val="22"/>
                <w:szCs w:val="22"/>
                <w:lang w:val="en-US" w:eastAsia="zh-CN"/>
                <w14:textFill>
                  <w14:solidFill>
                    <w14:schemeClr w14:val="tx1">
                      <w14:lumMod w14:val="95000"/>
                      <w14:lumOff w14:val="5000"/>
                    </w14:schemeClr>
                  </w14:solidFill>
                </w14:textFill>
              </w:rPr>
            </w:pPr>
            <w:r>
              <w:rPr>
                <w:rFonts w:hint="eastAsia" w:ascii="华文楷体" w:hAnsi="华文楷体" w:eastAsia="华文楷体"/>
                <w:b w:val="0"/>
                <w:bCs/>
                <w:color w:val="0D0D0D" w:themeColor="text1" w:themeTint="F2"/>
                <w:sz w:val="22"/>
                <w:szCs w:val="22"/>
                <w:lang w:val="en-US" w:eastAsia="zh-CN"/>
                <w14:textFill>
                  <w14:solidFill>
                    <w14:schemeClr w14:val="tx1">
                      <w14:lumMod w14:val="95000"/>
                      <w14:lumOff w14:val="5000"/>
                    </w14:schemeClr>
                  </w14:solidFill>
                </w14:textFill>
              </w:rPr>
              <w:t>公司对新能源电池集流体的新增产能消化有以下三重保障：</w:t>
            </w:r>
          </w:p>
          <w:p w14:paraId="5445F60B">
            <w:pPr>
              <w:spacing w:line="360" w:lineRule="auto"/>
              <w:ind w:firstLine="440" w:firstLineChars="200"/>
              <w:rPr>
                <w:rFonts w:hint="eastAsia" w:ascii="华文楷体" w:hAnsi="华文楷体" w:eastAsia="华文楷体"/>
                <w:b w:val="0"/>
                <w:bCs/>
                <w:color w:val="0D0D0D" w:themeColor="text1" w:themeTint="F2"/>
                <w:sz w:val="22"/>
                <w:szCs w:val="22"/>
                <w:lang w:val="en-US" w:eastAsia="zh-CN"/>
                <w14:textFill>
                  <w14:solidFill>
                    <w14:schemeClr w14:val="tx1">
                      <w14:lumMod w14:val="95000"/>
                      <w14:lumOff w14:val="5000"/>
                    </w14:schemeClr>
                  </w14:solidFill>
                </w14:textFill>
              </w:rPr>
            </w:pPr>
            <w:r>
              <w:rPr>
                <w:rFonts w:hint="eastAsia" w:ascii="华文楷体" w:hAnsi="华文楷体" w:eastAsia="华文楷体"/>
                <w:b w:val="0"/>
                <w:bCs/>
                <w:color w:val="0D0D0D" w:themeColor="text1" w:themeTint="F2"/>
                <w:sz w:val="22"/>
                <w:szCs w:val="22"/>
                <w:lang w:val="en-US" w:eastAsia="zh-CN"/>
                <w14:textFill>
                  <w14:solidFill>
                    <w14:schemeClr w14:val="tx1">
                      <w14:lumMod w14:val="95000"/>
                      <w14:lumOff w14:val="5000"/>
                    </w14:schemeClr>
                  </w14:solidFill>
                </w14:textFill>
              </w:rPr>
              <w:t>一是在需求端，受益于新能源汽车、储能产业的爆发式增长，新能源电池集流体目前正处于高速成长期，行业规模持续扩大。随着锂电池技术持续升级，将加速各领域的电动化进程，拓展更多的新兴下游应用领域，如电动船舶、低空经济等领域，为公司新能源电池集流体业务提供了持续扩容的空间。</w:t>
            </w:r>
          </w:p>
          <w:p w14:paraId="12970E40">
            <w:pPr>
              <w:spacing w:line="360" w:lineRule="auto"/>
              <w:ind w:firstLine="440" w:firstLineChars="200"/>
              <w:rPr>
                <w:rFonts w:hint="eastAsia" w:ascii="华文楷体" w:hAnsi="华文楷体" w:eastAsia="华文楷体"/>
                <w:b w:val="0"/>
                <w:bCs/>
                <w:color w:val="0D0D0D" w:themeColor="text1" w:themeTint="F2"/>
                <w:sz w:val="22"/>
                <w:szCs w:val="22"/>
                <w:lang w:val="en-US" w:eastAsia="zh-CN"/>
                <w14:textFill>
                  <w14:solidFill>
                    <w14:schemeClr w14:val="tx1">
                      <w14:lumMod w14:val="95000"/>
                      <w14:lumOff w14:val="5000"/>
                    </w14:schemeClr>
                  </w14:solidFill>
                </w14:textFill>
              </w:rPr>
            </w:pPr>
            <w:r>
              <w:rPr>
                <w:rFonts w:hint="eastAsia" w:ascii="华文楷体" w:hAnsi="华文楷体" w:eastAsia="华文楷体"/>
                <w:b w:val="0"/>
                <w:bCs/>
                <w:color w:val="0D0D0D" w:themeColor="text1" w:themeTint="F2"/>
                <w:sz w:val="22"/>
                <w:szCs w:val="22"/>
                <w:lang w:val="en-US" w:eastAsia="zh-CN"/>
                <w14:textFill>
                  <w14:solidFill>
                    <w14:schemeClr w14:val="tx1">
                      <w14:lumMod w14:val="95000"/>
                      <w14:lumOff w14:val="5000"/>
                    </w14:schemeClr>
                  </w14:solidFill>
                </w14:textFill>
              </w:rPr>
              <w:t>二是在客户端，</w:t>
            </w:r>
            <w:r>
              <w:rPr>
                <w:rFonts w:hint="default" w:ascii="华文楷体" w:hAnsi="华文楷体" w:eastAsia="华文楷体"/>
                <w:b w:val="0"/>
                <w:bCs/>
                <w:color w:val="0D0D0D" w:themeColor="text1" w:themeTint="F2"/>
                <w:sz w:val="22"/>
                <w:szCs w:val="22"/>
                <w:lang w:val="en-US" w:eastAsia="zh-CN"/>
                <w14:textFill>
                  <w14:solidFill>
                    <w14:schemeClr w14:val="tx1">
                      <w14:lumMod w14:val="95000"/>
                      <w14:lumOff w14:val="5000"/>
                    </w14:schemeClr>
                  </w14:solidFill>
                </w14:textFill>
              </w:rPr>
              <w:t>公司当前已积累的客户资源将有效保障新能源电池集流体产能消化</w:t>
            </w:r>
            <w:r>
              <w:rPr>
                <w:rFonts w:hint="eastAsia" w:ascii="华文楷体" w:hAnsi="华文楷体" w:eastAsia="华文楷体"/>
                <w:b w:val="0"/>
                <w:bCs/>
                <w:color w:val="0D0D0D" w:themeColor="text1" w:themeTint="F2"/>
                <w:sz w:val="22"/>
                <w:szCs w:val="22"/>
                <w:lang w:val="en-US" w:eastAsia="zh-CN"/>
                <w14:textFill>
                  <w14:solidFill>
                    <w14:schemeClr w14:val="tx1">
                      <w14:lumMod w14:val="95000"/>
                      <w14:lumOff w14:val="5000"/>
                    </w14:schemeClr>
                  </w14:solidFill>
                </w14:textFill>
              </w:rPr>
              <w:t>。新能源电池行业具有供应商认证周期较长、技术门槛较高、质量要求严格的显著特征。公司经过前期的客户验证与持续的技术攻关，公司产品在2025年成功跻身行业前列，占据稳固的市场地位，已与欣旺达、正力新能、吉利集团、楚能新能源、清陶动力、天能集团等锂电下游客户建立了稳定的合作关系，订单量充足，现有产能趋于饱和。公司对新能源电池集流体扩产正是基于下游客户日益增长的需求和拓展新客户订单的需求，同时也是为进一步满足客户交付需求，紧贴客户区域产能布局，以加速推进多区域产能投放。</w:t>
            </w:r>
          </w:p>
          <w:p w14:paraId="45861922">
            <w:pPr>
              <w:spacing w:line="360" w:lineRule="auto"/>
              <w:ind w:firstLine="440" w:firstLineChars="200"/>
              <w:rPr>
                <w:rFonts w:hint="default" w:ascii="华文楷体" w:hAnsi="华文楷体" w:eastAsia="华文楷体"/>
                <w:b w:val="0"/>
                <w:bCs/>
                <w:color w:val="0D0D0D" w:themeColor="text1" w:themeTint="F2"/>
                <w:sz w:val="22"/>
                <w:szCs w:val="22"/>
                <w:lang w:val="en-US" w:eastAsia="zh-CN"/>
                <w14:textFill>
                  <w14:solidFill>
                    <w14:schemeClr w14:val="tx1">
                      <w14:lumMod w14:val="95000"/>
                      <w14:lumOff w14:val="5000"/>
                    </w14:schemeClr>
                  </w14:solidFill>
                </w14:textFill>
              </w:rPr>
            </w:pPr>
            <w:r>
              <w:rPr>
                <w:rFonts w:hint="eastAsia" w:ascii="华文楷体" w:hAnsi="华文楷体" w:eastAsia="华文楷体"/>
                <w:b w:val="0"/>
                <w:bCs/>
                <w:color w:val="0D0D0D" w:themeColor="text1" w:themeTint="F2"/>
                <w:sz w:val="22"/>
                <w:szCs w:val="22"/>
                <w:lang w:val="en-US" w:eastAsia="zh-CN"/>
                <w14:textFill>
                  <w14:solidFill>
                    <w14:schemeClr w14:val="tx1">
                      <w14:lumMod w14:val="95000"/>
                      <w14:lumOff w14:val="5000"/>
                    </w14:schemeClr>
                  </w14:solidFill>
                </w14:textFill>
              </w:rPr>
              <w:t>三是在产品端，公司新能源电池集流体产品从高分子材料设计、纳米浆料研发到超薄涂覆技术均为自主研发完成，生产工艺成熟，具有高良品率、高涂碳效率，保证了产品的品质，同时，公司搭建“客户需求-技术研发-产品迭代”的快速响应机制，根据客户产品规划与性能参数，定制化开发适配性产品，形成“技术贴合需求、产品精准匹配”的核心优势。公司凭借</w:t>
            </w:r>
            <w:r>
              <w:rPr>
                <w:rFonts w:hint="default" w:ascii="华文楷体" w:hAnsi="华文楷体" w:eastAsia="华文楷体"/>
                <w:b w:val="0"/>
                <w:bCs/>
                <w:color w:val="0D0D0D" w:themeColor="text1" w:themeTint="F2"/>
                <w:sz w:val="22"/>
                <w:szCs w:val="22"/>
                <w:lang w:val="en-US" w:eastAsia="zh-CN"/>
                <w14:textFill>
                  <w14:solidFill>
                    <w14:schemeClr w14:val="tx1">
                      <w14:lumMod w14:val="95000"/>
                      <w14:lumOff w14:val="5000"/>
                    </w14:schemeClr>
                  </w14:solidFill>
                </w14:textFill>
              </w:rPr>
              <w:t>领先的技术、稳定的产品品质与高效服务，</w:t>
            </w:r>
            <w:r>
              <w:rPr>
                <w:rFonts w:hint="eastAsia" w:ascii="华文楷体" w:hAnsi="华文楷体" w:eastAsia="华文楷体"/>
                <w:b w:val="0"/>
                <w:bCs/>
                <w:color w:val="0D0D0D" w:themeColor="text1" w:themeTint="F2"/>
                <w:sz w:val="22"/>
                <w:szCs w:val="22"/>
                <w:lang w:val="en-US" w:eastAsia="zh-CN"/>
                <w14:textFill>
                  <w14:solidFill>
                    <w14:schemeClr w14:val="tx1">
                      <w14:lumMod w14:val="95000"/>
                      <w14:lumOff w14:val="5000"/>
                    </w14:schemeClr>
                  </w14:solidFill>
                </w14:textFill>
              </w:rPr>
              <w:t>可保障新能源电池集流体新增产能的消化。</w:t>
            </w:r>
          </w:p>
          <w:p w14:paraId="766DD683">
            <w:pPr>
              <w:spacing w:line="360" w:lineRule="auto"/>
              <w:ind w:firstLine="440" w:firstLineChars="200"/>
              <w:rPr>
                <w:rFonts w:ascii="华文楷体" w:hAnsi="华文楷体" w:eastAsia="华文楷体"/>
                <w:b/>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
                <w:color w:val="0D0D0D" w:themeColor="text1" w:themeTint="F2"/>
                <w:sz w:val="22"/>
                <w:szCs w:val="22"/>
                <w:lang w:val="en-US" w:eastAsia="zh-CN"/>
                <w14:textFill>
                  <w14:solidFill>
                    <w14:schemeClr w14:val="tx1">
                      <w14:lumMod w14:val="95000"/>
                      <w14:lumOff w14:val="5000"/>
                    </w14:schemeClr>
                  </w14:solidFill>
                </w14:textFill>
              </w:rPr>
              <w:t>问题四：</w:t>
            </w:r>
            <w:r>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t>公司新能源电池集流体的竞争壁垒和优势有哪些？</w:t>
            </w:r>
          </w:p>
          <w:p w14:paraId="5065322F">
            <w:pPr>
              <w:spacing w:line="360" w:lineRule="auto"/>
              <w:ind w:firstLine="440" w:firstLineChars="200"/>
              <w:rPr>
                <w:rFonts w:ascii="华文楷体" w:hAnsi="华文楷体" w:eastAsia="华文楷体"/>
                <w:bCs/>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t>回答：</w:t>
            </w:r>
            <w:r>
              <w:rPr>
                <w:rFonts w:hint="eastAsia" w:ascii="华文楷体" w:hAnsi="华文楷体" w:eastAsia="华文楷体"/>
                <w:bCs/>
                <w:color w:val="0D0D0D" w:themeColor="text1" w:themeTint="F2"/>
                <w:sz w:val="22"/>
                <w:szCs w:val="22"/>
                <w14:textFill>
                  <w14:solidFill>
                    <w14:schemeClr w14:val="tx1">
                      <w14:lumMod w14:val="95000"/>
                      <w14:lumOff w14:val="5000"/>
                    </w14:schemeClr>
                  </w14:solidFill>
                </w14:textFill>
              </w:rPr>
              <w:t>公司新能源电池集流体业务主要从技术、供应链及客户等方面筑牢竞争壁垒，体现产品优势。</w:t>
            </w:r>
          </w:p>
          <w:p w14:paraId="0CE27B39">
            <w:pPr>
              <w:spacing w:line="360" w:lineRule="auto"/>
              <w:ind w:firstLine="440" w:firstLineChars="200"/>
              <w:rPr>
                <w:rFonts w:ascii="华文楷体" w:hAnsi="华文楷体" w:eastAsia="华文楷体"/>
                <w:bCs/>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Cs/>
                <w:color w:val="0D0D0D" w:themeColor="text1" w:themeTint="F2"/>
                <w:sz w:val="22"/>
                <w:szCs w:val="22"/>
                <w14:textFill>
                  <w14:solidFill>
                    <w14:schemeClr w14:val="tx1">
                      <w14:lumMod w14:val="95000"/>
                      <w14:lumOff w14:val="5000"/>
                    </w14:schemeClr>
                  </w14:solidFill>
                </w14:textFill>
              </w:rPr>
              <w:t>技术方面：公司坚持技术领先战略，依托深厚技术积淀攻克功能涂层配方优化、微纳米材料分散、超薄均匀涂覆等关键技术，打造出高剥离强度、低内阻、耐电解液腐蚀的系列涂碳箔产品，精准匹配客户对电池能量密度提升、快充性能优化、循环寿命延长的核心需求；公司同步延伸布局快充及硅碳负极用涂碳铜箔、自主开发特殊表面处理的高达因清洗铝箔、安全涂层、氧化物固态电解质涂层、功能性隔热涂层、特种基材涂层集流体、高性能电极边涂等全系列功能性涂层产品，以多元产品矩阵契合下游锂电池快充、高能量密度</w:t>
            </w:r>
            <w:r>
              <w:rPr>
                <w:rFonts w:hint="eastAsia" w:ascii="华文楷体" w:hAnsi="华文楷体" w:eastAsia="华文楷体"/>
                <w:bCs/>
                <w:color w:val="0D0D0D" w:themeColor="text1" w:themeTint="F2"/>
                <w:sz w:val="22"/>
                <w:szCs w:val="22"/>
                <w:lang w:eastAsia="zh-CN"/>
                <w14:textFill>
                  <w14:solidFill>
                    <w14:schemeClr w14:val="tx1">
                      <w14:lumMod w14:val="95000"/>
                      <w14:lumOff w14:val="5000"/>
                    </w14:schemeClr>
                  </w14:solidFill>
                </w14:textFill>
              </w:rPr>
              <w:t>、</w:t>
            </w:r>
            <w:r>
              <w:rPr>
                <w:rFonts w:hint="eastAsia" w:ascii="华文楷体" w:hAnsi="华文楷体" w:eastAsia="华文楷体"/>
                <w:bCs/>
                <w:color w:val="0D0D0D" w:themeColor="text1" w:themeTint="F2"/>
                <w:sz w:val="22"/>
                <w:szCs w:val="22"/>
                <w:lang w:val="en-US" w:eastAsia="zh-CN"/>
                <w14:textFill>
                  <w14:solidFill>
                    <w14:schemeClr w14:val="tx1">
                      <w14:lumMod w14:val="95000"/>
                      <w14:lumOff w14:val="5000"/>
                    </w14:schemeClr>
                  </w14:solidFill>
                </w14:textFill>
              </w:rPr>
              <w:t>安全性</w:t>
            </w:r>
            <w:r>
              <w:rPr>
                <w:rFonts w:hint="eastAsia" w:ascii="华文楷体" w:hAnsi="华文楷体" w:eastAsia="华文楷体"/>
                <w:bCs/>
                <w:color w:val="0D0D0D" w:themeColor="text1" w:themeTint="F2"/>
                <w:sz w:val="22"/>
                <w:szCs w:val="22"/>
                <w14:textFill>
                  <w14:solidFill>
                    <w14:schemeClr w14:val="tx1">
                      <w14:lumMod w14:val="95000"/>
                      <w14:lumOff w14:val="5000"/>
                    </w14:schemeClr>
                  </w14:solidFill>
                </w14:textFill>
              </w:rPr>
              <w:t>升级趋势，技术端壁垒持续夯实。</w:t>
            </w:r>
          </w:p>
          <w:p w14:paraId="31E1CC92">
            <w:pPr>
              <w:spacing w:line="360" w:lineRule="auto"/>
              <w:ind w:firstLine="440" w:firstLineChars="200"/>
              <w:rPr>
                <w:rFonts w:ascii="华文楷体" w:hAnsi="华文楷体" w:eastAsia="华文楷体"/>
                <w:bCs/>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Cs/>
                <w:color w:val="0D0D0D" w:themeColor="text1" w:themeTint="F2"/>
                <w:sz w:val="22"/>
                <w:szCs w:val="22"/>
                <w14:textFill>
                  <w14:solidFill>
                    <w14:schemeClr w14:val="tx1">
                      <w14:lumMod w14:val="95000"/>
                      <w14:lumOff w14:val="5000"/>
                    </w14:schemeClr>
                  </w14:solidFill>
                </w14:textFill>
              </w:rPr>
              <w:t>供应链方面：公司锚定新能源电池集流体赛道“战略合作+资源绑定”路径，统筹产业布局、整合上下游资源、赋能产能扩张，联合神火新材共建生产基地，充分依托其原材料供应优势，实现成本优化与产能稳供的双重支撑，为业务高速发展筑牢原材料保障底座。</w:t>
            </w:r>
          </w:p>
          <w:p w14:paraId="08A19F02">
            <w:pPr>
              <w:spacing w:line="360" w:lineRule="auto"/>
              <w:ind w:firstLine="440" w:firstLineChars="200"/>
              <w:rPr>
                <w:rFonts w:ascii="华文楷体" w:hAnsi="华文楷体" w:eastAsia="华文楷体"/>
                <w:bCs/>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Cs/>
                <w:color w:val="0D0D0D" w:themeColor="text1" w:themeTint="F2"/>
                <w:sz w:val="22"/>
                <w:szCs w:val="22"/>
                <w14:textFill>
                  <w14:solidFill>
                    <w14:schemeClr w14:val="tx1">
                      <w14:lumMod w14:val="95000"/>
                      <w14:lumOff w14:val="5000"/>
                    </w14:schemeClr>
                  </w14:solidFill>
                </w14:textFill>
              </w:rPr>
              <w:t>客户方面：公司以高效协同机制为抓手，已与锂电</w:t>
            </w:r>
            <w:r>
              <w:rPr>
                <w:rFonts w:hint="eastAsia" w:ascii="华文楷体" w:hAnsi="华文楷体" w:eastAsia="华文楷体"/>
                <w:bCs/>
                <w:color w:val="0D0D0D" w:themeColor="text1" w:themeTint="F2"/>
                <w:sz w:val="22"/>
                <w:szCs w:val="22"/>
                <w:lang w:val="en-US" w:eastAsia="zh-CN"/>
                <w14:textFill>
                  <w14:solidFill>
                    <w14:schemeClr w14:val="tx1">
                      <w14:lumMod w14:val="95000"/>
                      <w14:lumOff w14:val="5000"/>
                    </w14:schemeClr>
                  </w14:solidFill>
                </w14:textFill>
              </w:rPr>
              <w:t>行业</w:t>
            </w:r>
            <w:r>
              <w:rPr>
                <w:rFonts w:hint="eastAsia" w:ascii="华文楷体" w:hAnsi="华文楷体" w:eastAsia="华文楷体"/>
                <w:bCs/>
                <w:color w:val="0D0D0D" w:themeColor="text1" w:themeTint="F2"/>
                <w:sz w:val="22"/>
                <w:szCs w:val="22"/>
                <w14:textFill>
                  <w14:solidFill>
                    <w14:schemeClr w14:val="tx1">
                      <w14:lumMod w14:val="95000"/>
                      <w14:lumOff w14:val="5000"/>
                    </w14:schemeClr>
                  </w14:solidFill>
                </w14:textFill>
              </w:rPr>
              <w:t>核心客户建立稳定合作；依托标杆客户示范效应，持续拓展新能源汽车、储能领域优质资源，加快两大赛道渗透节奏，客户版图稳步扩容，业务长期竞争力持续巩固。</w:t>
            </w:r>
          </w:p>
          <w:p w14:paraId="662C657F">
            <w:pPr>
              <w:spacing w:line="360" w:lineRule="auto"/>
              <w:ind w:firstLine="440" w:firstLineChars="200"/>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t>问题</w:t>
            </w:r>
            <w:r>
              <w:rPr>
                <w:rFonts w:hint="eastAsia" w:ascii="华文楷体" w:hAnsi="华文楷体" w:eastAsia="华文楷体"/>
                <w:b/>
                <w:color w:val="0D0D0D" w:themeColor="text1" w:themeTint="F2"/>
                <w:sz w:val="22"/>
                <w:szCs w:val="22"/>
                <w:lang w:val="en-US" w:eastAsia="zh-CN"/>
                <w14:textFill>
                  <w14:solidFill>
                    <w14:schemeClr w14:val="tx1">
                      <w14:lumMod w14:val="95000"/>
                      <w14:lumOff w14:val="5000"/>
                    </w14:schemeClr>
                  </w14:solidFill>
                </w14:textFill>
              </w:rPr>
              <w:t>五</w:t>
            </w:r>
            <w:r>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t>：2026年上半年</w:t>
            </w:r>
            <w:r>
              <w:rPr>
                <w:rFonts w:hint="eastAsia" w:ascii="华文楷体" w:hAnsi="华文楷体" w:eastAsia="华文楷体"/>
                <w:b/>
                <w:color w:val="0D0D0D" w:themeColor="text1" w:themeTint="F2"/>
                <w:sz w:val="22"/>
                <w:szCs w:val="22"/>
                <w:lang w:eastAsia="zh-CN"/>
                <w14:textFill>
                  <w14:solidFill>
                    <w14:schemeClr w14:val="tx1">
                      <w14:lumMod w14:val="95000"/>
                      <w14:lumOff w14:val="5000"/>
                    </w14:schemeClr>
                  </w14:solidFill>
                </w14:textFill>
              </w:rPr>
              <w:t>，</w:t>
            </w:r>
            <w:r>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t>公司新能源电池集流体业务增长强劲的原因是什么？</w:t>
            </w:r>
          </w:p>
          <w:p w14:paraId="2C9E3523">
            <w:pPr>
              <w:spacing w:line="360" w:lineRule="auto"/>
              <w:ind w:firstLine="440" w:firstLineChars="200"/>
              <w:rPr>
                <w:rFonts w:hint="eastAsia" w:ascii="华文楷体" w:hAnsi="华文楷体" w:eastAsia="华文楷体"/>
                <w:b w:val="0"/>
                <w:bCs/>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t>回答：</w:t>
            </w:r>
            <w:r>
              <w:rPr>
                <w:rFonts w:hint="eastAsia" w:ascii="华文楷体" w:hAnsi="华文楷体" w:eastAsia="华文楷体"/>
                <w:b w:val="0"/>
                <w:bCs/>
                <w:color w:val="0D0D0D" w:themeColor="text1" w:themeTint="F2"/>
                <w:sz w:val="22"/>
                <w:szCs w:val="22"/>
                <w14:textFill>
                  <w14:solidFill>
                    <w14:schemeClr w14:val="tx1">
                      <w14:lumMod w14:val="95000"/>
                      <w14:lumOff w14:val="5000"/>
                    </w14:schemeClr>
                  </w14:solidFill>
                </w14:textFill>
              </w:rPr>
              <w:t>公司锚定研发创新，紧跟锂电技术迭代与性能升级趋势，打造出特种基材涂层集流体、功能性阻燃隔热涂层、高性能电极边涂等多元化产品矩阵，精准契合客户在能量密度、快充及安全防护等维度的定制诉求。</w:t>
            </w:r>
          </w:p>
          <w:p w14:paraId="3E7040E9">
            <w:pPr>
              <w:spacing w:line="360" w:lineRule="auto"/>
              <w:ind w:firstLine="440" w:firstLineChars="200"/>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 w:val="0"/>
                <w:bCs/>
                <w:color w:val="0D0D0D" w:themeColor="text1" w:themeTint="F2"/>
                <w:sz w:val="22"/>
                <w:szCs w:val="22"/>
                <w14:textFill>
                  <w14:solidFill>
                    <w14:schemeClr w14:val="tx1">
                      <w14:lumMod w14:val="95000"/>
                      <w14:lumOff w14:val="5000"/>
                    </w14:schemeClr>
                  </w14:solidFill>
                </w14:textFill>
              </w:rPr>
              <w:t>得益于稳定的产品品质与高效服务，</w:t>
            </w:r>
            <w:r>
              <w:rPr>
                <w:rFonts w:hint="eastAsia" w:ascii="华文楷体" w:hAnsi="华文楷体" w:eastAsia="华文楷体"/>
                <w:b w:val="0"/>
                <w:bCs/>
                <w:color w:val="0D0D0D" w:themeColor="text1" w:themeTint="F2"/>
                <w:sz w:val="22"/>
                <w:szCs w:val="22"/>
                <w:lang w:val="en-US" w:eastAsia="zh-CN"/>
                <w14:textFill>
                  <w14:solidFill>
                    <w14:schemeClr w14:val="tx1">
                      <w14:lumMod w14:val="95000"/>
                      <w14:lumOff w14:val="5000"/>
                    </w14:schemeClr>
                  </w14:solidFill>
                </w14:textFill>
              </w:rPr>
              <w:t>公司与多家锂电下游客户建立了稳定的合作关系，</w:t>
            </w:r>
            <w:r>
              <w:rPr>
                <w:rFonts w:hint="eastAsia" w:ascii="华文楷体" w:hAnsi="华文楷体" w:eastAsia="华文楷体"/>
                <w:b w:val="0"/>
                <w:bCs/>
                <w:color w:val="0D0D0D" w:themeColor="text1" w:themeTint="F2"/>
                <w:sz w:val="22"/>
                <w:szCs w:val="22"/>
                <w14:textFill>
                  <w14:solidFill>
                    <w14:schemeClr w14:val="tx1">
                      <w14:lumMod w14:val="95000"/>
                      <w14:lumOff w14:val="5000"/>
                    </w14:schemeClr>
                  </w14:solidFill>
                </w14:textFill>
              </w:rPr>
              <w:t>公司新能源电池集流体</w:t>
            </w:r>
            <w:r>
              <w:rPr>
                <w:rFonts w:hint="eastAsia" w:ascii="华文楷体" w:hAnsi="华文楷体" w:eastAsia="华文楷体"/>
                <w:b w:val="0"/>
                <w:bCs/>
                <w:color w:val="0D0D0D" w:themeColor="text1" w:themeTint="F2"/>
                <w:sz w:val="22"/>
                <w:szCs w:val="22"/>
                <w:lang w:val="en-US" w:eastAsia="zh-CN"/>
                <w14:textFill>
                  <w14:solidFill>
                    <w14:schemeClr w14:val="tx1">
                      <w14:lumMod w14:val="95000"/>
                      <w14:lumOff w14:val="5000"/>
                    </w14:schemeClr>
                  </w14:solidFill>
                </w14:textFill>
              </w:rPr>
              <w:t>订单量</w:t>
            </w:r>
            <w:r>
              <w:rPr>
                <w:rFonts w:hint="eastAsia" w:ascii="华文楷体" w:hAnsi="华文楷体" w:eastAsia="华文楷体"/>
                <w:b w:val="0"/>
                <w:bCs/>
                <w:color w:val="0D0D0D" w:themeColor="text1" w:themeTint="F2"/>
                <w:sz w:val="22"/>
                <w:szCs w:val="22"/>
                <w14:textFill>
                  <w14:solidFill>
                    <w14:schemeClr w14:val="tx1">
                      <w14:lumMod w14:val="95000"/>
                      <w14:lumOff w14:val="5000"/>
                    </w14:schemeClr>
                  </w14:solidFill>
                </w14:textFill>
              </w:rPr>
              <w:t>充足，产能利用率持续高位</w:t>
            </w:r>
            <w:r>
              <w:rPr>
                <w:rFonts w:hint="eastAsia" w:ascii="华文楷体" w:hAnsi="华文楷体" w:eastAsia="华文楷体"/>
                <w:b w:val="0"/>
                <w:bCs/>
                <w:color w:val="0D0D0D" w:themeColor="text1" w:themeTint="F2"/>
                <w:sz w:val="22"/>
                <w:szCs w:val="22"/>
                <w:lang w:val="en-US" w:eastAsia="zh-CN"/>
                <w14:textFill>
                  <w14:solidFill>
                    <w14:schemeClr w14:val="tx1">
                      <w14:lumMod w14:val="95000"/>
                      <w14:lumOff w14:val="5000"/>
                    </w14:schemeClr>
                  </w14:solidFill>
                </w14:textFill>
              </w:rPr>
              <w:t>。为提升公司交付能力，</w:t>
            </w:r>
            <w:r>
              <w:rPr>
                <w:rFonts w:hint="eastAsia" w:ascii="华文楷体" w:hAnsi="华文楷体" w:eastAsia="华文楷体"/>
                <w:b w:val="0"/>
                <w:bCs/>
                <w:color w:val="0D0D0D" w:themeColor="text1" w:themeTint="F2"/>
                <w:sz w:val="22"/>
                <w:szCs w:val="22"/>
                <w14:textFill>
                  <w14:solidFill>
                    <w14:schemeClr w14:val="tx1">
                      <w14:lumMod w14:val="95000"/>
                      <w14:lumOff w14:val="5000"/>
                    </w14:schemeClr>
                  </w14:solidFill>
                </w14:textFill>
              </w:rPr>
              <w:t>公司加速推进国内基地建设，多地产能有序释放</w:t>
            </w:r>
            <w:r>
              <w:rPr>
                <w:rFonts w:hint="eastAsia" w:ascii="华文楷体" w:hAnsi="华文楷体" w:eastAsia="华文楷体"/>
                <w:b w:val="0"/>
                <w:bCs/>
                <w:color w:val="0D0D0D" w:themeColor="text1" w:themeTint="F2"/>
                <w:sz w:val="22"/>
                <w:szCs w:val="22"/>
                <w:lang w:eastAsia="zh-CN"/>
                <w14:textFill>
                  <w14:solidFill>
                    <w14:schemeClr w14:val="tx1">
                      <w14:lumMod w14:val="95000"/>
                      <w14:lumOff w14:val="5000"/>
                    </w14:schemeClr>
                  </w14:solidFill>
                </w14:textFill>
              </w:rPr>
              <w:t>，</w:t>
            </w:r>
            <w:r>
              <w:rPr>
                <w:rFonts w:hint="eastAsia" w:ascii="华文楷体" w:hAnsi="华文楷体" w:eastAsia="华文楷体"/>
                <w:b w:val="0"/>
                <w:bCs/>
                <w:color w:val="0D0D0D" w:themeColor="text1" w:themeTint="F2"/>
                <w:sz w:val="22"/>
                <w:szCs w:val="22"/>
                <w14:textFill>
                  <w14:solidFill>
                    <w14:schemeClr w14:val="tx1">
                      <w14:lumMod w14:val="95000"/>
                      <w14:lumOff w14:val="5000"/>
                    </w14:schemeClr>
                  </w14:solidFill>
                </w14:textFill>
              </w:rPr>
              <w:t>为业务持续增长提供支撑。</w:t>
            </w:r>
          </w:p>
          <w:p w14:paraId="21F4C0EE">
            <w:pPr>
              <w:spacing w:line="360" w:lineRule="auto"/>
              <w:ind w:firstLine="440" w:firstLineChars="200"/>
              <w:rPr>
                <w:rFonts w:ascii="华文楷体" w:hAnsi="华文楷体" w:eastAsia="华文楷体"/>
                <w:b/>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
                <w:color w:val="0D0D0D" w:themeColor="text1" w:themeTint="F2"/>
                <w:sz w:val="22"/>
                <w:szCs w:val="22"/>
                <w:lang w:val="en-US" w:eastAsia="zh-CN"/>
                <w14:textFill>
                  <w14:solidFill>
                    <w14:schemeClr w14:val="tx1">
                      <w14:lumMod w14:val="95000"/>
                      <w14:lumOff w14:val="5000"/>
                    </w14:schemeClr>
                  </w14:solidFill>
                </w14:textFill>
              </w:rPr>
              <w:t>问题六：</w:t>
            </w:r>
            <w:r>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t>公司涂碳铜箔产品目前情况如何？</w:t>
            </w:r>
          </w:p>
          <w:p w14:paraId="662E6A6C">
            <w:pPr>
              <w:spacing w:line="360" w:lineRule="auto"/>
              <w:ind w:firstLine="440" w:firstLineChars="200"/>
              <w:rPr>
                <w:rFonts w:ascii="华文楷体" w:hAnsi="华文楷体" w:eastAsia="华文楷体"/>
                <w:bCs/>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t>回答：</w:t>
            </w:r>
            <w:r>
              <w:rPr>
                <w:rFonts w:hint="eastAsia" w:ascii="华文楷体" w:hAnsi="华文楷体" w:eastAsia="华文楷体"/>
                <w:b w:val="0"/>
                <w:color w:val="0D0D0D" w:themeColor="text1" w:themeTint="F2"/>
                <w:sz w:val="22"/>
                <w:szCs w:val="22"/>
                <w14:textFill>
                  <w14:solidFill>
                    <w14:schemeClr w14:val="tx1">
                      <w14:lumMod w14:val="95000"/>
                      <w14:lumOff w14:val="5000"/>
                    </w14:schemeClr>
                  </w14:solidFill>
                </w14:textFill>
              </w:rPr>
              <w:t>公司涂碳铜箔产品已实现量产及批量出货，</w:t>
            </w:r>
            <w:r>
              <w:rPr>
                <w:rFonts w:hint="eastAsia" w:ascii="华文楷体" w:hAnsi="华文楷体" w:eastAsia="华文楷体"/>
                <w:bCs/>
                <w:color w:val="0D0D0D" w:themeColor="text1" w:themeTint="F2"/>
                <w:sz w:val="22"/>
                <w:szCs w:val="22"/>
                <w14:textFill>
                  <w14:solidFill>
                    <w14:schemeClr w14:val="tx1">
                      <w14:lumMod w14:val="95000"/>
                      <w14:lumOff w14:val="5000"/>
                    </w14:schemeClr>
                  </w14:solidFill>
                </w14:textFill>
              </w:rPr>
              <w:t>主要应用于锂电池负极集流体，能有效改善硅碳负极附着力，降低电池内阻及动态内阻增幅，提升电池组使用一致性，减小极化现象，显著强化倍率性能、低温性能与循环寿命。公司依托精密涂布技术及自主开发的浆料体系，攻克了超薄铜箔涂布易损伤、涂层附着力差、产品良率低等工艺难点，已实现超薄基材大宽幅涂碳铜箔的稳定生产，有效提升材料利用率，为下游电池企业降低裁切损耗、提高生产效率。</w:t>
            </w:r>
          </w:p>
          <w:p w14:paraId="5463BAA6">
            <w:pPr>
              <w:spacing w:line="360" w:lineRule="auto"/>
              <w:ind w:firstLine="440" w:firstLineChars="200"/>
              <w:rPr>
                <w:rFonts w:ascii="华文楷体" w:hAnsi="华文楷体" w:eastAsia="华文楷体"/>
                <w:b/>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Cs/>
                <w:color w:val="0D0D0D" w:themeColor="text1" w:themeTint="F2"/>
                <w:sz w:val="22"/>
                <w:szCs w:val="22"/>
                <w14:textFill>
                  <w14:solidFill>
                    <w14:schemeClr w14:val="tx1">
                      <w14:lumMod w14:val="95000"/>
                      <w14:lumOff w14:val="5000"/>
                    </w14:schemeClr>
                  </w14:solidFill>
                </w14:textFill>
              </w:rPr>
              <w:t>当前涂碳铜箔主要适配高性能快充动力电池场景，量产工艺门槛较高，行业内可稳定量产的企业较为稀缺。受益于高压快充与硅基负极技术的加速渗透，下游客户对接需求持续增加，公司正在积极跟进客户验证与导入工作，客户拓展稳步推进。</w:t>
            </w:r>
          </w:p>
          <w:p w14:paraId="33465E53">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t>问题</w:t>
            </w:r>
            <w:r>
              <w:rPr>
                <w:rFonts w:hint="eastAsia" w:ascii="华文楷体" w:hAnsi="华文楷体" w:eastAsia="华文楷体"/>
                <w:b/>
                <w:color w:val="0D0D0D" w:themeColor="text1" w:themeTint="F2"/>
                <w:sz w:val="22"/>
                <w:szCs w:val="22"/>
                <w:lang w:val="en-US" w:eastAsia="zh-CN"/>
                <w14:textFill>
                  <w14:solidFill>
                    <w14:schemeClr w14:val="tx1">
                      <w14:lumMod w14:val="95000"/>
                      <w14:lumOff w14:val="5000"/>
                    </w14:schemeClr>
                  </w14:solidFill>
                </w14:textFill>
              </w:rPr>
              <w:t>七</w:t>
            </w:r>
            <w:r>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t>：公司功能性胶膜与FFC</w:t>
            </w:r>
            <w:r>
              <w:rPr>
                <w:rFonts w:hint="eastAsia" w:ascii="华文楷体" w:hAnsi="华文楷体" w:eastAsia="华文楷体"/>
                <w:b/>
                <w:color w:val="0D0D0D" w:themeColor="text1" w:themeTint="F2"/>
                <w:sz w:val="22"/>
                <w:szCs w:val="22"/>
                <w:lang w:val="en-US" w:eastAsia="zh-CN"/>
                <w14:textFill>
                  <w14:solidFill>
                    <w14:schemeClr w14:val="tx1">
                      <w14:lumMod w14:val="95000"/>
                      <w14:lumOff w14:val="5000"/>
                    </w14:schemeClr>
                  </w14:solidFill>
                </w14:textFill>
              </w:rPr>
              <w:t>业务</w:t>
            </w:r>
            <w:r>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t>的</w:t>
            </w:r>
            <w:r>
              <w:rPr>
                <w:rFonts w:hint="eastAsia" w:ascii="华文楷体" w:hAnsi="华文楷体" w:eastAsia="华文楷体"/>
                <w:b/>
                <w:color w:val="0D0D0D" w:themeColor="text1" w:themeTint="F2"/>
                <w:sz w:val="22"/>
                <w:szCs w:val="22"/>
                <w:lang w:val="en-US" w:eastAsia="zh-CN"/>
                <w14:textFill>
                  <w14:solidFill>
                    <w14:schemeClr w14:val="tx1">
                      <w14:lumMod w14:val="95000"/>
                      <w14:lumOff w14:val="5000"/>
                    </w14:schemeClr>
                  </w14:solidFill>
                </w14:textFill>
              </w:rPr>
              <w:t>竞争优势</w:t>
            </w:r>
            <w:r>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t>是什么？</w:t>
            </w:r>
          </w:p>
          <w:p w14:paraId="1288654F">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华文楷体" w:hAnsi="华文楷体" w:eastAsia="华文楷体"/>
                <w:b w:val="0"/>
                <w:bCs/>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t>回答：</w:t>
            </w:r>
            <w:r>
              <w:rPr>
                <w:rFonts w:hint="eastAsia" w:ascii="华文楷体" w:hAnsi="华文楷体" w:eastAsia="华文楷体"/>
                <w:b w:val="0"/>
                <w:bCs/>
                <w:color w:val="0D0D0D" w:themeColor="text1" w:themeTint="F2"/>
                <w:sz w:val="22"/>
                <w:szCs w:val="22"/>
                <w14:textFill>
                  <w14:solidFill>
                    <w14:schemeClr w14:val="tx1">
                      <w14:lumMod w14:val="95000"/>
                      <w14:lumOff w14:val="5000"/>
                    </w14:schemeClr>
                  </w14:solidFill>
                </w14:textFill>
              </w:rPr>
              <w:t>公司依托长期积累的胶粘剂配方与精密涂布技术优势，深耕功能性胶膜及其应用产品的研发与场景化应用，掌握了材料-胶膜-应用产品的全链条开发体系，可针对不同应用场景</w:t>
            </w:r>
            <w:bookmarkStart w:id="0" w:name="_GoBack"/>
            <w:bookmarkEnd w:id="0"/>
            <w:r>
              <w:rPr>
                <w:rFonts w:hint="eastAsia" w:ascii="华文楷体" w:hAnsi="华文楷体" w:eastAsia="华文楷体"/>
                <w:b w:val="0"/>
                <w:bCs/>
                <w:color w:val="0D0D0D" w:themeColor="text1" w:themeTint="F2"/>
                <w:sz w:val="22"/>
                <w:szCs w:val="22"/>
                <w14:textFill>
                  <w14:solidFill>
                    <w14:schemeClr w14:val="tx1">
                      <w14:lumMod w14:val="95000"/>
                      <w14:lumOff w14:val="5000"/>
                    </w14:schemeClr>
                  </w14:solidFill>
                </w14:textFill>
              </w:rPr>
              <w:t>快速提供定制化解决方案，且该体系需要长期配方数据与涂布工艺参数</w:t>
            </w:r>
            <w:r>
              <w:rPr>
                <w:rFonts w:hint="eastAsia" w:ascii="华文楷体" w:hAnsi="华文楷体" w:eastAsia="华文楷体"/>
                <w:b w:val="0"/>
                <w:bCs/>
                <w:color w:val="0D0D0D" w:themeColor="text1" w:themeTint="F2"/>
                <w:sz w:val="22"/>
                <w:szCs w:val="22"/>
                <w:lang w:val="en-US" w:eastAsia="zh-CN"/>
                <w14:textFill>
                  <w14:solidFill>
                    <w14:schemeClr w14:val="tx1">
                      <w14:lumMod w14:val="95000"/>
                      <w14:lumOff w14:val="5000"/>
                    </w14:schemeClr>
                  </w14:solidFill>
                </w14:textFill>
              </w:rPr>
              <w:t>的</w:t>
            </w:r>
            <w:r>
              <w:rPr>
                <w:rFonts w:hint="eastAsia" w:ascii="华文楷体" w:hAnsi="华文楷体" w:eastAsia="华文楷体"/>
                <w:b w:val="0"/>
                <w:bCs/>
                <w:color w:val="0D0D0D" w:themeColor="text1" w:themeTint="F2"/>
                <w:sz w:val="22"/>
                <w:szCs w:val="22"/>
                <w14:textFill>
                  <w14:solidFill>
                    <w14:schemeClr w14:val="tx1">
                      <w14:lumMod w14:val="95000"/>
                      <w14:lumOff w14:val="5000"/>
                    </w14:schemeClr>
                  </w14:solidFill>
                </w14:textFill>
              </w:rPr>
              <w:t>积累，叠加客户认证周期，短期内难以复制。</w:t>
            </w:r>
            <w:r>
              <w:rPr>
                <w:rFonts w:hint="eastAsia" w:ascii="华文楷体" w:hAnsi="华文楷体" w:eastAsia="华文楷体"/>
                <w:b w:val="0"/>
                <w:bCs/>
                <w:color w:val="0D0D0D" w:themeColor="text1" w:themeTint="F2"/>
                <w:sz w:val="22"/>
                <w:szCs w:val="22"/>
                <w:lang w:val="en-US" w:eastAsia="zh-CN"/>
                <w14:textFill>
                  <w14:solidFill>
                    <w14:schemeClr w14:val="tx1">
                      <w14:lumMod w14:val="95000"/>
                      <w14:lumOff w14:val="5000"/>
                    </w14:schemeClr>
                  </w14:solidFill>
                </w14:textFill>
              </w:rPr>
              <w:t>同时，</w:t>
            </w:r>
            <w:r>
              <w:rPr>
                <w:rFonts w:hint="eastAsia" w:ascii="华文楷体" w:hAnsi="华文楷体" w:eastAsia="华文楷体"/>
                <w:b w:val="0"/>
                <w:bCs/>
                <w:color w:val="0D0D0D" w:themeColor="text1" w:themeTint="F2"/>
                <w:sz w:val="22"/>
                <w:szCs w:val="22"/>
                <w14:textFill>
                  <w14:solidFill>
                    <w14:schemeClr w14:val="tx1">
                      <w14:lumMod w14:val="95000"/>
                      <w14:lumOff w14:val="5000"/>
                    </w14:schemeClr>
                  </w14:solidFill>
                </w14:textFill>
              </w:rPr>
              <w:t>公司持续加大在新能源汽车、储能及服务器等新兴领域的市场拓展力度，产品结构持续优化，高附加值产品占比进一步提升</w:t>
            </w:r>
            <w:r>
              <w:rPr>
                <w:rFonts w:hint="eastAsia" w:ascii="华文楷体" w:hAnsi="华文楷体" w:eastAsia="华文楷体"/>
                <w:b w:val="0"/>
                <w:bCs/>
                <w:color w:val="0D0D0D" w:themeColor="text1" w:themeTint="F2"/>
                <w:sz w:val="22"/>
                <w:szCs w:val="22"/>
                <w:lang w:eastAsia="zh-CN"/>
                <w14:textFill>
                  <w14:solidFill>
                    <w14:schemeClr w14:val="tx1">
                      <w14:lumMod w14:val="95000"/>
                      <w14:lumOff w14:val="5000"/>
                    </w14:schemeClr>
                  </w14:solidFill>
                </w14:textFill>
              </w:rPr>
              <w:t>。高附加值产品矩阵的不断丰富与占比提升，既强化了公司在新兴赛道的竞争壁垒，也为盈利质量改善与业务规模增长提供了双重支撑</w:t>
            </w:r>
            <w:r>
              <w:rPr>
                <w:rFonts w:hint="eastAsia" w:ascii="华文楷体" w:hAnsi="华文楷体" w:eastAsia="华文楷体"/>
                <w:b w:val="0"/>
                <w:bCs/>
                <w:color w:val="0D0D0D" w:themeColor="text1" w:themeTint="F2"/>
                <w:sz w:val="22"/>
                <w:szCs w:val="22"/>
                <w14:textFill>
                  <w14:solidFill>
                    <w14:schemeClr w14:val="tx1">
                      <w14:lumMod w14:val="95000"/>
                      <w14:lumOff w14:val="5000"/>
                    </w14:schemeClr>
                  </w14:solidFill>
                </w14:textFill>
              </w:rPr>
              <w:t>。</w:t>
            </w:r>
          </w:p>
          <w:p w14:paraId="486393F2">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
                <w:bCs w:val="0"/>
                <w:color w:val="0D0D0D" w:themeColor="text1" w:themeTint="F2"/>
                <w:sz w:val="22"/>
                <w:szCs w:val="22"/>
                <w:lang w:val="en-US" w:eastAsia="zh-CN"/>
                <w14:textFill>
                  <w14:solidFill>
                    <w14:schemeClr w14:val="tx1">
                      <w14:lumMod w14:val="95000"/>
                      <w14:lumOff w14:val="5000"/>
                    </w14:schemeClr>
                  </w14:solidFill>
                </w14:textFill>
              </w:rPr>
              <w:t>问题八：</w:t>
            </w:r>
            <w:r>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t>功能性胶膜与FFC在服务器领域的客户导入进展如何？</w:t>
            </w:r>
          </w:p>
          <w:p w14:paraId="6B89CBA4">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default" w:ascii="华文楷体" w:hAnsi="华文楷体" w:eastAsia="华文楷体"/>
                <w:bCs/>
                <w:color w:val="0D0D0D" w:themeColor="text1" w:themeTint="F2"/>
                <w:sz w:val="22"/>
                <w:szCs w:val="22"/>
                <w:lang w:val="en-US" w:eastAsia="zh-CN"/>
                <w14:textFill>
                  <w14:solidFill>
                    <w14:schemeClr w14:val="tx1">
                      <w14:lumMod w14:val="95000"/>
                      <w14:lumOff w14:val="5000"/>
                    </w14:schemeClr>
                  </w14:solidFill>
                </w14:textFill>
              </w:rPr>
            </w:pPr>
            <w:r>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t>回答：</w:t>
            </w:r>
            <w:r>
              <w:rPr>
                <w:rFonts w:hint="default" w:ascii="华文楷体" w:hAnsi="华文楷体" w:eastAsia="华文楷体"/>
                <w:bCs/>
                <w:color w:val="0D0D0D" w:themeColor="text1" w:themeTint="F2"/>
                <w:sz w:val="22"/>
                <w:szCs w:val="22"/>
                <w:lang w:val="en-US" w:eastAsia="zh-CN"/>
                <w14:textFill>
                  <w14:solidFill>
                    <w14:schemeClr w14:val="tx1">
                      <w14:lumMod w14:val="95000"/>
                      <w14:lumOff w14:val="5000"/>
                    </w14:schemeClr>
                  </w14:solidFill>
                </w14:textFill>
              </w:rPr>
              <w:t>受AI技术加速普及与规模化落地驱动，服务器及数据中心对高频高速传输、低介电损耗、高可靠性等核心性能的技术</w:t>
            </w:r>
            <w:r>
              <w:rPr>
                <w:rFonts w:hint="eastAsia" w:ascii="华文楷体" w:hAnsi="华文楷体" w:eastAsia="华文楷体"/>
                <w:bCs/>
                <w:color w:val="0D0D0D" w:themeColor="text1" w:themeTint="F2"/>
                <w:sz w:val="22"/>
                <w:szCs w:val="22"/>
                <w:lang w:val="en-US" w:eastAsia="zh-CN"/>
                <w14:textFill>
                  <w14:solidFill>
                    <w14:schemeClr w14:val="tx1">
                      <w14:lumMod w14:val="95000"/>
                      <w14:lumOff w14:val="5000"/>
                    </w14:schemeClr>
                  </w14:solidFill>
                </w14:textFill>
              </w:rPr>
              <w:t>需求</w:t>
            </w:r>
            <w:r>
              <w:rPr>
                <w:rFonts w:hint="default" w:ascii="华文楷体" w:hAnsi="华文楷体" w:eastAsia="华文楷体"/>
                <w:bCs/>
                <w:color w:val="0D0D0D" w:themeColor="text1" w:themeTint="F2"/>
                <w:sz w:val="22"/>
                <w:szCs w:val="22"/>
                <w:lang w:val="en-US" w:eastAsia="zh-CN"/>
                <w14:textFill>
                  <w14:solidFill>
                    <w14:schemeClr w14:val="tx1">
                      <w14:lumMod w14:val="95000"/>
                      <w14:lumOff w14:val="5000"/>
                    </w14:schemeClr>
                  </w14:solidFill>
                </w14:textFill>
              </w:rPr>
              <w:t>持续提升。公司精准把握该领域高端材料迭代的行业窗口，定向攻坚并完成系列高性能功能性胶膜、高频高速FFC产品的开发落地，可充分匹配服务器与数据中心对高频信号传输质量、系统长期运行稳定性的严苛要求，实现了公司产品矩阵在服务器场景的覆盖延伸</w:t>
            </w:r>
            <w:r>
              <w:rPr>
                <w:rFonts w:hint="eastAsia" w:ascii="华文楷体" w:hAnsi="华文楷体" w:eastAsia="华文楷体"/>
                <w:bCs/>
                <w:color w:val="0D0D0D" w:themeColor="text1" w:themeTint="F2"/>
                <w:sz w:val="22"/>
                <w:szCs w:val="22"/>
                <w:lang w:val="en-US" w:eastAsia="zh-CN"/>
                <w14:textFill>
                  <w14:solidFill>
                    <w14:schemeClr w14:val="tx1">
                      <w14:lumMod w14:val="95000"/>
                      <w14:lumOff w14:val="5000"/>
                    </w14:schemeClr>
                  </w14:solidFill>
                </w14:textFill>
              </w:rPr>
              <w:t>。</w:t>
            </w:r>
          </w:p>
        </w:tc>
      </w:tr>
    </w:tbl>
    <w:p w14:paraId="09C6B48A">
      <w:pPr>
        <w:spacing w:line="360" w:lineRule="auto"/>
        <w:rPr>
          <w:rFonts w:ascii="华文楷体" w:hAnsi="华文楷体" w:eastAsia="华文楷体"/>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7EC"/>
    <w:rsid w:val="00000F19"/>
    <w:rsid w:val="00001A1A"/>
    <w:rsid w:val="00001F13"/>
    <w:rsid w:val="00003713"/>
    <w:rsid w:val="00004082"/>
    <w:rsid w:val="00004594"/>
    <w:rsid w:val="00004FE2"/>
    <w:rsid w:val="00005475"/>
    <w:rsid w:val="00006DF1"/>
    <w:rsid w:val="00010693"/>
    <w:rsid w:val="0001087D"/>
    <w:rsid w:val="00011793"/>
    <w:rsid w:val="00012074"/>
    <w:rsid w:val="000140DA"/>
    <w:rsid w:val="000144CA"/>
    <w:rsid w:val="00015463"/>
    <w:rsid w:val="0001566E"/>
    <w:rsid w:val="00015C53"/>
    <w:rsid w:val="00016D92"/>
    <w:rsid w:val="00017673"/>
    <w:rsid w:val="00017B45"/>
    <w:rsid w:val="00020990"/>
    <w:rsid w:val="00020CD1"/>
    <w:rsid w:val="0002163D"/>
    <w:rsid w:val="00023703"/>
    <w:rsid w:val="0002405F"/>
    <w:rsid w:val="00024F71"/>
    <w:rsid w:val="0002583A"/>
    <w:rsid w:val="00025AEA"/>
    <w:rsid w:val="000266D1"/>
    <w:rsid w:val="0002673B"/>
    <w:rsid w:val="000269DB"/>
    <w:rsid w:val="00026F5A"/>
    <w:rsid w:val="00030D95"/>
    <w:rsid w:val="000318DD"/>
    <w:rsid w:val="00033130"/>
    <w:rsid w:val="0003520C"/>
    <w:rsid w:val="000358B9"/>
    <w:rsid w:val="0003597E"/>
    <w:rsid w:val="000360B0"/>
    <w:rsid w:val="000361D4"/>
    <w:rsid w:val="0003681A"/>
    <w:rsid w:val="00040469"/>
    <w:rsid w:val="00041740"/>
    <w:rsid w:val="0004192C"/>
    <w:rsid w:val="00041BCB"/>
    <w:rsid w:val="000454C3"/>
    <w:rsid w:val="00046C7A"/>
    <w:rsid w:val="00047405"/>
    <w:rsid w:val="000514E0"/>
    <w:rsid w:val="00051948"/>
    <w:rsid w:val="00051BE7"/>
    <w:rsid w:val="00052327"/>
    <w:rsid w:val="00052547"/>
    <w:rsid w:val="00052578"/>
    <w:rsid w:val="000528E7"/>
    <w:rsid w:val="00052E1F"/>
    <w:rsid w:val="00054038"/>
    <w:rsid w:val="00054E3C"/>
    <w:rsid w:val="00055CEC"/>
    <w:rsid w:val="00057D95"/>
    <w:rsid w:val="00060165"/>
    <w:rsid w:val="00060496"/>
    <w:rsid w:val="000609A0"/>
    <w:rsid w:val="0006170C"/>
    <w:rsid w:val="00061A35"/>
    <w:rsid w:val="00062096"/>
    <w:rsid w:val="00063EC5"/>
    <w:rsid w:val="000646F5"/>
    <w:rsid w:val="00064EE7"/>
    <w:rsid w:val="000653F2"/>
    <w:rsid w:val="00066739"/>
    <w:rsid w:val="00066D1B"/>
    <w:rsid w:val="00067491"/>
    <w:rsid w:val="0006775B"/>
    <w:rsid w:val="000702A6"/>
    <w:rsid w:val="00070784"/>
    <w:rsid w:val="000727C4"/>
    <w:rsid w:val="00072E89"/>
    <w:rsid w:val="00073ED0"/>
    <w:rsid w:val="000750A3"/>
    <w:rsid w:val="00076D8B"/>
    <w:rsid w:val="00077646"/>
    <w:rsid w:val="000810B9"/>
    <w:rsid w:val="000811A9"/>
    <w:rsid w:val="00082D76"/>
    <w:rsid w:val="000839E8"/>
    <w:rsid w:val="00084172"/>
    <w:rsid w:val="000841F3"/>
    <w:rsid w:val="00084217"/>
    <w:rsid w:val="00085E11"/>
    <w:rsid w:val="00087CBB"/>
    <w:rsid w:val="0009022E"/>
    <w:rsid w:val="00091402"/>
    <w:rsid w:val="0009275D"/>
    <w:rsid w:val="000930F5"/>
    <w:rsid w:val="00093522"/>
    <w:rsid w:val="000960BF"/>
    <w:rsid w:val="00096FF8"/>
    <w:rsid w:val="000A067D"/>
    <w:rsid w:val="000A082F"/>
    <w:rsid w:val="000A1D1D"/>
    <w:rsid w:val="000A2724"/>
    <w:rsid w:val="000A3675"/>
    <w:rsid w:val="000A3A9D"/>
    <w:rsid w:val="000A42DE"/>
    <w:rsid w:val="000A54F1"/>
    <w:rsid w:val="000A57F7"/>
    <w:rsid w:val="000A58E7"/>
    <w:rsid w:val="000A5E61"/>
    <w:rsid w:val="000A6A5C"/>
    <w:rsid w:val="000A73D6"/>
    <w:rsid w:val="000A7757"/>
    <w:rsid w:val="000B059B"/>
    <w:rsid w:val="000B16E4"/>
    <w:rsid w:val="000B212C"/>
    <w:rsid w:val="000B4F3F"/>
    <w:rsid w:val="000B518C"/>
    <w:rsid w:val="000B6758"/>
    <w:rsid w:val="000B7D23"/>
    <w:rsid w:val="000C1233"/>
    <w:rsid w:val="000C159F"/>
    <w:rsid w:val="000C2123"/>
    <w:rsid w:val="000C252F"/>
    <w:rsid w:val="000C2769"/>
    <w:rsid w:val="000C3342"/>
    <w:rsid w:val="000C579C"/>
    <w:rsid w:val="000C5E2F"/>
    <w:rsid w:val="000C631D"/>
    <w:rsid w:val="000C651A"/>
    <w:rsid w:val="000C6D52"/>
    <w:rsid w:val="000D1FEA"/>
    <w:rsid w:val="000D248E"/>
    <w:rsid w:val="000D2B39"/>
    <w:rsid w:val="000D2B63"/>
    <w:rsid w:val="000D62AE"/>
    <w:rsid w:val="000D62CC"/>
    <w:rsid w:val="000E06B0"/>
    <w:rsid w:val="000E07F7"/>
    <w:rsid w:val="000E141A"/>
    <w:rsid w:val="000E164F"/>
    <w:rsid w:val="000E1724"/>
    <w:rsid w:val="000E51A7"/>
    <w:rsid w:val="000E5D64"/>
    <w:rsid w:val="000E662B"/>
    <w:rsid w:val="000E793E"/>
    <w:rsid w:val="000F0D6C"/>
    <w:rsid w:val="000F1836"/>
    <w:rsid w:val="000F228B"/>
    <w:rsid w:val="000F2E97"/>
    <w:rsid w:val="000F3C3B"/>
    <w:rsid w:val="000F4C79"/>
    <w:rsid w:val="000F4CE9"/>
    <w:rsid w:val="000F4F4A"/>
    <w:rsid w:val="000F4FB3"/>
    <w:rsid w:val="000F54CF"/>
    <w:rsid w:val="000F7EB4"/>
    <w:rsid w:val="001000D2"/>
    <w:rsid w:val="00100384"/>
    <w:rsid w:val="0010130C"/>
    <w:rsid w:val="00101C48"/>
    <w:rsid w:val="0010262C"/>
    <w:rsid w:val="00102B1C"/>
    <w:rsid w:val="00103587"/>
    <w:rsid w:val="00103D51"/>
    <w:rsid w:val="0010720D"/>
    <w:rsid w:val="00107911"/>
    <w:rsid w:val="00107DBB"/>
    <w:rsid w:val="00113446"/>
    <w:rsid w:val="00113CDE"/>
    <w:rsid w:val="001150F6"/>
    <w:rsid w:val="001152B5"/>
    <w:rsid w:val="001158DA"/>
    <w:rsid w:val="00115967"/>
    <w:rsid w:val="00115ADC"/>
    <w:rsid w:val="00117FE9"/>
    <w:rsid w:val="00121BA6"/>
    <w:rsid w:val="00121F64"/>
    <w:rsid w:val="00122150"/>
    <w:rsid w:val="001222B1"/>
    <w:rsid w:val="00122A8E"/>
    <w:rsid w:val="00122C80"/>
    <w:rsid w:val="00123E98"/>
    <w:rsid w:val="00124508"/>
    <w:rsid w:val="00124982"/>
    <w:rsid w:val="00124F10"/>
    <w:rsid w:val="00125830"/>
    <w:rsid w:val="00126403"/>
    <w:rsid w:val="00132BCB"/>
    <w:rsid w:val="0013456B"/>
    <w:rsid w:val="00134A3B"/>
    <w:rsid w:val="00135209"/>
    <w:rsid w:val="00135512"/>
    <w:rsid w:val="00135784"/>
    <w:rsid w:val="00135959"/>
    <w:rsid w:val="00135A03"/>
    <w:rsid w:val="001364A8"/>
    <w:rsid w:val="00140F11"/>
    <w:rsid w:val="0014132A"/>
    <w:rsid w:val="001415E6"/>
    <w:rsid w:val="001419CD"/>
    <w:rsid w:val="00141FDE"/>
    <w:rsid w:val="00143369"/>
    <w:rsid w:val="001433E7"/>
    <w:rsid w:val="0014385E"/>
    <w:rsid w:val="00145852"/>
    <w:rsid w:val="00146D4E"/>
    <w:rsid w:val="00147EC6"/>
    <w:rsid w:val="00150DB8"/>
    <w:rsid w:val="00150F36"/>
    <w:rsid w:val="00151DB7"/>
    <w:rsid w:val="00151EAC"/>
    <w:rsid w:val="00152209"/>
    <w:rsid w:val="001534F8"/>
    <w:rsid w:val="00153ED2"/>
    <w:rsid w:val="00154166"/>
    <w:rsid w:val="001548BD"/>
    <w:rsid w:val="00155595"/>
    <w:rsid w:val="00155F1A"/>
    <w:rsid w:val="00156062"/>
    <w:rsid w:val="0015697C"/>
    <w:rsid w:val="00157B58"/>
    <w:rsid w:val="00161177"/>
    <w:rsid w:val="00162FD4"/>
    <w:rsid w:val="0016396F"/>
    <w:rsid w:val="00165501"/>
    <w:rsid w:val="00165BBA"/>
    <w:rsid w:val="00165FF3"/>
    <w:rsid w:val="0016699F"/>
    <w:rsid w:val="00166F33"/>
    <w:rsid w:val="00167435"/>
    <w:rsid w:val="00167DA3"/>
    <w:rsid w:val="00170159"/>
    <w:rsid w:val="001706EC"/>
    <w:rsid w:val="00171715"/>
    <w:rsid w:val="00172B31"/>
    <w:rsid w:val="00172C90"/>
    <w:rsid w:val="001732D9"/>
    <w:rsid w:val="0017340A"/>
    <w:rsid w:val="001734B8"/>
    <w:rsid w:val="00173B30"/>
    <w:rsid w:val="0017432B"/>
    <w:rsid w:val="001756EC"/>
    <w:rsid w:val="001768A3"/>
    <w:rsid w:val="00180B38"/>
    <w:rsid w:val="00180BC0"/>
    <w:rsid w:val="00181819"/>
    <w:rsid w:val="0018216A"/>
    <w:rsid w:val="001829F3"/>
    <w:rsid w:val="00183ADD"/>
    <w:rsid w:val="001862D0"/>
    <w:rsid w:val="001878A5"/>
    <w:rsid w:val="00187BC5"/>
    <w:rsid w:val="00190540"/>
    <w:rsid w:val="0019193A"/>
    <w:rsid w:val="00196C96"/>
    <w:rsid w:val="001A069B"/>
    <w:rsid w:val="001A06D8"/>
    <w:rsid w:val="001A09AE"/>
    <w:rsid w:val="001A1925"/>
    <w:rsid w:val="001A275B"/>
    <w:rsid w:val="001A2C1A"/>
    <w:rsid w:val="001A3744"/>
    <w:rsid w:val="001A3BBE"/>
    <w:rsid w:val="001A43E8"/>
    <w:rsid w:val="001A54FB"/>
    <w:rsid w:val="001A5599"/>
    <w:rsid w:val="001A65DC"/>
    <w:rsid w:val="001A7519"/>
    <w:rsid w:val="001A7AD6"/>
    <w:rsid w:val="001B0309"/>
    <w:rsid w:val="001B12A8"/>
    <w:rsid w:val="001B2DC1"/>
    <w:rsid w:val="001B3BBA"/>
    <w:rsid w:val="001C2442"/>
    <w:rsid w:val="001C2A95"/>
    <w:rsid w:val="001C322D"/>
    <w:rsid w:val="001C41F8"/>
    <w:rsid w:val="001C4289"/>
    <w:rsid w:val="001C4807"/>
    <w:rsid w:val="001C67C0"/>
    <w:rsid w:val="001C713C"/>
    <w:rsid w:val="001C74C0"/>
    <w:rsid w:val="001C7A34"/>
    <w:rsid w:val="001C7BF2"/>
    <w:rsid w:val="001D0B5F"/>
    <w:rsid w:val="001D17BE"/>
    <w:rsid w:val="001D323C"/>
    <w:rsid w:val="001D495F"/>
    <w:rsid w:val="001D49F6"/>
    <w:rsid w:val="001D4D05"/>
    <w:rsid w:val="001D4FB7"/>
    <w:rsid w:val="001D7D34"/>
    <w:rsid w:val="001E0842"/>
    <w:rsid w:val="001E1337"/>
    <w:rsid w:val="001E3202"/>
    <w:rsid w:val="001E336C"/>
    <w:rsid w:val="001E5B1E"/>
    <w:rsid w:val="001E64BB"/>
    <w:rsid w:val="001E6AF3"/>
    <w:rsid w:val="001E6BD3"/>
    <w:rsid w:val="001E6E97"/>
    <w:rsid w:val="001E735D"/>
    <w:rsid w:val="001F0F65"/>
    <w:rsid w:val="001F1ADD"/>
    <w:rsid w:val="001F2F09"/>
    <w:rsid w:val="001F383F"/>
    <w:rsid w:val="001F449D"/>
    <w:rsid w:val="001F5A22"/>
    <w:rsid w:val="001F7AE9"/>
    <w:rsid w:val="002002D9"/>
    <w:rsid w:val="002006DA"/>
    <w:rsid w:val="00200743"/>
    <w:rsid w:val="00200A68"/>
    <w:rsid w:val="002011E5"/>
    <w:rsid w:val="00201412"/>
    <w:rsid w:val="002015E0"/>
    <w:rsid w:val="00201B3E"/>
    <w:rsid w:val="002030D1"/>
    <w:rsid w:val="00203329"/>
    <w:rsid w:val="00203755"/>
    <w:rsid w:val="00204B6D"/>
    <w:rsid w:val="00205D3A"/>
    <w:rsid w:val="002071A3"/>
    <w:rsid w:val="002071D4"/>
    <w:rsid w:val="002072F4"/>
    <w:rsid w:val="002106B3"/>
    <w:rsid w:val="00210F3C"/>
    <w:rsid w:val="0021116D"/>
    <w:rsid w:val="002118E2"/>
    <w:rsid w:val="002129CC"/>
    <w:rsid w:val="00212C8C"/>
    <w:rsid w:val="00213A1E"/>
    <w:rsid w:val="00213CD8"/>
    <w:rsid w:val="00216535"/>
    <w:rsid w:val="00216F3C"/>
    <w:rsid w:val="002170B1"/>
    <w:rsid w:val="00217678"/>
    <w:rsid w:val="00217BB0"/>
    <w:rsid w:val="002209C3"/>
    <w:rsid w:val="002216AA"/>
    <w:rsid w:val="00224CE0"/>
    <w:rsid w:val="002258CF"/>
    <w:rsid w:val="00225C93"/>
    <w:rsid w:val="00226766"/>
    <w:rsid w:val="0023089D"/>
    <w:rsid w:val="002310F0"/>
    <w:rsid w:val="00233347"/>
    <w:rsid w:val="002345E2"/>
    <w:rsid w:val="002367FD"/>
    <w:rsid w:val="002373A0"/>
    <w:rsid w:val="002407F1"/>
    <w:rsid w:val="00240C69"/>
    <w:rsid w:val="0024226B"/>
    <w:rsid w:val="00242B6E"/>
    <w:rsid w:val="00242C52"/>
    <w:rsid w:val="00243342"/>
    <w:rsid w:val="002448C0"/>
    <w:rsid w:val="00244D6C"/>
    <w:rsid w:val="002462B9"/>
    <w:rsid w:val="0024735F"/>
    <w:rsid w:val="00247370"/>
    <w:rsid w:val="002507AB"/>
    <w:rsid w:val="00250B6E"/>
    <w:rsid w:val="00250E1E"/>
    <w:rsid w:val="00250EFE"/>
    <w:rsid w:val="0025121F"/>
    <w:rsid w:val="00251FC5"/>
    <w:rsid w:val="00252E45"/>
    <w:rsid w:val="00253B85"/>
    <w:rsid w:val="00253D96"/>
    <w:rsid w:val="00253E24"/>
    <w:rsid w:val="00257A58"/>
    <w:rsid w:val="00257BE4"/>
    <w:rsid w:val="00260351"/>
    <w:rsid w:val="002617AD"/>
    <w:rsid w:val="00261B70"/>
    <w:rsid w:val="0026270A"/>
    <w:rsid w:val="0026280E"/>
    <w:rsid w:val="00262DE4"/>
    <w:rsid w:val="002639EC"/>
    <w:rsid w:val="00263C64"/>
    <w:rsid w:val="00267716"/>
    <w:rsid w:val="002677D5"/>
    <w:rsid w:val="00270912"/>
    <w:rsid w:val="00271871"/>
    <w:rsid w:val="00272FEB"/>
    <w:rsid w:val="00274277"/>
    <w:rsid w:val="002748E0"/>
    <w:rsid w:val="002751BA"/>
    <w:rsid w:val="002752FF"/>
    <w:rsid w:val="00275E0D"/>
    <w:rsid w:val="00276BFB"/>
    <w:rsid w:val="00276C6D"/>
    <w:rsid w:val="00277070"/>
    <w:rsid w:val="002814DC"/>
    <w:rsid w:val="00281CDF"/>
    <w:rsid w:val="00281D35"/>
    <w:rsid w:val="00282175"/>
    <w:rsid w:val="00282BD0"/>
    <w:rsid w:val="00283143"/>
    <w:rsid w:val="0028391B"/>
    <w:rsid w:val="00283C5C"/>
    <w:rsid w:val="00285C84"/>
    <w:rsid w:val="00287691"/>
    <w:rsid w:val="00291A82"/>
    <w:rsid w:val="00291C29"/>
    <w:rsid w:val="00291CC1"/>
    <w:rsid w:val="00294C9B"/>
    <w:rsid w:val="002953F7"/>
    <w:rsid w:val="00295A7C"/>
    <w:rsid w:val="00296050"/>
    <w:rsid w:val="00296627"/>
    <w:rsid w:val="002A0494"/>
    <w:rsid w:val="002A0CBE"/>
    <w:rsid w:val="002A2AE7"/>
    <w:rsid w:val="002A44D9"/>
    <w:rsid w:val="002A540E"/>
    <w:rsid w:val="002A7518"/>
    <w:rsid w:val="002A7C83"/>
    <w:rsid w:val="002B0419"/>
    <w:rsid w:val="002B190F"/>
    <w:rsid w:val="002B3022"/>
    <w:rsid w:val="002B33FE"/>
    <w:rsid w:val="002B392F"/>
    <w:rsid w:val="002B5A88"/>
    <w:rsid w:val="002B68E9"/>
    <w:rsid w:val="002B7361"/>
    <w:rsid w:val="002B75CD"/>
    <w:rsid w:val="002B765C"/>
    <w:rsid w:val="002C0772"/>
    <w:rsid w:val="002C10E3"/>
    <w:rsid w:val="002C25DB"/>
    <w:rsid w:val="002C2F0E"/>
    <w:rsid w:val="002C3F86"/>
    <w:rsid w:val="002C46FD"/>
    <w:rsid w:val="002C561E"/>
    <w:rsid w:val="002C698B"/>
    <w:rsid w:val="002C699E"/>
    <w:rsid w:val="002C744A"/>
    <w:rsid w:val="002D0DF3"/>
    <w:rsid w:val="002D1411"/>
    <w:rsid w:val="002D21D9"/>
    <w:rsid w:val="002D2874"/>
    <w:rsid w:val="002D290A"/>
    <w:rsid w:val="002D397E"/>
    <w:rsid w:val="002D3F7E"/>
    <w:rsid w:val="002D43EB"/>
    <w:rsid w:val="002D49F2"/>
    <w:rsid w:val="002D551B"/>
    <w:rsid w:val="002D77EC"/>
    <w:rsid w:val="002D77F4"/>
    <w:rsid w:val="002E02C5"/>
    <w:rsid w:val="002E035F"/>
    <w:rsid w:val="002E0519"/>
    <w:rsid w:val="002E061A"/>
    <w:rsid w:val="002E0EDA"/>
    <w:rsid w:val="002E32CE"/>
    <w:rsid w:val="002E3F08"/>
    <w:rsid w:val="002E4ED7"/>
    <w:rsid w:val="002E6B1E"/>
    <w:rsid w:val="002E74F1"/>
    <w:rsid w:val="002E754F"/>
    <w:rsid w:val="002E7A7E"/>
    <w:rsid w:val="002F0533"/>
    <w:rsid w:val="002F0687"/>
    <w:rsid w:val="002F1251"/>
    <w:rsid w:val="002F130D"/>
    <w:rsid w:val="002F18D5"/>
    <w:rsid w:val="002F3371"/>
    <w:rsid w:val="002F5C7B"/>
    <w:rsid w:val="002F5F9F"/>
    <w:rsid w:val="002F67DF"/>
    <w:rsid w:val="002F7572"/>
    <w:rsid w:val="002F7E58"/>
    <w:rsid w:val="003006CD"/>
    <w:rsid w:val="00300ABA"/>
    <w:rsid w:val="00300D7E"/>
    <w:rsid w:val="00301F43"/>
    <w:rsid w:val="00302377"/>
    <w:rsid w:val="00302520"/>
    <w:rsid w:val="0030267D"/>
    <w:rsid w:val="00305AC5"/>
    <w:rsid w:val="00305B56"/>
    <w:rsid w:val="003073EA"/>
    <w:rsid w:val="00310135"/>
    <w:rsid w:val="00310EA1"/>
    <w:rsid w:val="0031297E"/>
    <w:rsid w:val="00313D60"/>
    <w:rsid w:val="003149C0"/>
    <w:rsid w:val="00315E13"/>
    <w:rsid w:val="00315F56"/>
    <w:rsid w:val="00317F3A"/>
    <w:rsid w:val="003212AA"/>
    <w:rsid w:val="00321354"/>
    <w:rsid w:val="003218C1"/>
    <w:rsid w:val="00321D1B"/>
    <w:rsid w:val="00326512"/>
    <w:rsid w:val="00327A16"/>
    <w:rsid w:val="00327BB0"/>
    <w:rsid w:val="00327D58"/>
    <w:rsid w:val="0033077F"/>
    <w:rsid w:val="00330871"/>
    <w:rsid w:val="00330BD6"/>
    <w:rsid w:val="00331E92"/>
    <w:rsid w:val="003320B3"/>
    <w:rsid w:val="003325A2"/>
    <w:rsid w:val="00333576"/>
    <w:rsid w:val="00333C63"/>
    <w:rsid w:val="00333D77"/>
    <w:rsid w:val="00333E99"/>
    <w:rsid w:val="003355F6"/>
    <w:rsid w:val="00337B7B"/>
    <w:rsid w:val="003413D7"/>
    <w:rsid w:val="00341D81"/>
    <w:rsid w:val="00342F60"/>
    <w:rsid w:val="0034350E"/>
    <w:rsid w:val="00343E35"/>
    <w:rsid w:val="00344301"/>
    <w:rsid w:val="00345B1E"/>
    <w:rsid w:val="00346861"/>
    <w:rsid w:val="00346C45"/>
    <w:rsid w:val="003474DB"/>
    <w:rsid w:val="0035115A"/>
    <w:rsid w:val="00352619"/>
    <w:rsid w:val="003545DD"/>
    <w:rsid w:val="00354CE6"/>
    <w:rsid w:val="00354D74"/>
    <w:rsid w:val="00355914"/>
    <w:rsid w:val="00355B99"/>
    <w:rsid w:val="00357B86"/>
    <w:rsid w:val="00360CC6"/>
    <w:rsid w:val="0036114E"/>
    <w:rsid w:val="00361152"/>
    <w:rsid w:val="003612FC"/>
    <w:rsid w:val="00362678"/>
    <w:rsid w:val="00362A90"/>
    <w:rsid w:val="00364843"/>
    <w:rsid w:val="00365D0B"/>
    <w:rsid w:val="00366127"/>
    <w:rsid w:val="00366414"/>
    <w:rsid w:val="00367301"/>
    <w:rsid w:val="003677FA"/>
    <w:rsid w:val="00367BD7"/>
    <w:rsid w:val="00370752"/>
    <w:rsid w:val="00371A35"/>
    <w:rsid w:val="00372495"/>
    <w:rsid w:val="0037249C"/>
    <w:rsid w:val="003726F0"/>
    <w:rsid w:val="00372CCE"/>
    <w:rsid w:val="00373EA5"/>
    <w:rsid w:val="00374FB6"/>
    <w:rsid w:val="003774DB"/>
    <w:rsid w:val="0037786C"/>
    <w:rsid w:val="00377DAB"/>
    <w:rsid w:val="0038179C"/>
    <w:rsid w:val="0038363B"/>
    <w:rsid w:val="00384D43"/>
    <w:rsid w:val="00385A02"/>
    <w:rsid w:val="003860D3"/>
    <w:rsid w:val="003907B6"/>
    <w:rsid w:val="003925FB"/>
    <w:rsid w:val="003930FC"/>
    <w:rsid w:val="0039624C"/>
    <w:rsid w:val="00396708"/>
    <w:rsid w:val="003973C4"/>
    <w:rsid w:val="003A0570"/>
    <w:rsid w:val="003A0F33"/>
    <w:rsid w:val="003A13EB"/>
    <w:rsid w:val="003A631F"/>
    <w:rsid w:val="003A74AE"/>
    <w:rsid w:val="003A7E41"/>
    <w:rsid w:val="003A7E55"/>
    <w:rsid w:val="003B10CA"/>
    <w:rsid w:val="003B171C"/>
    <w:rsid w:val="003B2844"/>
    <w:rsid w:val="003B2C7A"/>
    <w:rsid w:val="003B3BF4"/>
    <w:rsid w:val="003B76B2"/>
    <w:rsid w:val="003B79AE"/>
    <w:rsid w:val="003C2114"/>
    <w:rsid w:val="003C3356"/>
    <w:rsid w:val="003C3630"/>
    <w:rsid w:val="003C6858"/>
    <w:rsid w:val="003D06B7"/>
    <w:rsid w:val="003D08D5"/>
    <w:rsid w:val="003D0F77"/>
    <w:rsid w:val="003D351B"/>
    <w:rsid w:val="003D3D30"/>
    <w:rsid w:val="003D6ADE"/>
    <w:rsid w:val="003D6E2C"/>
    <w:rsid w:val="003E14E0"/>
    <w:rsid w:val="003E15EA"/>
    <w:rsid w:val="003E23D4"/>
    <w:rsid w:val="003E367F"/>
    <w:rsid w:val="003E43A6"/>
    <w:rsid w:val="003E49F3"/>
    <w:rsid w:val="003E4C22"/>
    <w:rsid w:val="003E5CE4"/>
    <w:rsid w:val="003E5DC6"/>
    <w:rsid w:val="003E7F21"/>
    <w:rsid w:val="003F0962"/>
    <w:rsid w:val="003F1C80"/>
    <w:rsid w:val="003F31FF"/>
    <w:rsid w:val="003F41E9"/>
    <w:rsid w:val="003F42D5"/>
    <w:rsid w:val="003F5571"/>
    <w:rsid w:val="003F5822"/>
    <w:rsid w:val="003F5AB4"/>
    <w:rsid w:val="003F63F5"/>
    <w:rsid w:val="003F7B63"/>
    <w:rsid w:val="003F7D98"/>
    <w:rsid w:val="00400456"/>
    <w:rsid w:val="004008F7"/>
    <w:rsid w:val="00400D7E"/>
    <w:rsid w:val="00401097"/>
    <w:rsid w:val="004027C7"/>
    <w:rsid w:val="00402D0D"/>
    <w:rsid w:val="00403575"/>
    <w:rsid w:val="00404D24"/>
    <w:rsid w:val="00405068"/>
    <w:rsid w:val="0040514C"/>
    <w:rsid w:val="0040655A"/>
    <w:rsid w:val="00406CAC"/>
    <w:rsid w:val="00407360"/>
    <w:rsid w:val="00407A66"/>
    <w:rsid w:val="004107F3"/>
    <w:rsid w:val="00410902"/>
    <w:rsid w:val="00410AFE"/>
    <w:rsid w:val="00410FAF"/>
    <w:rsid w:val="00411788"/>
    <w:rsid w:val="004123EC"/>
    <w:rsid w:val="00412F1C"/>
    <w:rsid w:val="00413581"/>
    <w:rsid w:val="00413E01"/>
    <w:rsid w:val="00413FAE"/>
    <w:rsid w:val="0041504C"/>
    <w:rsid w:val="00416DE0"/>
    <w:rsid w:val="00417B74"/>
    <w:rsid w:val="00417D12"/>
    <w:rsid w:val="00421323"/>
    <w:rsid w:val="00423C4E"/>
    <w:rsid w:val="004258F3"/>
    <w:rsid w:val="004268EC"/>
    <w:rsid w:val="0043033E"/>
    <w:rsid w:val="004306DE"/>
    <w:rsid w:val="00430E1B"/>
    <w:rsid w:val="004315A5"/>
    <w:rsid w:val="00431BC7"/>
    <w:rsid w:val="00431C15"/>
    <w:rsid w:val="004320A6"/>
    <w:rsid w:val="00432D7C"/>
    <w:rsid w:val="004360BE"/>
    <w:rsid w:val="00436772"/>
    <w:rsid w:val="00437B96"/>
    <w:rsid w:val="004407FB"/>
    <w:rsid w:val="00440FEC"/>
    <w:rsid w:val="00441FB3"/>
    <w:rsid w:val="0044203C"/>
    <w:rsid w:val="00444518"/>
    <w:rsid w:val="004453F3"/>
    <w:rsid w:val="00445631"/>
    <w:rsid w:val="00445B74"/>
    <w:rsid w:val="004460DD"/>
    <w:rsid w:val="0044613E"/>
    <w:rsid w:val="00446659"/>
    <w:rsid w:val="00446B27"/>
    <w:rsid w:val="0044759D"/>
    <w:rsid w:val="00451120"/>
    <w:rsid w:val="004531B8"/>
    <w:rsid w:val="0045339E"/>
    <w:rsid w:val="00454844"/>
    <w:rsid w:val="00455BE2"/>
    <w:rsid w:val="00457AAD"/>
    <w:rsid w:val="00457F47"/>
    <w:rsid w:val="00460438"/>
    <w:rsid w:val="00460C8E"/>
    <w:rsid w:val="00461E48"/>
    <w:rsid w:val="00461FE7"/>
    <w:rsid w:val="0046295C"/>
    <w:rsid w:val="00462962"/>
    <w:rsid w:val="00462977"/>
    <w:rsid w:val="00463394"/>
    <w:rsid w:val="00463B6F"/>
    <w:rsid w:val="004643B7"/>
    <w:rsid w:val="00465875"/>
    <w:rsid w:val="004664D0"/>
    <w:rsid w:val="004666F4"/>
    <w:rsid w:val="004678EC"/>
    <w:rsid w:val="0047159E"/>
    <w:rsid w:val="00473754"/>
    <w:rsid w:val="00475291"/>
    <w:rsid w:val="00475355"/>
    <w:rsid w:val="00475DBB"/>
    <w:rsid w:val="00475F9F"/>
    <w:rsid w:val="00476BED"/>
    <w:rsid w:val="0048006B"/>
    <w:rsid w:val="00480C74"/>
    <w:rsid w:val="004810A2"/>
    <w:rsid w:val="00481665"/>
    <w:rsid w:val="00481E36"/>
    <w:rsid w:val="004841F3"/>
    <w:rsid w:val="004855AE"/>
    <w:rsid w:val="00485AD0"/>
    <w:rsid w:val="004872B9"/>
    <w:rsid w:val="00490707"/>
    <w:rsid w:val="0049102F"/>
    <w:rsid w:val="004916A4"/>
    <w:rsid w:val="004918C3"/>
    <w:rsid w:val="0049193A"/>
    <w:rsid w:val="004932C7"/>
    <w:rsid w:val="00493E43"/>
    <w:rsid w:val="004952F4"/>
    <w:rsid w:val="00495DCE"/>
    <w:rsid w:val="004960B9"/>
    <w:rsid w:val="004964AA"/>
    <w:rsid w:val="00496815"/>
    <w:rsid w:val="004A09DC"/>
    <w:rsid w:val="004A1562"/>
    <w:rsid w:val="004A1640"/>
    <w:rsid w:val="004A1CED"/>
    <w:rsid w:val="004A1EB8"/>
    <w:rsid w:val="004A2093"/>
    <w:rsid w:val="004A4302"/>
    <w:rsid w:val="004A548A"/>
    <w:rsid w:val="004A5B66"/>
    <w:rsid w:val="004A66B2"/>
    <w:rsid w:val="004A77D6"/>
    <w:rsid w:val="004B1AA3"/>
    <w:rsid w:val="004B2B14"/>
    <w:rsid w:val="004B39FF"/>
    <w:rsid w:val="004B5471"/>
    <w:rsid w:val="004B5B5A"/>
    <w:rsid w:val="004B5EA3"/>
    <w:rsid w:val="004C0459"/>
    <w:rsid w:val="004C0669"/>
    <w:rsid w:val="004C118A"/>
    <w:rsid w:val="004C185A"/>
    <w:rsid w:val="004C1AEF"/>
    <w:rsid w:val="004C230A"/>
    <w:rsid w:val="004C2BDF"/>
    <w:rsid w:val="004C35D5"/>
    <w:rsid w:val="004C3620"/>
    <w:rsid w:val="004C3CF3"/>
    <w:rsid w:val="004C69B7"/>
    <w:rsid w:val="004C7206"/>
    <w:rsid w:val="004D074E"/>
    <w:rsid w:val="004D095D"/>
    <w:rsid w:val="004D15C7"/>
    <w:rsid w:val="004D1650"/>
    <w:rsid w:val="004D2095"/>
    <w:rsid w:val="004D2D4C"/>
    <w:rsid w:val="004D2F5F"/>
    <w:rsid w:val="004D33A2"/>
    <w:rsid w:val="004D3BCD"/>
    <w:rsid w:val="004D3C4D"/>
    <w:rsid w:val="004D4CFE"/>
    <w:rsid w:val="004D53F6"/>
    <w:rsid w:val="004D5AB3"/>
    <w:rsid w:val="004D7677"/>
    <w:rsid w:val="004E0115"/>
    <w:rsid w:val="004E0E09"/>
    <w:rsid w:val="004E1259"/>
    <w:rsid w:val="004E1A21"/>
    <w:rsid w:val="004E1AC9"/>
    <w:rsid w:val="004E2665"/>
    <w:rsid w:val="004E2F44"/>
    <w:rsid w:val="004E2FFB"/>
    <w:rsid w:val="004E44A7"/>
    <w:rsid w:val="004E4AD9"/>
    <w:rsid w:val="004E5C1C"/>
    <w:rsid w:val="004E7128"/>
    <w:rsid w:val="004F0099"/>
    <w:rsid w:val="004F31BE"/>
    <w:rsid w:val="004F75C7"/>
    <w:rsid w:val="00502BFE"/>
    <w:rsid w:val="005031C4"/>
    <w:rsid w:val="00503C81"/>
    <w:rsid w:val="00504F68"/>
    <w:rsid w:val="00507F13"/>
    <w:rsid w:val="00510AFC"/>
    <w:rsid w:val="005111B9"/>
    <w:rsid w:val="00511221"/>
    <w:rsid w:val="00511B6E"/>
    <w:rsid w:val="00512AF5"/>
    <w:rsid w:val="0051456F"/>
    <w:rsid w:val="00514CAB"/>
    <w:rsid w:val="0051549A"/>
    <w:rsid w:val="00516DD5"/>
    <w:rsid w:val="00517433"/>
    <w:rsid w:val="0052071A"/>
    <w:rsid w:val="005210BD"/>
    <w:rsid w:val="00521382"/>
    <w:rsid w:val="0052195F"/>
    <w:rsid w:val="005221FF"/>
    <w:rsid w:val="00523C32"/>
    <w:rsid w:val="00524325"/>
    <w:rsid w:val="005250EB"/>
    <w:rsid w:val="00527667"/>
    <w:rsid w:val="00530111"/>
    <w:rsid w:val="005307E7"/>
    <w:rsid w:val="005309C4"/>
    <w:rsid w:val="00530D15"/>
    <w:rsid w:val="00530E54"/>
    <w:rsid w:val="005315E8"/>
    <w:rsid w:val="005335F7"/>
    <w:rsid w:val="005337B7"/>
    <w:rsid w:val="005338D2"/>
    <w:rsid w:val="00533A39"/>
    <w:rsid w:val="00534819"/>
    <w:rsid w:val="00534DBA"/>
    <w:rsid w:val="0053671D"/>
    <w:rsid w:val="0053697C"/>
    <w:rsid w:val="00537E5D"/>
    <w:rsid w:val="0054047F"/>
    <w:rsid w:val="00540AA5"/>
    <w:rsid w:val="00541A21"/>
    <w:rsid w:val="0054292A"/>
    <w:rsid w:val="00542966"/>
    <w:rsid w:val="00544FAB"/>
    <w:rsid w:val="0054640E"/>
    <w:rsid w:val="00546BFA"/>
    <w:rsid w:val="00547665"/>
    <w:rsid w:val="00547BA8"/>
    <w:rsid w:val="005501A4"/>
    <w:rsid w:val="0055080D"/>
    <w:rsid w:val="00552237"/>
    <w:rsid w:val="00552A4A"/>
    <w:rsid w:val="00553A5B"/>
    <w:rsid w:val="00553CC0"/>
    <w:rsid w:val="00553FCC"/>
    <w:rsid w:val="00554CDB"/>
    <w:rsid w:val="00556376"/>
    <w:rsid w:val="0056011E"/>
    <w:rsid w:val="0056113C"/>
    <w:rsid w:val="00561495"/>
    <w:rsid w:val="005616E0"/>
    <w:rsid w:val="00561803"/>
    <w:rsid w:val="00561EAD"/>
    <w:rsid w:val="0056222B"/>
    <w:rsid w:val="0056364F"/>
    <w:rsid w:val="00563B04"/>
    <w:rsid w:val="00565492"/>
    <w:rsid w:val="00565C8B"/>
    <w:rsid w:val="005663B9"/>
    <w:rsid w:val="0056723E"/>
    <w:rsid w:val="00567FAC"/>
    <w:rsid w:val="0057092C"/>
    <w:rsid w:val="005712F0"/>
    <w:rsid w:val="0057212B"/>
    <w:rsid w:val="00572592"/>
    <w:rsid w:val="00572990"/>
    <w:rsid w:val="005733B0"/>
    <w:rsid w:val="00573458"/>
    <w:rsid w:val="0057526E"/>
    <w:rsid w:val="00576A69"/>
    <w:rsid w:val="005774D2"/>
    <w:rsid w:val="00580A79"/>
    <w:rsid w:val="00582040"/>
    <w:rsid w:val="00582432"/>
    <w:rsid w:val="00584C7B"/>
    <w:rsid w:val="00584FEC"/>
    <w:rsid w:val="005867B5"/>
    <w:rsid w:val="00587220"/>
    <w:rsid w:val="005929F2"/>
    <w:rsid w:val="005935B2"/>
    <w:rsid w:val="00594E37"/>
    <w:rsid w:val="0059519E"/>
    <w:rsid w:val="00596C6F"/>
    <w:rsid w:val="00596FED"/>
    <w:rsid w:val="00597D15"/>
    <w:rsid w:val="00597E79"/>
    <w:rsid w:val="005A0939"/>
    <w:rsid w:val="005A2AD2"/>
    <w:rsid w:val="005A313C"/>
    <w:rsid w:val="005A483F"/>
    <w:rsid w:val="005A4A77"/>
    <w:rsid w:val="005A50A4"/>
    <w:rsid w:val="005A70F3"/>
    <w:rsid w:val="005B1273"/>
    <w:rsid w:val="005B149F"/>
    <w:rsid w:val="005B1EAB"/>
    <w:rsid w:val="005B2056"/>
    <w:rsid w:val="005B368F"/>
    <w:rsid w:val="005B37C5"/>
    <w:rsid w:val="005B3AFC"/>
    <w:rsid w:val="005B4D1B"/>
    <w:rsid w:val="005B4E7F"/>
    <w:rsid w:val="005B5474"/>
    <w:rsid w:val="005B556D"/>
    <w:rsid w:val="005B6626"/>
    <w:rsid w:val="005B7855"/>
    <w:rsid w:val="005C2744"/>
    <w:rsid w:val="005C3FD8"/>
    <w:rsid w:val="005C4653"/>
    <w:rsid w:val="005C4934"/>
    <w:rsid w:val="005C49AE"/>
    <w:rsid w:val="005C56F9"/>
    <w:rsid w:val="005C6513"/>
    <w:rsid w:val="005C7623"/>
    <w:rsid w:val="005C7C68"/>
    <w:rsid w:val="005C7F02"/>
    <w:rsid w:val="005D03AF"/>
    <w:rsid w:val="005D15D9"/>
    <w:rsid w:val="005D185F"/>
    <w:rsid w:val="005D2673"/>
    <w:rsid w:val="005D27B0"/>
    <w:rsid w:val="005D2F06"/>
    <w:rsid w:val="005D3EEF"/>
    <w:rsid w:val="005D4534"/>
    <w:rsid w:val="005D69B8"/>
    <w:rsid w:val="005D6C8A"/>
    <w:rsid w:val="005D7BAC"/>
    <w:rsid w:val="005E022B"/>
    <w:rsid w:val="005E0627"/>
    <w:rsid w:val="005E11A8"/>
    <w:rsid w:val="005E2EC3"/>
    <w:rsid w:val="005E326E"/>
    <w:rsid w:val="005E6A60"/>
    <w:rsid w:val="005E7B21"/>
    <w:rsid w:val="005F05B2"/>
    <w:rsid w:val="005F2D45"/>
    <w:rsid w:val="005F557C"/>
    <w:rsid w:val="005F6E1E"/>
    <w:rsid w:val="006002EB"/>
    <w:rsid w:val="0060212E"/>
    <w:rsid w:val="00602DB9"/>
    <w:rsid w:val="00605024"/>
    <w:rsid w:val="00606E9C"/>
    <w:rsid w:val="0061176D"/>
    <w:rsid w:val="006128ED"/>
    <w:rsid w:val="00612BB4"/>
    <w:rsid w:val="00612CC4"/>
    <w:rsid w:val="00613374"/>
    <w:rsid w:val="006133FD"/>
    <w:rsid w:val="00613692"/>
    <w:rsid w:val="00614189"/>
    <w:rsid w:val="00615824"/>
    <w:rsid w:val="0061634F"/>
    <w:rsid w:val="00616D0F"/>
    <w:rsid w:val="00616E5E"/>
    <w:rsid w:val="00617281"/>
    <w:rsid w:val="00620FFD"/>
    <w:rsid w:val="006214E8"/>
    <w:rsid w:val="0062171C"/>
    <w:rsid w:val="00622900"/>
    <w:rsid w:val="00622948"/>
    <w:rsid w:val="00622B1C"/>
    <w:rsid w:val="00623959"/>
    <w:rsid w:val="00624E81"/>
    <w:rsid w:val="00624F01"/>
    <w:rsid w:val="00625B69"/>
    <w:rsid w:val="00625D84"/>
    <w:rsid w:val="00626493"/>
    <w:rsid w:val="006276D4"/>
    <w:rsid w:val="00627903"/>
    <w:rsid w:val="00630FCA"/>
    <w:rsid w:val="00632519"/>
    <w:rsid w:val="00632F52"/>
    <w:rsid w:val="00633A04"/>
    <w:rsid w:val="00634B29"/>
    <w:rsid w:val="0063553F"/>
    <w:rsid w:val="006356BC"/>
    <w:rsid w:val="00635C23"/>
    <w:rsid w:val="00636E55"/>
    <w:rsid w:val="006401E8"/>
    <w:rsid w:val="00640CE6"/>
    <w:rsid w:val="00641652"/>
    <w:rsid w:val="00642022"/>
    <w:rsid w:val="00643161"/>
    <w:rsid w:val="00644BB9"/>
    <w:rsid w:val="00646056"/>
    <w:rsid w:val="0064634A"/>
    <w:rsid w:val="006465B7"/>
    <w:rsid w:val="0064664E"/>
    <w:rsid w:val="00647031"/>
    <w:rsid w:val="00651667"/>
    <w:rsid w:val="00653536"/>
    <w:rsid w:val="00654E21"/>
    <w:rsid w:val="00655735"/>
    <w:rsid w:val="00656DC9"/>
    <w:rsid w:val="00657165"/>
    <w:rsid w:val="006601EF"/>
    <w:rsid w:val="00660641"/>
    <w:rsid w:val="0066072C"/>
    <w:rsid w:val="00660E99"/>
    <w:rsid w:val="00662244"/>
    <w:rsid w:val="006635B5"/>
    <w:rsid w:val="00663CA4"/>
    <w:rsid w:val="0066463B"/>
    <w:rsid w:val="006648FC"/>
    <w:rsid w:val="00666EE2"/>
    <w:rsid w:val="00667207"/>
    <w:rsid w:val="00667837"/>
    <w:rsid w:val="0067025D"/>
    <w:rsid w:val="006708A5"/>
    <w:rsid w:val="00670D81"/>
    <w:rsid w:val="00671353"/>
    <w:rsid w:val="00671FA9"/>
    <w:rsid w:val="0067225F"/>
    <w:rsid w:val="006730DE"/>
    <w:rsid w:val="00673D27"/>
    <w:rsid w:val="006763C4"/>
    <w:rsid w:val="00676D5A"/>
    <w:rsid w:val="00681586"/>
    <w:rsid w:val="00681F7F"/>
    <w:rsid w:val="006843A8"/>
    <w:rsid w:val="006846BC"/>
    <w:rsid w:val="00684C90"/>
    <w:rsid w:val="006868CD"/>
    <w:rsid w:val="00687BBD"/>
    <w:rsid w:val="006909A3"/>
    <w:rsid w:val="00690A8F"/>
    <w:rsid w:val="00690E7F"/>
    <w:rsid w:val="0069231D"/>
    <w:rsid w:val="00693475"/>
    <w:rsid w:val="006934F6"/>
    <w:rsid w:val="00693EC5"/>
    <w:rsid w:val="006941BA"/>
    <w:rsid w:val="00695A16"/>
    <w:rsid w:val="006960E2"/>
    <w:rsid w:val="00696A97"/>
    <w:rsid w:val="00696D02"/>
    <w:rsid w:val="006A0A15"/>
    <w:rsid w:val="006A0F70"/>
    <w:rsid w:val="006A0FC5"/>
    <w:rsid w:val="006A2CC0"/>
    <w:rsid w:val="006A3314"/>
    <w:rsid w:val="006A43F0"/>
    <w:rsid w:val="006A4616"/>
    <w:rsid w:val="006A4E9B"/>
    <w:rsid w:val="006A5C09"/>
    <w:rsid w:val="006A6622"/>
    <w:rsid w:val="006A762E"/>
    <w:rsid w:val="006A7669"/>
    <w:rsid w:val="006B00C0"/>
    <w:rsid w:val="006B02C3"/>
    <w:rsid w:val="006B051A"/>
    <w:rsid w:val="006B0837"/>
    <w:rsid w:val="006B1798"/>
    <w:rsid w:val="006B3294"/>
    <w:rsid w:val="006B350A"/>
    <w:rsid w:val="006B542A"/>
    <w:rsid w:val="006B5C29"/>
    <w:rsid w:val="006B7476"/>
    <w:rsid w:val="006C016D"/>
    <w:rsid w:val="006C1A27"/>
    <w:rsid w:val="006C464E"/>
    <w:rsid w:val="006C507A"/>
    <w:rsid w:val="006C6F97"/>
    <w:rsid w:val="006C79B3"/>
    <w:rsid w:val="006D0491"/>
    <w:rsid w:val="006D0946"/>
    <w:rsid w:val="006D2426"/>
    <w:rsid w:val="006D287F"/>
    <w:rsid w:val="006D30AA"/>
    <w:rsid w:val="006D48B7"/>
    <w:rsid w:val="006D6AA2"/>
    <w:rsid w:val="006E0A4A"/>
    <w:rsid w:val="006E0C51"/>
    <w:rsid w:val="006E0C60"/>
    <w:rsid w:val="006E4171"/>
    <w:rsid w:val="006E4E28"/>
    <w:rsid w:val="006E7BF1"/>
    <w:rsid w:val="006F156D"/>
    <w:rsid w:val="006F1CAF"/>
    <w:rsid w:val="006F2C4C"/>
    <w:rsid w:val="006F2CF2"/>
    <w:rsid w:val="006F2E93"/>
    <w:rsid w:val="006F7873"/>
    <w:rsid w:val="007021F3"/>
    <w:rsid w:val="00702E22"/>
    <w:rsid w:val="007045CA"/>
    <w:rsid w:val="00704C31"/>
    <w:rsid w:val="00706987"/>
    <w:rsid w:val="007106C0"/>
    <w:rsid w:val="0071115A"/>
    <w:rsid w:val="00712C2D"/>
    <w:rsid w:val="00714350"/>
    <w:rsid w:val="0071454A"/>
    <w:rsid w:val="007155D1"/>
    <w:rsid w:val="00715FC0"/>
    <w:rsid w:val="0071639D"/>
    <w:rsid w:val="00716AD8"/>
    <w:rsid w:val="00717020"/>
    <w:rsid w:val="00717E77"/>
    <w:rsid w:val="00721D1E"/>
    <w:rsid w:val="00721E71"/>
    <w:rsid w:val="0072204B"/>
    <w:rsid w:val="007244BF"/>
    <w:rsid w:val="007258A1"/>
    <w:rsid w:val="007262AD"/>
    <w:rsid w:val="007267E8"/>
    <w:rsid w:val="00726C00"/>
    <w:rsid w:val="0072723C"/>
    <w:rsid w:val="007300F1"/>
    <w:rsid w:val="00730197"/>
    <w:rsid w:val="00730600"/>
    <w:rsid w:val="007310C2"/>
    <w:rsid w:val="007326BC"/>
    <w:rsid w:val="00732E6F"/>
    <w:rsid w:val="00733838"/>
    <w:rsid w:val="00734A99"/>
    <w:rsid w:val="00735FF4"/>
    <w:rsid w:val="00736B20"/>
    <w:rsid w:val="007372FD"/>
    <w:rsid w:val="007378F7"/>
    <w:rsid w:val="00737C88"/>
    <w:rsid w:val="00740314"/>
    <w:rsid w:val="00740C08"/>
    <w:rsid w:val="00741DAF"/>
    <w:rsid w:val="007420D9"/>
    <w:rsid w:val="007420F8"/>
    <w:rsid w:val="007427DC"/>
    <w:rsid w:val="007429B0"/>
    <w:rsid w:val="00742BC9"/>
    <w:rsid w:val="00743753"/>
    <w:rsid w:val="00743E20"/>
    <w:rsid w:val="0074441D"/>
    <w:rsid w:val="0074470F"/>
    <w:rsid w:val="007457EF"/>
    <w:rsid w:val="007467A3"/>
    <w:rsid w:val="00746BB2"/>
    <w:rsid w:val="00746E4F"/>
    <w:rsid w:val="00747C7B"/>
    <w:rsid w:val="007501C7"/>
    <w:rsid w:val="00750271"/>
    <w:rsid w:val="00750900"/>
    <w:rsid w:val="007527D5"/>
    <w:rsid w:val="007555B5"/>
    <w:rsid w:val="00756196"/>
    <w:rsid w:val="00760984"/>
    <w:rsid w:val="00762506"/>
    <w:rsid w:val="007626E7"/>
    <w:rsid w:val="0076272F"/>
    <w:rsid w:val="00773770"/>
    <w:rsid w:val="00773778"/>
    <w:rsid w:val="00775F1A"/>
    <w:rsid w:val="0077607A"/>
    <w:rsid w:val="0077769A"/>
    <w:rsid w:val="00780AE5"/>
    <w:rsid w:val="007813D0"/>
    <w:rsid w:val="00781AD2"/>
    <w:rsid w:val="0078273F"/>
    <w:rsid w:val="00783434"/>
    <w:rsid w:val="007834E8"/>
    <w:rsid w:val="00784F94"/>
    <w:rsid w:val="00785115"/>
    <w:rsid w:val="007869A9"/>
    <w:rsid w:val="007878D1"/>
    <w:rsid w:val="00790C48"/>
    <w:rsid w:val="007924DA"/>
    <w:rsid w:val="0079336A"/>
    <w:rsid w:val="007939B1"/>
    <w:rsid w:val="0079479D"/>
    <w:rsid w:val="0079581A"/>
    <w:rsid w:val="007968AD"/>
    <w:rsid w:val="0079742E"/>
    <w:rsid w:val="0079794D"/>
    <w:rsid w:val="007A0AB6"/>
    <w:rsid w:val="007A0D3E"/>
    <w:rsid w:val="007A11D0"/>
    <w:rsid w:val="007A2139"/>
    <w:rsid w:val="007A386A"/>
    <w:rsid w:val="007A4E13"/>
    <w:rsid w:val="007A57CB"/>
    <w:rsid w:val="007A5D03"/>
    <w:rsid w:val="007A683B"/>
    <w:rsid w:val="007A7195"/>
    <w:rsid w:val="007B000E"/>
    <w:rsid w:val="007B08D0"/>
    <w:rsid w:val="007B1265"/>
    <w:rsid w:val="007B1B51"/>
    <w:rsid w:val="007B3CBB"/>
    <w:rsid w:val="007B5810"/>
    <w:rsid w:val="007B5996"/>
    <w:rsid w:val="007B5AE3"/>
    <w:rsid w:val="007B5E59"/>
    <w:rsid w:val="007B6EE1"/>
    <w:rsid w:val="007B79BD"/>
    <w:rsid w:val="007C12F8"/>
    <w:rsid w:val="007C1A63"/>
    <w:rsid w:val="007C3E2F"/>
    <w:rsid w:val="007C3FB5"/>
    <w:rsid w:val="007C4868"/>
    <w:rsid w:val="007C54F1"/>
    <w:rsid w:val="007C6353"/>
    <w:rsid w:val="007D4653"/>
    <w:rsid w:val="007D5204"/>
    <w:rsid w:val="007D583B"/>
    <w:rsid w:val="007D5914"/>
    <w:rsid w:val="007D6007"/>
    <w:rsid w:val="007D6394"/>
    <w:rsid w:val="007D679B"/>
    <w:rsid w:val="007D6FC7"/>
    <w:rsid w:val="007D7583"/>
    <w:rsid w:val="007D7B31"/>
    <w:rsid w:val="007E01F2"/>
    <w:rsid w:val="007E10CB"/>
    <w:rsid w:val="007E1654"/>
    <w:rsid w:val="007E4D69"/>
    <w:rsid w:val="007E6123"/>
    <w:rsid w:val="007F0B13"/>
    <w:rsid w:val="007F1035"/>
    <w:rsid w:val="007F1ADD"/>
    <w:rsid w:val="007F36BD"/>
    <w:rsid w:val="007F3728"/>
    <w:rsid w:val="007F3A18"/>
    <w:rsid w:val="007F3B94"/>
    <w:rsid w:val="007F4041"/>
    <w:rsid w:val="007F42E2"/>
    <w:rsid w:val="007F556D"/>
    <w:rsid w:val="007F636A"/>
    <w:rsid w:val="007F6ABB"/>
    <w:rsid w:val="007F6F37"/>
    <w:rsid w:val="007F746A"/>
    <w:rsid w:val="00800768"/>
    <w:rsid w:val="0080110C"/>
    <w:rsid w:val="008021DB"/>
    <w:rsid w:val="00802657"/>
    <w:rsid w:val="008038C4"/>
    <w:rsid w:val="00804216"/>
    <w:rsid w:val="0080439E"/>
    <w:rsid w:val="00804512"/>
    <w:rsid w:val="00804FEF"/>
    <w:rsid w:val="00806424"/>
    <w:rsid w:val="008064F6"/>
    <w:rsid w:val="00806550"/>
    <w:rsid w:val="00806A72"/>
    <w:rsid w:val="0080762C"/>
    <w:rsid w:val="008076A2"/>
    <w:rsid w:val="00810438"/>
    <w:rsid w:val="008115E9"/>
    <w:rsid w:val="00812EF4"/>
    <w:rsid w:val="00813023"/>
    <w:rsid w:val="008130E0"/>
    <w:rsid w:val="00813981"/>
    <w:rsid w:val="00813B00"/>
    <w:rsid w:val="00813FBB"/>
    <w:rsid w:val="00814280"/>
    <w:rsid w:val="0081573E"/>
    <w:rsid w:val="00815929"/>
    <w:rsid w:val="008162E3"/>
    <w:rsid w:val="00816F52"/>
    <w:rsid w:val="008210F0"/>
    <w:rsid w:val="00821737"/>
    <w:rsid w:val="00823254"/>
    <w:rsid w:val="00823E9B"/>
    <w:rsid w:val="0082459C"/>
    <w:rsid w:val="00825D07"/>
    <w:rsid w:val="00826896"/>
    <w:rsid w:val="00827A2E"/>
    <w:rsid w:val="00827D61"/>
    <w:rsid w:val="00830D0F"/>
    <w:rsid w:val="008313B3"/>
    <w:rsid w:val="00831E3E"/>
    <w:rsid w:val="00831F81"/>
    <w:rsid w:val="008323A1"/>
    <w:rsid w:val="0083506B"/>
    <w:rsid w:val="0083600D"/>
    <w:rsid w:val="00837290"/>
    <w:rsid w:val="00840379"/>
    <w:rsid w:val="00842DC0"/>
    <w:rsid w:val="00842E9E"/>
    <w:rsid w:val="008438F5"/>
    <w:rsid w:val="00844C73"/>
    <w:rsid w:val="00846103"/>
    <w:rsid w:val="008469A9"/>
    <w:rsid w:val="0085095D"/>
    <w:rsid w:val="00851541"/>
    <w:rsid w:val="00852403"/>
    <w:rsid w:val="00853203"/>
    <w:rsid w:val="008545C6"/>
    <w:rsid w:val="0085538D"/>
    <w:rsid w:val="00855588"/>
    <w:rsid w:val="008564D1"/>
    <w:rsid w:val="00860F72"/>
    <w:rsid w:val="0086117E"/>
    <w:rsid w:val="008619C1"/>
    <w:rsid w:val="00861A4B"/>
    <w:rsid w:val="008621B2"/>
    <w:rsid w:val="00862E52"/>
    <w:rsid w:val="008642C4"/>
    <w:rsid w:val="008652A3"/>
    <w:rsid w:val="00866499"/>
    <w:rsid w:val="00866C54"/>
    <w:rsid w:val="0086700E"/>
    <w:rsid w:val="008677FF"/>
    <w:rsid w:val="00870DB6"/>
    <w:rsid w:val="00872692"/>
    <w:rsid w:val="0087290D"/>
    <w:rsid w:val="008750D8"/>
    <w:rsid w:val="0087670F"/>
    <w:rsid w:val="008800DF"/>
    <w:rsid w:val="00880157"/>
    <w:rsid w:val="008804E0"/>
    <w:rsid w:val="0088084A"/>
    <w:rsid w:val="00880C16"/>
    <w:rsid w:val="00881EF7"/>
    <w:rsid w:val="00882779"/>
    <w:rsid w:val="00883937"/>
    <w:rsid w:val="00883DE4"/>
    <w:rsid w:val="00883EEE"/>
    <w:rsid w:val="00884683"/>
    <w:rsid w:val="00884DDD"/>
    <w:rsid w:val="00886785"/>
    <w:rsid w:val="00890614"/>
    <w:rsid w:val="008914EA"/>
    <w:rsid w:val="00893E05"/>
    <w:rsid w:val="0089460C"/>
    <w:rsid w:val="00894C4A"/>
    <w:rsid w:val="00894E25"/>
    <w:rsid w:val="00896030"/>
    <w:rsid w:val="00897514"/>
    <w:rsid w:val="008A13FF"/>
    <w:rsid w:val="008A20CD"/>
    <w:rsid w:val="008A25A7"/>
    <w:rsid w:val="008A2722"/>
    <w:rsid w:val="008A3827"/>
    <w:rsid w:val="008A38C0"/>
    <w:rsid w:val="008A39BA"/>
    <w:rsid w:val="008A482C"/>
    <w:rsid w:val="008A486C"/>
    <w:rsid w:val="008A5E31"/>
    <w:rsid w:val="008A7756"/>
    <w:rsid w:val="008A7B33"/>
    <w:rsid w:val="008B0D56"/>
    <w:rsid w:val="008B19F2"/>
    <w:rsid w:val="008B3BD3"/>
    <w:rsid w:val="008B411F"/>
    <w:rsid w:val="008B4FCB"/>
    <w:rsid w:val="008B5057"/>
    <w:rsid w:val="008B5A76"/>
    <w:rsid w:val="008B5DE3"/>
    <w:rsid w:val="008B66C5"/>
    <w:rsid w:val="008B74ED"/>
    <w:rsid w:val="008C0F53"/>
    <w:rsid w:val="008C2CA0"/>
    <w:rsid w:val="008C2D44"/>
    <w:rsid w:val="008C2EA5"/>
    <w:rsid w:val="008C43EB"/>
    <w:rsid w:val="008C4E74"/>
    <w:rsid w:val="008C5378"/>
    <w:rsid w:val="008C618D"/>
    <w:rsid w:val="008D0360"/>
    <w:rsid w:val="008D06BD"/>
    <w:rsid w:val="008D0FC4"/>
    <w:rsid w:val="008D1217"/>
    <w:rsid w:val="008D247D"/>
    <w:rsid w:val="008D2D6A"/>
    <w:rsid w:val="008D48CD"/>
    <w:rsid w:val="008D4B56"/>
    <w:rsid w:val="008D5138"/>
    <w:rsid w:val="008D53E3"/>
    <w:rsid w:val="008D5F9D"/>
    <w:rsid w:val="008E10CA"/>
    <w:rsid w:val="008E1584"/>
    <w:rsid w:val="008E166A"/>
    <w:rsid w:val="008E1ED9"/>
    <w:rsid w:val="008E30FE"/>
    <w:rsid w:val="008E3FF3"/>
    <w:rsid w:val="008E4864"/>
    <w:rsid w:val="008E6A36"/>
    <w:rsid w:val="008E6C6C"/>
    <w:rsid w:val="008F1E01"/>
    <w:rsid w:val="008F2290"/>
    <w:rsid w:val="008F24EE"/>
    <w:rsid w:val="008F2833"/>
    <w:rsid w:val="008F6212"/>
    <w:rsid w:val="00901AB5"/>
    <w:rsid w:val="009021D8"/>
    <w:rsid w:val="00903D84"/>
    <w:rsid w:val="00904928"/>
    <w:rsid w:val="00910EFF"/>
    <w:rsid w:val="0091219E"/>
    <w:rsid w:val="0091279B"/>
    <w:rsid w:val="00914920"/>
    <w:rsid w:val="00914A09"/>
    <w:rsid w:val="00914AB1"/>
    <w:rsid w:val="00914D5C"/>
    <w:rsid w:val="009152A2"/>
    <w:rsid w:val="009158A4"/>
    <w:rsid w:val="00916F6D"/>
    <w:rsid w:val="00917F05"/>
    <w:rsid w:val="009219B9"/>
    <w:rsid w:val="00921C00"/>
    <w:rsid w:val="00922292"/>
    <w:rsid w:val="009222C4"/>
    <w:rsid w:val="009225FC"/>
    <w:rsid w:val="009237D3"/>
    <w:rsid w:val="00923D76"/>
    <w:rsid w:val="00925418"/>
    <w:rsid w:val="00927899"/>
    <w:rsid w:val="009302B5"/>
    <w:rsid w:val="0093096C"/>
    <w:rsid w:val="00930FE4"/>
    <w:rsid w:val="00931383"/>
    <w:rsid w:val="00931841"/>
    <w:rsid w:val="0093282D"/>
    <w:rsid w:val="00932CEE"/>
    <w:rsid w:val="0093347E"/>
    <w:rsid w:val="00933F4D"/>
    <w:rsid w:val="0093486C"/>
    <w:rsid w:val="00934A4C"/>
    <w:rsid w:val="009353FA"/>
    <w:rsid w:val="009357BC"/>
    <w:rsid w:val="00936188"/>
    <w:rsid w:val="00936195"/>
    <w:rsid w:val="00936665"/>
    <w:rsid w:val="00936B85"/>
    <w:rsid w:val="0093710A"/>
    <w:rsid w:val="0094019C"/>
    <w:rsid w:val="00941667"/>
    <w:rsid w:val="00941D90"/>
    <w:rsid w:val="0094526E"/>
    <w:rsid w:val="009464B0"/>
    <w:rsid w:val="009469C9"/>
    <w:rsid w:val="00947636"/>
    <w:rsid w:val="00947CF0"/>
    <w:rsid w:val="00950343"/>
    <w:rsid w:val="0095193D"/>
    <w:rsid w:val="009526D7"/>
    <w:rsid w:val="00954504"/>
    <w:rsid w:val="00955373"/>
    <w:rsid w:val="00955CED"/>
    <w:rsid w:val="0095661E"/>
    <w:rsid w:val="00956D52"/>
    <w:rsid w:val="009579B1"/>
    <w:rsid w:val="00960A21"/>
    <w:rsid w:val="009618C2"/>
    <w:rsid w:val="00962179"/>
    <w:rsid w:val="00962F17"/>
    <w:rsid w:val="00964F9B"/>
    <w:rsid w:val="00967371"/>
    <w:rsid w:val="00970AF6"/>
    <w:rsid w:val="009726C8"/>
    <w:rsid w:val="00974DEB"/>
    <w:rsid w:val="0097537A"/>
    <w:rsid w:val="0097685C"/>
    <w:rsid w:val="009772B1"/>
    <w:rsid w:val="009775ED"/>
    <w:rsid w:val="009776DA"/>
    <w:rsid w:val="00977B47"/>
    <w:rsid w:val="00980388"/>
    <w:rsid w:val="00980E9D"/>
    <w:rsid w:val="009814E0"/>
    <w:rsid w:val="00981542"/>
    <w:rsid w:val="00984415"/>
    <w:rsid w:val="00985001"/>
    <w:rsid w:val="0098520F"/>
    <w:rsid w:val="0098588D"/>
    <w:rsid w:val="009858B2"/>
    <w:rsid w:val="009858DB"/>
    <w:rsid w:val="00987736"/>
    <w:rsid w:val="00990EE3"/>
    <w:rsid w:val="00991160"/>
    <w:rsid w:val="00993559"/>
    <w:rsid w:val="00995367"/>
    <w:rsid w:val="0099606B"/>
    <w:rsid w:val="00996EAC"/>
    <w:rsid w:val="00997692"/>
    <w:rsid w:val="009A143E"/>
    <w:rsid w:val="009A3419"/>
    <w:rsid w:val="009A3CDF"/>
    <w:rsid w:val="009A521D"/>
    <w:rsid w:val="009A69CB"/>
    <w:rsid w:val="009A6A29"/>
    <w:rsid w:val="009A6F63"/>
    <w:rsid w:val="009A7C5E"/>
    <w:rsid w:val="009B0EA5"/>
    <w:rsid w:val="009B1AF9"/>
    <w:rsid w:val="009B3ED5"/>
    <w:rsid w:val="009B41F1"/>
    <w:rsid w:val="009B4DFE"/>
    <w:rsid w:val="009B5CD6"/>
    <w:rsid w:val="009B603F"/>
    <w:rsid w:val="009C05E6"/>
    <w:rsid w:val="009C162E"/>
    <w:rsid w:val="009C2211"/>
    <w:rsid w:val="009C4A1D"/>
    <w:rsid w:val="009C5641"/>
    <w:rsid w:val="009C79F5"/>
    <w:rsid w:val="009C7DE2"/>
    <w:rsid w:val="009D069C"/>
    <w:rsid w:val="009D0A95"/>
    <w:rsid w:val="009D1D06"/>
    <w:rsid w:val="009D512D"/>
    <w:rsid w:val="009D5E86"/>
    <w:rsid w:val="009D6904"/>
    <w:rsid w:val="009D6C1D"/>
    <w:rsid w:val="009E03E3"/>
    <w:rsid w:val="009E0489"/>
    <w:rsid w:val="009E0717"/>
    <w:rsid w:val="009E07BE"/>
    <w:rsid w:val="009E16FB"/>
    <w:rsid w:val="009E1980"/>
    <w:rsid w:val="009E2381"/>
    <w:rsid w:val="009E285E"/>
    <w:rsid w:val="009E295F"/>
    <w:rsid w:val="009E2AFF"/>
    <w:rsid w:val="009E2BE3"/>
    <w:rsid w:val="009E39CA"/>
    <w:rsid w:val="009E3DF9"/>
    <w:rsid w:val="009E4726"/>
    <w:rsid w:val="009E48C4"/>
    <w:rsid w:val="009E4C10"/>
    <w:rsid w:val="009F05C0"/>
    <w:rsid w:val="009F0771"/>
    <w:rsid w:val="009F0B44"/>
    <w:rsid w:val="009F1428"/>
    <w:rsid w:val="009F18AF"/>
    <w:rsid w:val="009F2665"/>
    <w:rsid w:val="009F2B6E"/>
    <w:rsid w:val="009F2E02"/>
    <w:rsid w:val="009F3A03"/>
    <w:rsid w:val="009F3CC9"/>
    <w:rsid w:val="009F4F46"/>
    <w:rsid w:val="009F53CA"/>
    <w:rsid w:val="009F58DF"/>
    <w:rsid w:val="00A00BFB"/>
    <w:rsid w:val="00A00F0D"/>
    <w:rsid w:val="00A01298"/>
    <w:rsid w:val="00A02DC6"/>
    <w:rsid w:val="00A03BF4"/>
    <w:rsid w:val="00A03BFB"/>
    <w:rsid w:val="00A03D47"/>
    <w:rsid w:val="00A04CFE"/>
    <w:rsid w:val="00A05F18"/>
    <w:rsid w:val="00A07532"/>
    <w:rsid w:val="00A1046A"/>
    <w:rsid w:val="00A10C44"/>
    <w:rsid w:val="00A11A24"/>
    <w:rsid w:val="00A14032"/>
    <w:rsid w:val="00A140C5"/>
    <w:rsid w:val="00A14FFD"/>
    <w:rsid w:val="00A15810"/>
    <w:rsid w:val="00A15F14"/>
    <w:rsid w:val="00A17631"/>
    <w:rsid w:val="00A2026D"/>
    <w:rsid w:val="00A20367"/>
    <w:rsid w:val="00A2041F"/>
    <w:rsid w:val="00A22865"/>
    <w:rsid w:val="00A22F51"/>
    <w:rsid w:val="00A23952"/>
    <w:rsid w:val="00A24877"/>
    <w:rsid w:val="00A2495A"/>
    <w:rsid w:val="00A27413"/>
    <w:rsid w:val="00A27C37"/>
    <w:rsid w:val="00A27EF4"/>
    <w:rsid w:val="00A31A30"/>
    <w:rsid w:val="00A31CAC"/>
    <w:rsid w:val="00A31E0D"/>
    <w:rsid w:val="00A31EF6"/>
    <w:rsid w:val="00A322C0"/>
    <w:rsid w:val="00A338A0"/>
    <w:rsid w:val="00A3424C"/>
    <w:rsid w:val="00A34771"/>
    <w:rsid w:val="00A35EB9"/>
    <w:rsid w:val="00A37BDF"/>
    <w:rsid w:val="00A40401"/>
    <w:rsid w:val="00A408C6"/>
    <w:rsid w:val="00A40A9E"/>
    <w:rsid w:val="00A40F31"/>
    <w:rsid w:val="00A40FC4"/>
    <w:rsid w:val="00A41504"/>
    <w:rsid w:val="00A4172D"/>
    <w:rsid w:val="00A41893"/>
    <w:rsid w:val="00A42A15"/>
    <w:rsid w:val="00A4311F"/>
    <w:rsid w:val="00A44D00"/>
    <w:rsid w:val="00A451D1"/>
    <w:rsid w:val="00A451EA"/>
    <w:rsid w:val="00A470DD"/>
    <w:rsid w:val="00A520AC"/>
    <w:rsid w:val="00A55025"/>
    <w:rsid w:val="00A56FC1"/>
    <w:rsid w:val="00A5724E"/>
    <w:rsid w:val="00A57D53"/>
    <w:rsid w:val="00A60A24"/>
    <w:rsid w:val="00A60D56"/>
    <w:rsid w:val="00A60E72"/>
    <w:rsid w:val="00A6150D"/>
    <w:rsid w:val="00A61BE6"/>
    <w:rsid w:val="00A6313D"/>
    <w:rsid w:val="00A6326C"/>
    <w:rsid w:val="00A64144"/>
    <w:rsid w:val="00A64620"/>
    <w:rsid w:val="00A65F5B"/>
    <w:rsid w:val="00A677BC"/>
    <w:rsid w:val="00A70DDC"/>
    <w:rsid w:val="00A72905"/>
    <w:rsid w:val="00A73382"/>
    <w:rsid w:val="00A73B97"/>
    <w:rsid w:val="00A741C2"/>
    <w:rsid w:val="00A7444C"/>
    <w:rsid w:val="00A7454B"/>
    <w:rsid w:val="00A751AC"/>
    <w:rsid w:val="00A752E1"/>
    <w:rsid w:val="00A7581D"/>
    <w:rsid w:val="00A75956"/>
    <w:rsid w:val="00A7728E"/>
    <w:rsid w:val="00A779EF"/>
    <w:rsid w:val="00A8093A"/>
    <w:rsid w:val="00A81531"/>
    <w:rsid w:val="00A82693"/>
    <w:rsid w:val="00A82A30"/>
    <w:rsid w:val="00A83492"/>
    <w:rsid w:val="00A847DC"/>
    <w:rsid w:val="00A85700"/>
    <w:rsid w:val="00A85965"/>
    <w:rsid w:val="00A86225"/>
    <w:rsid w:val="00A86529"/>
    <w:rsid w:val="00A86635"/>
    <w:rsid w:val="00A8688B"/>
    <w:rsid w:val="00A86BFA"/>
    <w:rsid w:val="00A86D3E"/>
    <w:rsid w:val="00A90A4F"/>
    <w:rsid w:val="00A90C4C"/>
    <w:rsid w:val="00A91C62"/>
    <w:rsid w:val="00A92854"/>
    <w:rsid w:val="00A939A6"/>
    <w:rsid w:val="00A9434B"/>
    <w:rsid w:val="00A94558"/>
    <w:rsid w:val="00A96900"/>
    <w:rsid w:val="00A96A5C"/>
    <w:rsid w:val="00A96C32"/>
    <w:rsid w:val="00A9733E"/>
    <w:rsid w:val="00A974C0"/>
    <w:rsid w:val="00A978BE"/>
    <w:rsid w:val="00AA04CB"/>
    <w:rsid w:val="00AA1D7E"/>
    <w:rsid w:val="00AA309F"/>
    <w:rsid w:val="00AA3932"/>
    <w:rsid w:val="00AA3D07"/>
    <w:rsid w:val="00AA4E23"/>
    <w:rsid w:val="00AA52C5"/>
    <w:rsid w:val="00AA5FA1"/>
    <w:rsid w:val="00AA6A70"/>
    <w:rsid w:val="00AA7B84"/>
    <w:rsid w:val="00AB066F"/>
    <w:rsid w:val="00AB11D8"/>
    <w:rsid w:val="00AB136D"/>
    <w:rsid w:val="00AB21BB"/>
    <w:rsid w:val="00AB29E9"/>
    <w:rsid w:val="00AB36DD"/>
    <w:rsid w:val="00AB45BC"/>
    <w:rsid w:val="00AB556E"/>
    <w:rsid w:val="00AB5D3F"/>
    <w:rsid w:val="00AB70CE"/>
    <w:rsid w:val="00AB77B3"/>
    <w:rsid w:val="00AC0079"/>
    <w:rsid w:val="00AC180B"/>
    <w:rsid w:val="00AC2561"/>
    <w:rsid w:val="00AC31C7"/>
    <w:rsid w:val="00AC4456"/>
    <w:rsid w:val="00AC6149"/>
    <w:rsid w:val="00AC6938"/>
    <w:rsid w:val="00AD08D4"/>
    <w:rsid w:val="00AD0940"/>
    <w:rsid w:val="00AD1FC9"/>
    <w:rsid w:val="00AD23A3"/>
    <w:rsid w:val="00AD2A94"/>
    <w:rsid w:val="00AD2DBB"/>
    <w:rsid w:val="00AD2DFB"/>
    <w:rsid w:val="00AD3CA8"/>
    <w:rsid w:val="00AD4025"/>
    <w:rsid w:val="00AD6D74"/>
    <w:rsid w:val="00AE03A8"/>
    <w:rsid w:val="00AE044F"/>
    <w:rsid w:val="00AE1581"/>
    <w:rsid w:val="00AE1948"/>
    <w:rsid w:val="00AE2692"/>
    <w:rsid w:val="00AE2C72"/>
    <w:rsid w:val="00AE4036"/>
    <w:rsid w:val="00AE44F9"/>
    <w:rsid w:val="00AE4E22"/>
    <w:rsid w:val="00AE5621"/>
    <w:rsid w:val="00AF0886"/>
    <w:rsid w:val="00AF0D50"/>
    <w:rsid w:val="00AF224A"/>
    <w:rsid w:val="00AF26F0"/>
    <w:rsid w:val="00AF2FB5"/>
    <w:rsid w:val="00AF4876"/>
    <w:rsid w:val="00AF4DEA"/>
    <w:rsid w:val="00AF60DD"/>
    <w:rsid w:val="00AF6E1E"/>
    <w:rsid w:val="00AF70EA"/>
    <w:rsid w:val="00B003B7"/>
    <w:rsid w:val="00B01A3C"/>
    <w:rsid w:val="00B04B19"/>
    <w:rsid w:val="00B04F70"/>
    <w:rsid w:val="00B04F71"/>
    <w:rsid w:val="00B059D7"/>
    <w:rsid w:val="00B05A3A"/>
    <w:rsid w:val="00B07CCC"/>
    <w:rsid w:val="00B10A02"/>
    <w:rsid w:val="00B10CE2"/>
    <w:rsid w:val="00B11752"/>
    <w:rsid w:val="00B11F56"/>
    <w:rsid w:val="00B12FF5"/>
    <w:rsid w:val="00B13946"/>
    <w:rsid w:val="00B15565"/>
    <w:rsid w:val="00B16047"/>
    <w:rsid w:val="00B176E0"/>
    <w:rsid w:val="00B200A7"/>
    <w:rsid w:val="00B204A7"/>
    <w:rsid w:val="00B205C1"/>
    <w:rsid w:val="00B2233E"/>
    <w:rsid w:val="00B228BF"/>
    <w:rsid w:val="00B229FB"/>
    <w:rsid w:val="00B23CF4"/>
    <w:rsid w:val="00B24A0A"/>
    <w:rsid w:val="00B26D54"/>
    <w:rsid w:val="00B34480"/>
    <w:rsid w:val="00B34829"/>
    <w:rsid w:val="00B35004"/>
    <w:rsid w:val="00B3510E"/>
    <w:rsid w:val="00B35EE5"/>
    <w:rsid w:val="00B377FA"/>
    <w:rsid w:val="00B37910"/>
    <w:rsid w:val="00B4094F"/>
    <w:rsid w:val="00B40A52"/>
    <w:rsid w:val="00B40C3A"/>
    <w:rsid w:val="00B412C9"/>
    <w:rsid w:val="00B4146E"/>
    <w:rsid w:val="00B43AB5"/>
    <w:rsid w:val="00B440EB"/>
    <w:rsid w:val="00B4462B"/>
    <w:rsid w:val="00B45193"/>
    <w:rsid w:val="00B4543D"/>
    <w:rsid w:val="00B4758C"/>
    <w:rsid w:val="00B502C5"/>
    <w:rsid w:val="00B505B1"/>
    <w:rsid w:val="00B508EC"/>
    <w:rsid w:val="00B51B47"/>
    <w:rsid w:val="00B52097"/>
    <w:rsid w:val="00B52178"/>
    <w:rsid w:val="00B52F6C"/>
    <w:rsid w:val="00B53A33"/>
    <w:rsid w:val="00B54015"/>
    <w:rsid w:val="00B54811"/>
    <w:rsid w:val="00B56BDA"/>
    <w:rsid w:val="00B56FF7"/>
    <w:rsid w:val="00B602F9"/>
    <w:rsid w:val="00B604B4"/>
    <w:rsid w:val="00B6122D"/>
    <w:rsid w:val="00B62562"/>
    <w:rsid w:val="00B62EF8"/>
    <w:rsid w:val="00B63A2C"/>
    <w:rsid w:val="00B64C62"/>
    <w:rsid w:val="00B65524"/>
    <w:rsid w:val="00B67305"/>
    <w:rsid w:val="00B70505"/>
    <w:rsid w:val="00B723D0"/>
    <w:rsid w:val="00B73BC0"/>
    <w:rsid w:val="00B73D3D"/>
    <w:rsid w:val="00B759A7"/>
    <w:rsid w:val="00B76C6C"/>
    <w:rsid w:val="00B77263"/>
    <w:rsid w:val="00B77C61"/>
    <w:rsid w:val="00B80981"/>
    <w:rsid w:val="00B81259"/>
    <w:rsid w:val="00B83D35"/>
    <w:rsid w:val="00B83DA0"/>
    <w:rsid w:val="00B84077"/>
    <w:rsid w:val="00B84979"/>
    <w:rsid w:val="00B865B2"/>
    <w:rsid w:val="00B86AB5"/>
    <w:rsid w:val="00B86DEC"/>
    <w:rsid w:val="00B90E21"/>
    <w:rsid w:val="00B92215"/>
    <w:rsid w:val="00B92B19"/>
    <w:rsid w:val="00B9344E"/>
    <w:rsid w:val="00B93890"/>
    <w:rsid w:val="00B94404"/>
    <w:rsid w:val="00B94ED9"/>
    <w:rsid w:val="00B95285"/>
    <w:rsid w:val="00B95438"/>
    <w:rsid w:val="00B95876"/>
    <w:rsid w:val="00B966A2"/>
    <w:rsid w:val="00B978ED"/>
    <w:rsid w:val="00BA0F27"/>
    <w:rsid w:val="00BA1A49"/>
    <w:rsid w:val="00BA35F1"/>
    <w:rsid w:val="00BA4C35"/>
    <w:rsid w:val="00BA537C"/>
    <w:rsid w:val="00BA5CE9"/>
    <w:rsid w:val="00BA6508"/>
    <w:rsid w:val="00BA6624"/>
    <w:rsid w:val="00BA66D4"/>
    <w:rsid w:val="00BA7878"/>
    <w:rsid w:val="00BB10FB"/>
    <w:rsid w:val="00BB2122"/>
    <w:rsid w:val="00BB2A03"/>
    <w:rsid w:val="00BB3D39"/>
    <w:rsid w:val="00BB560A"/>
    <w:rsid w:val="00BB5A2D"/>
    <w:rsid w:val="00BB5B7E"/>
    <w:rsid w:val="00BB5D41"/>
    <w:rsid w:val="00BB67F3"/>
    <w:rsid w:val="00BC09AE"/>
    <w:rsid w:val="00BC0F7F"/>
    <w:rsid w:val="00BC10D3"/>
    <w:rsid w:val="00BC31BB"/>
    <w:rsid w:val="00BC46B0"/>
    <w:rsid w:val="00BC4BDB"/>
    <w:rsid w:val="00BC5298"/>
    <w:rsid w:val="00BC6F68"/>
    <w:rsid w:val="00BD04B6"/>
    <w:rsid w:val="00BD0EC7"/>
    <w:rsid w:val="00BD237E"/>
    <w:rsid w:val="00BD56AB"/>
    <w:rsid w:val="00BD5E62"/>
    <w:rsid w:val="00BD617B"/>
    <w:rsid w:val="00BD6411"/>
    <w:rsid w:val="00BD6496"/>
    <w:rsid w:val="00BD7172"/>
    <w:rsid w:val="00BD7971"/>
    <w:rsid w:val="00BD7A34"/>
    <w:rsid w:val="00BD7A84"/>
    <w:rsid w:val="00BD7C1A"/>
    <w:rsid w:val="00BE05F0"/>
    <w:rsid w:val="00BE08C9"/>
    <w:rsid w:val="00BE1920"/>
    <w:rsid w:val="00BE2072"/>
    <w:rsid w:val="00BE3AE0"/>
    <w:rsid w:val="00BE5979"/>
    <w:rsid w:val="00BE630D"/>
    <w:rsid w:val="00BE7C44"/>
    <w:rsid w:val="00BE7D1E"/>
    <w:rsid w:val="00BF1A9D"/>
    <w:rsid w:val="00BF1BB8"/>
    <w:rsid w:val="00BF2A47"/>
    <w:rsid w:val="00BF31BD"/>
    <w:rsid w:val="00BF3E6C"/>
    <w:rsid w:val="00BF5D8E"/>
    <w:rsid w:val="00BF65FB"/>
    <w:rsid w:val="00BF6985"/>
    <w:rsid w:val="00BF6AC1"/>
    <w:rsid w:val="00BF7DEA"/>
    <w:rsid w:val="00C00290"/>
    <w:rsid w:val="00C01F93"/>
    <w:rsid w:val="00C02123"/>
    <w:rsid w:val="00C026CA"/>
    <w:rsid w:val="00C044A4"/>
    <w:rsid w:val="00C057D7"/>
    <w:rsid w:val="00C0688D"/>
    <w:rsid w:val="00C06A90"/>
    <w:rsid w:val="00C06FCA"/>
    <w:rsid w:val="00C0738A"/>
    <w:rsid w:val="00C07D0F"/>
    <w:rsid w:val="00C10E67"/>
    <w:rsid w:val="00C11752"/>
    <w:rsid w:val="00C11C01"/>
    <w:rsid w:val="00C11CFA"/>
    <w:rsid w:val="00C11D73"/>
    <w:rsid w:val="00C12557"/>
    <w:rsid w:val="00C12D9C"/>
    <w:rsid w:val="00C135EE"/>
    <w:rsid w:val="00C147F6"/>
    <w:rsid w:val="00C15E78"/>
    <w:rsid w:val="00C16888"/>
    <w:rsid w:val="00C20AEE"/>
    <w:rsid w:val="00C23D79"/>
    <w:rsid w:val="00C24418"/>
    <w:rsid w:val="00C2590F"/>
    <w:rsid w:val="00C25DF2"/>
    <w:rsid w:val="00C27034"/>
    <w:rsid w:val="00C30628"/>
    <w:rsid w:val="00C307DD"/>
    <w:rsid w:val="00C30F57"/>
    <w:rsid w:val="00C31576"/>
    <w:rsid w:val="00C32724"/>
    <w:rsid w:val="00C33080"/>
    <w:rsid w:val="00C3337A"/>
    <w:rsid w:val="00C3497D"/>
    <w:rsid w:val="00C34E7B"/>
    <w:rsid w:val="00C3581F"/>
    <w:rsid w:val="00C36931"/>
    <w:rsid w:val="00C37517"/>
    <w:rsid w:val="00C40CF3"/>
    <w:rsid w:val="00C41BE9"/>
    <w:rsid w:val="00C424CC"/>
    <w:rsid w:val="00C43C77"/>
    <w:rsid w:val="00C44291"/>
    <w:rsid w:val="00C4486F"/>
    <w:rsid w:val="00C44E40"/>
    <w:rsid w:val="00C452BC"/>
    <w:rsid w:val="00C454FA"/>
    <w:rsid w:val="00C50071"/>
    <w:rsid w:val="00C50115"/>
    <w:rsid w:val="00C52498"/>
    <w:rsid w:val="00C52613"/>
    <w:rsid w:val="00C531FC"/>
    <w:rsid w:val="00C53EB4"/>
    <w:rsid w:val="00C54515"/>
    <w:rsid w:val="00C54886"/>
    <w:rsid w:val="00C56BAB"/>
    <w:rsid w:val="00C570E2"/>
    <w:rsid w:val="00C5771E"/>
    <w:rsid w:val="00C610AC"/>
    <w:rsid w:val="00C6273F"/>
    <w:rsid w:val="00C63765"/>
    <w:rsid w:val="00C64707"/>
    <w:rsid w:val="00C64F87"/>
    <w:rsid w:val="00C651D5"/>
    <w:rsid w:val="00C66684"/>
    <w:rsid w:val="00C666D7"/>
    <w:rsid w:val="00C66D89"/>
    <w:rsid w:val="00C7115F"/>
    <w:rsid w:val="00C716C7"/>
    <w:rsid w:val="00C719F4"/>
    <w:rsid w:val="00C720F8"/>
    <w:rsid w:val="00C72EF9"/>
    <w:rsid w:val="00C73A85"/>
    <w:rsid w:val="00C75920"/>
    <w:rsid w:val="00C77DB6"/>
    <w:rsid w:val="00C81856"/>
    <w:rsid w:val="00C81C41"/>
    <w:rsid w:val="00C83D58"/>
    <w:rsid w:val="00C87057"/>
    <w:rsid w:val="00C8784E"/>
    <w:rsid w:val="00C90E5E"/>
    <w:rsid w:val="00C92638"/>
    <w:rsid w:val="00C92CE2"/>
    <w:rsid w:val="00C92F1C"/>
    <w:rsid w:val="00C93723"/>
    <w:rsid w:val="00C9484A"/>
    <w:rsid w:val="00C94CA7"/>
    <w:rsid w:val="00C97897"/>
    <w:rsid w:val="00C97C0A"/>
    <w:rsid w:val="00CA247E"/>
    <w:rsid w:val="00CA2E7D"/>
    <w:rsid w:val="00CA4669"/>
    <w:rsid w:val="00CA4BBC"/>
    <w:rsid w:val="00CA4EAE"/>
    <w:rsid w:val="00CA542C"/>
    <w:rsid w:val="00CA5BD2"/>
    <w:rsid w:val="00CA7301"/>
    <w:rsid w:val="00CA74A9"/>
    <w:rsid w:val="00CA7FCA"/>
    <w:rsid w:val="00CB0DA5"/>
    <w:rsid w:val="00CB1529"/>
    <w:rsid w:val="00CB1922"/>
    <w:rsid w:val="00CB2503"/>
    <w:rsid w:val="00CB2A7A"/>
    <w:rsid w:val="00CB523F"/>
    <w:rsid w:val="00CB6095"/>
    <w:rsid w:val="00CB64D5"/>
    <w:rsid w:val="00CB67FA"/>
    <w:rsid w:val="00CB7A19"/>
    <w:rsid w:val="00CB7EF7"/>
    <w:rsid w:val="00CC0B6D"/>
    <w:rsid w:val="00CC28D8"/>
    <w:rsid w:val="00CC2C9E"/>
    <w:rsid w:val="00CC3125"/>
    <w:rsid w:val="00CC3658"/>
    <w:rsid w:val="00CC3B32"/>
    <w:rsid w:val="00CC3EC7"/>
    <w:rsid w:val="00CC4824"/>
    <w:rsid w:val="00CC523A"/>
    <w:rsid w:val="00CC7706"/>
    <w:rsid w:val="00CD48C1"/>
    <w:rsid w:val="00CD57F7"/>
    <w:rsid w:val="00CD681D"/>
    <w:rsid w:val="00CD7400"/>
    <w:rsid w:val="00CE11C6"/>
    <w:rsid w:val="00CE3507"/>
    <w:rsid w:val="00CE5378"/>
    <w:rsid w:val="00CE5A3D"/>
    <w:rsid w:val="00CE6FE4"/>
    <w:rsid w:val="00CE7036"/>
    <w:rsid w:val="00CE7AE8"/>
    <w:rsid w:val="00CF02F0"/>
    <w:rsid w:val="00CF089D"/>
    <w:rsid w:val="00CF111A"/>
    <w:rsid w:val="00CF19EC"/>
    <w:rsid w:val="00CF1B87"/>
    <w:rsid w:val="00CF21FC"/>
    <w:rsid w:val="00CF22CF"/>
    <w:rsid w:val="00CF2DE9"/>
    <w:rsid w:val="00CF4340"/>
    <w:rsid w:val="00CF4450"/>
    <w:rsid w:val="00CF44BD"/>
    <w:rsid w:val="00CF69A1"/>
    <w:rsid w:val="00CF7433"/>
    <w:rsid w:val="00CF77B5"/>
    <w:rsid w:val="00D010BC"/>
    <w:rsid w:val="00D034DD"/>
    <w:rsid w:val="00D05433"/>
    <w:rsid w:val="00D05675"/>
    <w:rsid w:val="00D05BC3"/>
    <w:rsid w:val="00D07116"/>
    <w:rsid w:val="00D0773B"/>
    <w:rsid w:val="00D125B2"/>
    <w:rsid w:val="00D131AE"/>
    <w:rsid w:val="00D15917"/>
    <w:rsid w:val="00D15A53"/>
    <w:rsid w:val="00D15E2B"/>
    <w:rsid w:val="00D167E0"/>
    <w:rsid w:val="00D16938"/>
    <w:rsid w:val="00D16E63"/>
    <w:rsid w:val="00D228CB"/>
    <w:rsid w:val="00D246CE"/>
    <w:rsid w:val="00D24A3D"/>
    <w:rsid w:val="00D24E12"/>
    <w:rsid w:val="00D265D7"/>
    <w:rsid w:val="00D26DA8"/>
    <w:rsid w:val="00D27938"/>
    <w:rsid w:val="00D27EF2"/>
    <w:rsid w:val="00D3016F"/>
    <w:rsid w:val="00D30263"/>
    <w:rsid w:val="00D315E8"/>
    <w:rsid w:val="00D31D6B"/>
    <w:rsid w:val="00D32254"/>
    <w:rsid w:val="00D32A87"/>
    <w:rsid w:val="00D32EC6"/>
    <w:rsid w:val="00D3378C"/>
    <w:rsid w:val="00D33817"/>
    <w:rsid w:val="00D34B8C"/>
    <w:rsid w:val="00D35639"/>
    <w:rsid w:val="00D36915"/>
    <w:rsid w:val="00D36B6A"/>
    <w:rsid w:val="00D375E3"/>
    <w:rsid w:val="00D41D63"/>
    <w:rsid w:val="00D4237C"/>
    <w:rsid w:val="00D43174"/>
    <w:rsid w:val="00D43E37"/>
    <w:rsid w:val="00D4464A"/>
    <w:rsid w:val="00D452FF"/>
    <w:rsid w:val="00D45C1F"/>
    <w:rsid w:val="00D4640C"/>
    <w:rsid w:val="00D470AB"/>
    <w:rsid w:val="00D47F9D"/>
    <w:rsid w:val="00D50328"/>
    <w:rsid w:val="00D50799"/>
    <w:rsid w:val="00D508B9"/>
    <w:rsid w:val="00D509AA"/>
    <w:rsid w:val="00D53C91"/>
    <w:rsid w:val="00D53D95"/>
    <w:rsid w:val="00D55F97"/>
    <w:rsid w:val="00D56C86"/>
    <w:rsid w:val="00D57A70"/>
    <w:rsid w:val="00D57DF5"/>
    <w:rsid w:val="00D62E5F"/>
    <w:rsid w:val="00D62EA1"/>
    <w:rsid w:val="00D63D6A"/>
    <w:rsid w:val="00D647CC"/>
    <w:rsid w:val="00D6533A"/>
    <w:rsid w:val="00D66190"/>
    <w:rsid w:val="00D66485"/>
    <w:rsid w:val="00D66D18"/>
    <w:rsid w:val="00D7069F"/>
    <w:rsid w:val="00D71676"/>
    <w:rsid w:val="00D71A28"/>
    <w:rsid w:val="00D72D08"/>
    <w:rsid w:val="00D75268"/>
    <w:rsid w:val="00D819A5"/>
    <w:rsid w:val="00D82C81"/>
    <w:rsid w:val="00D82D18"/>
    <w:rsid w:val="00D83F53"/>
    <w:rsid w:val="00D843FE"/>
    <w:rsid w:val="00D851F4"/>
    <w:rsid w:val="00D8552D"/>
    <w:rsid w:val="00D858D5"/>
    <w:rsid w:val="00D85A73"/>
    <w:rsid w:val="00D865AC"/>
    <w:rsid w:val="00D86F14"/>
    <w:rsid w:val="00D8722B"/>
    <w:rsid w:val="00D8751F"/>
    <w:rsid w:val="00D8759E"/>
    <w:rsid w:val="00D87967"/>
    <w:rsid w:val="00D9016F"/>
    <w:rsid w:val="00D90EFB"/>
    <w:rsid w:val="00D91DBE"/>
    <w:rsid w:val="00D92936"/>
    <w:rsid w:val="00D92A55"/>
    <w:rsid w:val="00D92D13"/>
    <w:rsid w:val="00D92EF8"/>
    <w:rsid w:val="00D931B2"/>
    <w:rsid w:val="00D936DD"/>
    <w:rsid w:val="00D942E3"/>
    <w:rsid w:val="00D952BD"/>
    <w:rsid w:val="00D956FD"/>
    <w:rsid w:val="00D95C2A"/>
    <w:rsid w:val="00D969E4"/>
    <w:rsid w:val="00D96DD6"/>
    <w:rsid w:val="00DA0180"/>
    <w:rsid w:val="00DA1C49"/>
    <w:rsid w:val="00DA29E2"/>
    <w:rsid w:val="00DA59DA"/>
    <w:rsid w:val="00DA6DA8"/>
    <w:rsid w:val="00DA6E9E"/>
    <w:rsid w:val="00DA7A9B"/>
    <w:rsid w:val="00DA7FA8"/>
    <w:rsid w:val="00DB17EB"/>
    <w:rsid w:val="00DB2BDC"/>
    <w:rsid w:val="00DB4211"/>
    <w:rsid w:val="00DB5F70"/>
    <w:rsid w:val="00DB7076"/>
    <w:rsid w:val="00DB7736"/>
    <w:rsid w:val="00DC1DB5"/>
    <w:rsid w:val="00DC2590"/>
    <w:rsid w:val="00DC411B"/>
    <w:rsid w:val="00DC4942"/>
    <w:rsid w:val="00DC5496"/>
    <w:rsid w:val="00DC5A41"/>
    <w:rsid w:val="00DC5D4A"/>
    <w:rsid w:val="00DC5F19"/>
    <w:rsid w:val="00DC6FB8"/>
    <w:rsid w:val="00DD0F10"/>
    <w:rsid w:val="00DD17C6"/>
    <w:rsid w:val="00DD4FBD"/>
    <w:rsid w:val="00DD6B43"/>
    <w:rsid w:val="00DD7B13"/>
    <w:rsid w:val="00DD7ECC"/>
    <w:rsid w:val="00DE06D3"/>
    <w:rsid w:val="00DE115B"/>
    <w:rsid w:val="00DE1949"/>
    <w:rsid w:val="00DE216E"/>
    <w:rsid w:val="00DE2C84"/>
    <w:rsid w:val="00DE338A"/>
    <w:rsid w:val="00DE3B9A"/>
    <w:rsid w:val="00DE4A73"/>
    <w:rsid w:val="00DE5B4A"/>
    <w:rsid w:val="00DE5BFE"/>
    <w:rsid w:val="00DF0006"/>
    <w:rsid w:val="00DF0221"/>
    <w:rsid w:val="00DF0435"/>
    <w:rsid w:val="00DF382F"/>
    <w:rsid w:val="00DF3A97"/>
    <w:rsid w:val="00DF49A7"/>
    <w:rsid w:val="00DF538E"/>
    <w:rsid w:val="00DF5B1D"/>
    <w:rsid w:val="00DF5C78"/>
    <w:rsid w:val="00DF6F54"/>
    <w:rsid w:val="00DF7341"/>
    <w:rsid w:val="00DF77FA"/>
    <w:rsid w:val="00DF77FD"/>
    <w:rsid w:val="00E00126"/>
    <w:rsid w:val="00E0041A"/>
    <w:rsid w:val="00E02870"/>
    <w:rsid w:val="00E05790"/>
    <w:rsid w:val="00E0595E"/>
    <w:rsid w:val="00E07B9C"/>
    <w:rsid w:val="00E11A49"/>
    <w:rsid w:val="00E11CB5"/>
    <w:rsid w:val="00E12206"/>
    <w:rsid w:val="00E129FB"/>
    <w:rsid w:val="00E13275"/>
    <w:rsid w:val="00E13475"/>
    <w:rsid w:val="00E13EDD"/>
    <w:rsid w:val="00E15343"/>
    <w:rsid w:val="00E160C2"/>
    <w:rsid w:val="00E167DE"/>
    <w:rsid w:val="00E16F4D"/>
    <w:rsid w:val="00E171A1"/>
    <w:rsid w:val="00E201FE"/>
    <w:rsid w:val="00E20913"/>
    <w:rsid w:val="00E21149"/>
    <w:rsid w:val="00E21D53"/>
    <w:rsid w:val="00E221C9"/>
    <w:rsid w:val="00E23093"/>
    <w:rsid w:val="00E23142"/>
    <w:rsid w:val="00E2386E"/>
    <w:rsid w:val="00E251AD"/>
    <w:rsid w:val="00E260AC"/>
    <w:rsid w:val="00E27F56"/>
    <w:rsid w:val="00E27F6B"/>
    <w:rsid w:val="00E30DC2"/>
    <w:rsid w:val="00E31BDD"/>
    <w:rsid w:val="00E3523C"/>
    <w:rsid w:val="00E35682"/>
    <w:rsid w:val="00E35DBB"/>
    <w:rsid w:val="00E366D4"/>
    <w:rsid w:val="00E40300"/>
    <w:rsid w:val="00E409D2"/>
    <w:rsid w:val="00E40BA9"/>
    <w:rsid w:val="00E40EB7"/>
    <w:rsid w:val="00E410BE"/>
    <w:rsid w:val="00E417EC"/>
    <w:rsid w:val="00E41DD8"/>
    <w:rsid w:val="00E422C7"/>
    <w:rsid w:val="00E42634"/>
    <w:rsid w:val="00E4263D"/>
    <w:rsid w:val="00E427CB"/>
    <w:rsid w:val="00E451C0"/>
    <w:rsid w:val="00E46299"/>
    <w:rsid w:val="00E46FF5"/>
    <w:rsid w:val="00E50FC2"/>
    <w:rsid w:val="00E51283"/>
    <w:rsid w:val="00E5166A"/>
    <w:rsid w:val="00E51FE1"/>
    <w:rsid w:val="00E535BD"/>
    <w:rsid w:val="00E5434C"/>
    <w:rsid w:val="00E55129"/>
    <w:rsid w:val="00E55226"/>
    <w:rsid w:val="00E55865"/>
    <w:rsid w:val="00E567D4"/>
    <w:rsid w:val="00E626A9"/>
    <w:rsid w:val="00E62A69"/>
    <w:rsid w:val="00E641F4"/>
    <w:rsid w:val="00E64892"/>
    <w:rsid w:val="00E65A72"/>
    <w:rsid w:val="00E65D7F"/>
    <w:rsid w:val="00E6616D"/>
    <w:rsid w:val="00E6633B"/>
    <w:rsid w:val="00E66CF9"/>
    <w:rsid w:val="00E67BB6"/>
    <w:rsid w:val="00E67C4E"/>
    <w:rsid w:val="00E70927"/>
    <w:rsid w:val="00E73607"/>
    <w:rsid w:val="00E75F0A"/>
    <w:rsid w:val="00E7668C"/>
    <w:rsid w:val="00E77235"/>
    <w:rsid w:val="00E8008E"/>
    <w:rsid w:val="00E8023C"/>
    <w:rsid w:val="00E80B0B"/>
    <w:rsid w:val="00E81D3F"/>
    <w:rsid w:val="00E837F6"/>
    <w:rsid w:val="00E84063"/>
    <w:rsid w:val="00E84244"/>
    <w:rsid w:val="00E84C4B"/>
    <w:rsid w:val="00E867EF"/>
    <w:rsid w:val="00E87476"/>
    <w:rsid w:val="00E87BDE"/>
    <w:rsid w:val="00E90447"/>
    <w:rsid w:val="00E90F57"/>
    <w:rsid w:val="00E91259"/>
    <w:rsid w:val="00E917EC"/>
    <w:rsid w:val="00E91A80"/>
    <w:rsid w:val="00E91FA0"/>
    <w:rsid w:val="00E9230E"/>
    <w:rsid w:val="00E93182"/>
    <w:rsid w:val="00E93AE4"/>
    <w:rsid w:val="00E94C1B"/>
    <w:rsid w:val="00E955E4"/>
    <w:rsid w:val="00E95821"/>
    <w:rsid w:val="00E97B9E"/>
    <w:rsid w:val="00E97C78"/>
    <w:rsid w:val="00EA0AFA"/>
    <w:rsid w:val="00EA148A"/>
    <w:rsid w:val="00EA2506"/>
    <w:rsid w:val="00EA3251"/>
    <w:rsid w:val="00EA4B58"/>
    <w:rsid w:val="00EA51B4"/>
    <w:rsid w:val="00EA69BF"/>
    <w:rsid w:val="00EB0017"/>
    <w:rsid w:val="00EB0370"/>
    <w:rsid w:val="00EB06D1"/>
    <w:rsid w:val="00EB0CD7"/>
    <w:rsid w:val="00EB1A5C"/>
    <w:rsid w:val="00EB1BC2"/>
    <w:rsid w:val="00EB1EDC"/>
    <w:rsid w:val="00EB34AE"/>
    <w:rsid w:val="00EB41A9"/>
    <w:rsid w:val="00EB4FCB"/>
    <w:rsid w:val="00EB665F"/>
    <w:rsid w:val="00EB666D"/>
    <w:rsid w:val="00EB7DE9"/>
    <w:rsid w:val="00EC0224"/>
    <w:rsid w:val="00EC0E0E"/>
    <w:rsid w:val="00EC0EE4"/>
    <w:rsid w:val="00EC10D7"/>
    <w:rsid w:val="00EC1EBF"/>
    <w:rsid w:val="00EC53AF"/>
    <w:rsid w:val="00EC7541"/>
    <w:rsid w:val="00EC7F2E"/>
    <w:rsid w:val="00ED0DED"/>
    <w:rsid w:val="00ED0F9C"/>
    <w:rsid w:val="00ED1ABD"/>
    <w:rsid w:val="00ED225B"/>
    <w:rsid w:val="00ED2D9A"/>
    <w:rsid w:val="00ED2F70"/>
    <w:rsid w:val="00ED3467"/>
    <w:rsid w:val="00ED4407"/>
    <w:rsid w:val="00ED46CB"/>
    <w:rsid w:val="00ED4CFC"/>
    <w:rsid w:val="00ED697F"/>
    <w:rsid w:val="00ED72A3"/>
    <w:rsid w:val="00EE3AC4"/>
    <w:rsid w:val="00EE4816"/>
    <w:rsid w:val="00EE48B8"/>
    <w:rsid w:val="00EF08BA"/>
    <w:rsid w:val="00EF0ECD"/>
    <w:rsid w:val="00EF18A6"/>
    <w:rsid w:val="00EF2C9C"/>
    <w:rsid w:val="00EF4D5E"/>
    <w:rsid w:val="00EF54A1"/>
    <w:rsid w:val="00EF55FE"/>
    <w:rsid w:val="00EF643B"/>
    <w:rsid w:val="00EF6BB3"/>
    <w:rsid w:val="00EF7220"/>
    <w:rsid w:val="00EF7C6B"/>
    <w:rsid w:val="00EF7C72"/>
    <w:rsid w:val="00F003CD"/>
    <w:rsid w:val="00F00CF1"/>
    <w:rsid w:val="00F01613"/>
    <w:rsid w:val="00F025A7"/>
    <w:rsid w:val="00F03263"/>
    <w:rsid w:val="00F0457B"/>
    <w:rsid w:val="00F046A7"/>
    <w:rsid w:val="00F04DCD"/>
    <w:rsid w:val="00F06393"/>
    <w:rsid w:val="00F069CA"/>
    <w:rsid w:val="00F1010E"/>
    <w:rsid w:val="00F1080D"/>
    <w:rsid w:val="00F121F8"/>
    <w:rsid w:val="00F146D1"/>
    <w:rsid w:val="00F15E3F"/>
    <w:rsid w:val="00F16EEE"/>
    <w:rsid w:val="00F20970"/>
    <w:rsid w:val="00F209D9"/>
    <w:rsid w:val="00F20A63"/>
    <w:rsid w:val="00F20B53"/>
    <w:rsid w:val="00F21190"/>
    <w:rsid w:val="00F21C3D"/>
    <w:rsid w:val="00F22B6F"/>
    <w:rsid w:val="00F23A37"/>
    <w:rsid w:val="00F24FA9"/>
    <w:rsid w:val="00F273A6"/>
    <w:rsid w:val="00F31C47"/>
    <w:rsid w:val="00F32B80"/>
    <w:rsid w:val="00F330F3"/>
    <w:rsid w:val="00F33226"/>
    <w:rsid w:val="00F34092"/>
    <w:rsid w:val="00F3419B"/>
    <w:rsid w:val="00F34514"/>
    <w:rsid w:val="00F35E44"/>
    <w:rsid w:val="00F366FE"/>
    <w:rsid w:val="00F368CE"/>
    <w:rsid w:val="00F372F8"/>
    <w:rsid w:val="00F417D1"/>
    <w:rsid w:val="00F41C1A"/>
    <w:rsid w:val="00F428DA"/>
    <w:rsid w:val="00F42B73"/>
    <w:rsid w:val="00F4327D"/>
    <w:rsid w:val="00F43C2E"/>
    <w:rsid w:val="00F43CD2"/>
    <w:rsid w:val="00F43E28"/>
    <w:rsid w:val="00F45905"/>
    <w:rsid w:val="00F45D08"/>
    <w:rsid w:val="00F4707C"/>
    <w:rsid w:val="00F4784A"/>
    <w:rsid w:val="00F47EED"/>
    <w:rsid w:val="00F515E0"/>
    <w:rsid w:val="00F51C4E"/>
    <w:rsid w:val="00F527E7"/>
    <w:rsid w:val="00F52CBC"/>
    <w:rsid w:val="00F5375B"/>
    <w:rsid w:val="00F53CBB"/>
    <w:rsid w:val="00F53EAA"/>
    <w:rsid w:val="00F56AD6"/>
    <w:rsid w:val="00F57AAF"/>
    <w:rsid w:val="00F60AB5"/>
    <w:rsid w:val="00F62E51"/>
    <w:rsid w:val="00F63074"/>
    <w:rsid w:val="00F6345D"/>
    <w:rsid w:val="00F63EB4"/>
    <w:rsid w:val="00F64271"/>
    <w:rsid w:val="00F64B18"/>
    <w:rsid w:val="00F64C85"/>
    <w:rsid w:val="00F655BD"/>
    <w:rsid w:val="00F6694F"/>
    <w:rsid w:val="00F66A6A"/>
    <w:rsid w:val="00F702E1"/>
    <w:rsid w:val="00F707F7"/>
    <w:rsid w:val="00F7116C"/>
    <w:rsid w:val="00F71E03"/>
    <w:rsid w:val="00F72547"/>
    <w:rsid w:val="00F729CF"/>
    <w:rsid w:val="00F72AAE"/>
    <w:rsid w:val="00F72C5C"/>
    <w:rsid w:val="00F7345D"/>
    <w:rsid w:val="00F73D24"/>
    <w:rsid w:val="00F74B29"/>
    <w:rsid w:val="00F7504D"/>
    <w:rsid w:val="00F76345"/>
    <w:rsid w:val="00F76D69"/>
    <w:rsid w:val="00F77495"/>
    <w:rsid w:val="00F77585"/>
    <w:rsid w:val="00F777B1"/>
    <w:rsid w:val="00F77935"/>
    <w:rsid w:val="00F77CFD"/>
    <w:rsid w:val="00F8043A"/>
    <w:rsid w:val="00F822FF"/>
    <w:rsid w:val="00F849C0"/>
    <w:rsid w:val="00F85465"/>
    <w:rsid w:val="00F85618"/>
    <w:rsid w:val="00F86D91"/>
    <w:rsid w:val="00F87511"/>
    <w:rsid w:val="00F87B17"/>
    <w:rsid w:val="00F87C70"/>
    <w:rsid w:val="00F87EF1"/>
    <w:rsid w:val="00F87F5E"/>
    <w:rsid w:val="00F90EB8"/>
    <w:rsid w:val="00F90F83"/>
    <w:rsid w:val="00F92B63"/>
    <w:rsid w:val="00F93B6B"/>
    <w:rsid w:val="00F94409"/>
    <w:rsid w:val="00F953A9"/>
    <w:rsid w:val="00F959B7"/>
    <w:rsid w:val="00F97452"/>
    <w:rsid w:val="00F97933"/>
    <w:rsid w:val="00FA066A"/>
    <w:rsid w:val="00FA083B"/>
    <w:rsid w:val="00FA092C"/>
    <w:rsid w:val="00FA10FF"/>
    <w:rsid w:val="00FA1260"/>
    <w:rsid w:val="00FA17B4"/>
    <w:rsid w:val="00FA25D7"/>
    <w:rsid w:val="00FA27E2"/>
    <w:rsid w:val="00FA3B70"/>
    <w:rsid w:val="00FA3CE6"/>
    <w:rsid w:val="00FA641E"/>
    <w:rsid w:val="00FA6E5E"/>
    <w:rsid w:val="00FA7185"/>
    <w:rsid w:val="00FB0133"/>
    <w:rsid w:val="00FB01EF"/>
    <w:rsid w:val="00FB10E1"/>
    <w:rsid w:val="00FB14A7"/>
    <w:rsid w:val="00FB2E57"/>
    <w:rsid w:val="00FB3506"/>
    <w:rsid w:val="00FB3C73"/>
    <w:rsid w:val="00FB49E6"/>
    <w:rsid w:val="00FB4C71"/>
    <w:rsid w:val="00FB55C6"/>
    <w:rsid w:val="00FB5784"/>
    <w:rsid w:val="00FB5AF8"/>
    <w:rsid w:val="00FB5D17"/>
    <w:rsid w:val="00FB6344"/>
    <w:rsid w:val="00FB6D5F"/>
    <w:rsid w:val="00FB7143"/>
    <w:rsid w:val="00FC01FC"/>
    <w:rsid w:val="00FC02B7"/>
    <w:rsid w:val="00FC0679"/>
    <w:rsid w:val="00FC2697"/>
    <w:rsid w:val="00FC2C7C"/>
    <w:rsid w:val="00FC387F"/>
    <w:rsid w:val="00FC46F1"/>
    <w:rsid w:val="00FC6698"/>
    <w:rsid w:val="00FC6AD2"/>
    <w:rsid w:val="00FC7931"/>
    <w:rsid w:val="00FD0C6C"/>
    <w:rsid w:val="00FD14DE"/>
    <w:rsid w:val="00FD1BC0"/>
    <w:rsid w:val="00FD1F26"/>
    <w:rsid w:val="00FD2115"/>
    <w:rsid w:val="00FD2ACB"/>
    <w:rsid w:val="00FD34FA"/>
    <w:rsid w:val="00FD3F5F"/>
    <w:rsid w:val="00FD4944"/>
    <w:rsid w:val="00FD597E"/>
    <w:rsid w:val="00FD5DD7"/>
    <w:rsid w:val="00FD5FF6"/>
    <w:rsid w:val="00FD66D5"/>
    <w:rsid w:val="00FD702E"/>
    <w:rsid w:val="00FD7396"/>
    <w:rsid w:val="00FD7AB8"/>
    <w:rsid w:val="00FE0EAF"/>
    <w:rsid w:val="00FE1E10"/>
    <w:rsid w:val="00FE436E"/>
    <w:rsid w:val="00FE4ADC"/>
    <w:rsid w:val="00FE4F1D"/>
    <w:rsid w:val="00FE5E1F"/>
    <w:rsid w:val="00FE668A"/>
    <w:rsid w:val="00FE6CA0"/>
    <w:rsid w:val="00FE6F9A"/>
    <w:rsid w:val="00FE71F9"/>
    <w:rsid w:val="00FE7744"/>
    <w:rsid w:val="00FE7B2E"/>
    <w:rsid w:val="00FF04AF"/>
    <w:rsid w:val="00FF0BDE"/>
    <w:rsid w:val="00FF2E26"/>
    <w:rsid w:val="00FF2E76"/>
    <w:rsid w:val="00FF312D"/>
    <w:rsid w:val="00FF44A8"/>
    <w:rsid w:val="00FF4884"/>
    <w:rsid w:val="00FF5036"/>
    <w:rsid w:val="00FF5FD2"/>
    <w:rsid w:val="00FF71BE"/>
    <w:rsid w:val="01E90DE3"/>
    <w:rsid w:val="0321394D"/>
    <w:rsid w:val="05226B5F"/>
    <w:rsid w:val="05D3081E"/>
    <w:rsid w:val="067237D9"/>
    <w:rsid w:val="077E558A"/>
    <w:rsid w:val="07C115F6"/>
    <w:rsid w:val="0A1B6B6A"/>
    <w:rsid w:val="0A3E25DB"/>
    <w:rsid w:val="0F8340A4"/>
    <w:rsid w:val="140B63F8"/>
    <w:rsid w:val="18371EB1"/>
    <w:rsid w:val="19B906A4"/>
    <w:rsid w:val="1B217891"/>
    <w:rsid w:val="1B4C6157"/>
    <w:rsid w:val="1C8C6B54"/>
    <w:rsid w:val="1E3A3326"/>
    <w:rsid w:val="22405E06"/>
    <w:rsid w:val="22715FC0"/>
    <w:rsid w:val="22895204"/>
    <w:rsid w:val="22D36D13"/>
    <w:rsid w:val="23944DB7"/>
    <w:rsid w:val="26AD1590"/>
    <w:rsid w:val="27077C17"/>
    <w:rsid w:val="281A0EA7"/>
    <w:rsid w:val="28351D73"/>
    <w:rsid w:val="2A601AA7"/>
    <w:rsid w:val="2B4A1E95"/>
    <w:rsid w:val="2B88437A"/>
    <w:rsid w:val="2F566D8A"/>
    <w:rsid w:val="2F7470EF"/>
    <w:rsid w:val="34DA79F4"/>
    <w:rsid w:val="35AB75E3"/>
    <w:rsid w:val="36011B29"/>
    <w:rsid w:val="362551E1"/>
    <w:rsid w:val="377D0B0B"/>
    <w:rsid w:val="3DED58A2"/>
    <w:rsid w:val="3E7052B2"/>
    <w:rsid w:val="3EDC792D"/>
    <w:rsid w:val="41E55C2A"/>
    <w:rsid w:val="43F42D6E"/>
    <w:rsid w:val="45034D45"/>
    <w:rsid w:val="453F38A4"/>
    <w:rsid w:val="45B85B30"/>
    <w:rsid w:val="48763A80"/>
    <w:rsid w:val="48965ED0"/>
    <w:rsid w:val="4A9422A9"/>
    <w:rsid w:val="4CE4720A"/>
    <w:rsid w:val="4E255D2C"/>
    <w:rsid w:val="4EAA6232"/>
    <w:rsid w:val="52B272DE"/>
    <w:rsid w:val="53BD0BA0"/>
    <w:rsid w:val="55DF4BE8"/>
    <w:rsid w:val="57A20B0E"/>
    <w:rsid w:val="5B48305A"/>
    <w:rsid w:val="5CCE57E1"/>
    <w:rsid w:val="5EB076E9"/>
    <w:rsid w:val="5F0955FB"/>
    <w:rsid w:val="5F0C439F"/>
    <w:rsid w:val="61FE0917"/>
    <w:rsid w:val="64202DC6"/>
    <w:rsid w:val="643B784F"/>
    <w:rsid w:val="64D43BB1"/>
    <w:rsid w:val="66421AD5"/>
    <w:rsid w:val="66A001EE"/>
    <w:rsid w:val="68157452"/>
    <w:rsid w:val="68195E58"/>
    <w:rsid w:val="69CE6FDF"/>
    <w:rsid w:val="70625063"/>
    <w:rsid w:val="70922A46"/>
    <w:rsid w:val="711B191E"/>
    <w:rsid w:val="723D4B43"/>
    <w:rsid w:val="7402235F"/>
    <w:rsid w:val="7488690A"/>
    <w:rsid w:val="75AB270C"/>
    <w:rsid w:val="7A370843"/>
    <w:rsid w:val="7ADD519D"/>
    <w:rsid w:val="7B5914B7"/>
    <w:rsid w:val="7BB323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8"/>
    <w:semiHidden/>
    <w:unhideWhenUsed/>
    <w:qFormat/>
    <w:uiPriority w:val="99"/>
    <w:pPr>
      <w:jc w:val="left"/>
    </w:pPr>
  </w:style>
  <w:style w:type="paragraph" w:styleId="3">
    <w:name w:val="Balloon Text"/>
    <w:basedOn w:val="1"/>
    <w:link w:val="15"/>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paragraph" w:styleId="7">
    <w:name w:val="annotation subject"/>
    <w:basedOn w:val="2"/>
    <w:next w:val="2"/>
    <w:link w:val="19"/>
    <w:semiHidden/>
    <w:unhideWhenUsed/>
    <w:qFormat/>
    <w:uiPriority w:val="99"/>
    <w:rPr>
      <w:b/>
      <w:bCs/>
    </w:rPr>
  </w:style>
  <w:style w:type="character" w:styleId="10">
    <w:name w:val="annotation reference"/>
    <w:basedOn w:val="9"/>
    <w:semiHidden/>
    <w:unhideWhenUsed/>
    <w:qFormat/>
    <w:uiPriority w:val="99"/>
    <w:rPr>
      <w:sz w:val="21"/>
      <w:szCs w:val="21"/>
    </w:rPr>
  </w:style>
  <w:style w:type="character" w:customStyle="1" w:styleId="11">
    <w:name w:val="页眉 字符"/>
    <w:basedOn w:val="9"/>
    <w:link w:val="5"/>
    <w:qFormat/>
    <w:uiPriority w:val="99"/>
    <w:rPr>
      <w:sz w:val="18"/>
      <w:szCs w:val="18"/>
    </w:rPr>
  </w:style>
  <w:style w:type="character" w:customStyle="1" w:styleId="12">
    <w:name w:val="页脚 字符"/>
    <w:basedOn w:val="9"/>
    <w:link w:val="4"/>
    <w:qFormat/>
    <w:uiPriority w:val="99"/>
    <w:rPr>
      <w:sz w:val="18"/>
      <w:szCs w:val="18"/>
    </w:rPr>
  </w:style>
  <w:style w:type="paragraph" w:customStyle="1" w:styleId="13">
    <w:name w:val="Default"/>
    <w:qFormat/>
    <w:uiPriority w:val="0"/>
    <w:pPr>
      <w:widowControl w:val="0"/>
      <w:autoSpaceDE w:val="0"/>
      <w:autoSpaceDN w:val="0"/>
      <w:adjustRightInd w:val="0"/>
    </w:pPr>
    <w:rPr>
      <w:rFonts w:ascii="微软雅黑" w:eastAsia="微软雅黑" w:cs="微软雅黑" w:hAnsiTheme="minorHAnsi"/>
      <w:color w:val="000000"/>
      <w:sz w:val="24"/>
      <w:szCs w:val="24"/>
      <w:lang w:val="en-US" w:eastAsia="zh-CN" w:bidi="ar-SA"/>
    </w:rPr>
  </w:style>
  <w:style w:type="paragraph" w:styleId="14">
    <w:name w:val="List Paragraph"/>
    <w:basedOn w:val="1"/>
    <w:link w:val="16"/>
    <w:qFormat/>
    <w:uiPriority w:val="34"/>
    <w:pPr>
      <w:ind w:firstLine="420" w:firstLineChars="200"/>
    </w:pPr>
  </w:style>
  <w:style w:type="character" w:customStyle="1" w:styleId="15">
    <w:name w:val="批注框文本 字符"/>
    <w:basedOn w:val="9"/>
    <w:link w:val="3"/>
    <w:semiHidden/>
    <w:qFormat/>
    <w:uiPriority w:val="99"/>
    <w:rPr>
      <w:rFonts w:ascii="Times New Roman" w:hAnsi="Times New Roman" w:eastAsia="宋体" w:cs="Times New Roman"/>
      <w:sz w:val="18"/>
      <w:szCs w:val="18"/>
    </w:rPr>
  </w:style>
  <w:style w:type="character" w:customStyle="1" w:styleId="16">
    <w:name w:val="列出段落 字符"/>
    <w:link w:val="14"/>
    <w:qFormat/>
    <w:uiPriority w:val="34"/>
    <w:rPr>
      <w:rFonts w:ascii="Times New Roman" w:hAnsi="Times New Roman" w:eastAsia="宋体" w:cs="Times New Roman"/>
      <w:szCs w:val="24"/>
    </w:rPr>
  </w:style>
  <w:style w:type="character" w:customStyle="1" w:styleId="17">
    <w:name w:val="dt-editor__word"/>
    <w:basedOn w:val="9"/>
    <w:qFormat/>
    <w:uiPriority w:val="0"/>
  </w:style>
  <w:style w:type="character" w:customStyle="1" w:styleId="18">
    <w:name w:val="批注文字 字符"/>
    <w:basedOn w:val="9"/>
    <w:link w:val="2"/>
    <w:semiHidden/>
    <w:qFormat/>
    <w:uiPriority w:val="99"/>
    <w:rPr>
      <w:rFonts w:ascii="Times New Roman" w:hAnsi="Times New Roman" w:eastAsia="宋体" w:cs="Times New Roman"/>
      <w:szCs w:val="24"/>
    </w:rPr>
  </w:style>
  <w:style w:type="character" w:customStyle="1" w:styleId="19">
    <w:name w:val="批注主题 字符"/>
    <w:basedOn w:val="18"/>
    <w:link w:val="7"/>
    <w:semiHidden/>
    <w:qFormat/>
    <w:uiPriority w:val="99"/>
    <w:rPr>
      <w:rFonts w:ascii="Times New Roman" w:hAnsi="Times New Roman" w:eastAsia="宋体" w:cs="Times New Roman"/>
      <w:b/>
      <w:bCs/>
      <w:szCs w:val="24"/>
    </w:rPr>
  </w:style>
  <w:style w:type="paragraph" w:customStyle="1" w:styleId="20">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21">
    <w:name w:val="highlight"/>
    <w:basedOn w:val="9"/>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F2C440-12FE-477E-8E1C-555A19127C1C}">
  <ds:schemaRefs/>
</ds:datastoreItem>
</file>

<file path=docProps/app.xml><?xml version="1.0" encoding="utf-8"?>
<Properties xmlns="http://schemas.openxmlformats.org/officeDocument/2006/extended-properties" xmlns:vt="http://schemas.openxmlformats.org/officeDocument/2006/docPropsVTypes">
  <Template>Normal</Template>
  <Company>Deppon</Company>
  <Pages>5</Pages>
  <Words>3352</Words>
  <Characters>3475</Characters>
  <Lines>20</Lines>
  <Paragraphs>5</Paragraphs>
  <TotalTime>35</TotalTime>
  <ScaleCrop>false</ScaleCrop>
  <LinksUpToDate>false</LinksUpToDate>
  <CharactersWithSpaces>3639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2026-08-20T11:05:00Z</dcterms:created>
  <dc:creator>曾静(Jane Zeng)</dc:creator>
  <cp:lastModifiedBy>starrydaisy</cp:lastModifiedBy>
  <cp:lastPrinted>2019-04-11T02:37:00Z</cp:lastPrinted>
  <dcterms:modified xsi:type="dcterms:W3CDTF">2026-08-21T07:35:57Z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AEFBDE31681B44A585F6BFAAC5C1BC63_13</vt:lpwstr>
  </property>
  <property fmtid="{D5CDD505-2E9C-101B-9397-08002B2CF9AE}" pid="4" name="KSOTemplateDocerSaveRecord">
    <vt:lpwstr>eyJoZGlkIjoiMjI5NzAxYzA5ZjhmNGQ1Y2Y1NDY5MmE4NzA4ODJlNmYiLCJ1c2VySWQiOiIzOTg0MDU0In0=</vt:lpwstr>
  </property>
</Properties>
</file>