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E6C867">
      <w:pPr>
        <w:widowControl/>
        <w:shd w:val="clear" w:color="auto" w:fill="FFFFFF"/>
        <w:spacing w:line="480" w:lineRule="auto"/>
        <w:rPr>
          <w:rFonts w:cs="宋体" w:asciiTheme="minorEastAsia" w:hAnsiTheme="minorEastAsia"/>
          <w:color w:val="000000"/>
          <w:kern w:val="0"/>
          <w:sz w:val="24"/>
          <w:szCs w:val="21"/>
        </w:rPr>
      </w:pPr>
      <w:r>
        <w:rPr>
          <w:rFonts w:cs="宋体" w:asciiTheme="minorEastAsia" w:hAnsiTheme="minorEastAsia"/>
          <w:color w:val="000000"/>
          <w:kern w:val="0"/>
          <w:sz w:val="24"/>
          <w:szCs w:val="21"/>
        </w:rPr>
        <w:t xml:space="preserve">证券代码：688379         </w:t>
      </w:r>
      <w:r>
        <w:rPr>
          <w:rFonts w:hint="eastAsia" w:cs="宋体" w:asciiTheme="minorEastAsia" w:hAnsiTheme="minorEastAsia"/>
          <w:color w:val="000000"/>
          <w:kern w:val="0"/>
          <w:sz w:val="24"/>
          <w:szCs w:val="21"/>
        </w:rPr>
        <w:t xml:space="preserve">    </w:t>
      </w:r>
      <w:r>
        <w:rPr>
          <w:rFonts w:cs="宋体" w:asciiTheme="minorEastAsia" w:hAnsiTheme="minorEastAsia"/>
          <w:color w:val="000000"/>
          <w:kern w:val="0"/>
          <w:sz w:val="24"/>
          <w:szCs w:val="21"/>
        </w:rPr>
        <w:t xml:space="preserve">                      </w:t>
      </w:r>
      <w:r>
        <w:rPr>
          <w:rFonts w:hint="eastAsia" w:cs="宋体" w:asciiTheme="minorEastAsia" w:hAnsiTheme="minorEastAsia"/>
          <w:color w:val="000000"/>
          <w:kern w:val="0"/>
          <w:sz w:val="24"/>
          <w:szCs w:val="21"/>
        </w:rPr>
        <w:t xml:space="preserve">   </w:t>
      </w:r>
      <w:r>
        <w:rPr>
          <w:rFonts w:cs="宋体" w:asciiTheme="minorEastAsia" w:hAnsiTheme="minorEastAsia"/>
          <w:color w:val="000000"/>
          <w:kern w:val="0"/>
          <w:sz w:val="24"/>
          <w:szCs w:val="21"/>
        </w:rPr>
        <w:t>证券简称：华光新材</w:t>
      </w:r>
    </w:p>
    <w:p w14:paraId="3AA2DEFA">
      <w:pPr>
        <w:widowControl/>
        <w:shd w:val="clear" w:color="auto" w:fill="FFFFFF"/>
        <w:spacing w:line="480" w:lineRule="auto"/>
        <w:jc w:val="center"/>
        <w:rPr>
          <w:rFonts w:ascii="Courier New" w:hAnsi="Courier New" w:eastAsia="宋体" w:cs="宋体"/>
          <w:color w:val="000000"/>
          <w:kern w:val="0"/>
          <w:sz w:val="30"/>
          <w:szCs w:val="30"/>
        </w:rPr>
      </w:pPr>
      <w:r>
        <w:rPr>
          <w:rFonts w:ascii="Courier New" w:hAnsi="Courier New" w:eastAsia="宋体" w:cs="宋体"/>
          <w:b/>
          <w:bCs/>
          <w:color w:val="000000"/>
          <w:kern w:val="0"/>
          <w:sz w:val="30"/>
          <w:szCs w:val="30"/>
        </w:rPr>
        <w:t>杭州华光焊接新材料股份有限公司投资者关系活动记录表</w:t>
      </w:r>
    </w:p>
    <w:p w14:paraId="1550E235">
      <w:pPr>
        <w:widowControl/>
        <w:shd w:val="clear" w:color="auto" w:fill="FFFFFF"/>
        <w:spacing w:line="480" w:lineRule="auto"/>
        <w:ind w:firstLine="480" w:firstLineChars="200"/>
        <w:jc w:val="right"/>
        <w:rPr>
          <w:rFonts w:cs="宋体" w:asciiTheme="minorEastAsia" w:hAnsiTheme="minorEastAsia"/>
          <w:color w:val="000000"/>
          <w:kern w:val="0"/>
          <w:sz w:val="24"/>
          <w:szCs w:val="21"/>
        </w:rPr>
      </w:pPr>
      <w:r>
        <w:rPr>
          <w:rFonts w:cs="宋体" w:asciiTheme="minorEastAsia" w:hAnsiTheme="minorEastAsia"/>
          <w:color w:val="000000"/>
          <w:kern w:val="0"/>
          <w:sz w:val="24"/>
          <w:szCs w:val="21"/>
        </w:rPr>
        <w:t>编号：202</w:t>
      </w:r>
      <w:r>
        <w:rPr>
          <w:rFonts w:hint="eastAsia" w:cs="宋体" w:asciiTheme="minorEastAsia" w:hAnsiTheme="minorEastAsia"/>
          <w:color w:val="000000"/>
          <w:kern w:val="0"/>
          <w:sz w:val="24"/>
          <w:szCs w:val="21"/>
        </w:rPr>
        <w:t>6</w:t>
      </w:r>
      <w:r>
        <w:rPr>
          <w:rFonts w:cs="宋体" w:asciiTheme="minorEastAsia" w:hAnsiTheme="minorEastAsia"/>
          <w:color w:val="000000"/>
          <w:kern w:val="0"/>
          <w:sz w:val="24"/>
          <w:szCs w:val="21"/>
        </w:rPr>
        <w:t>-00</w:t>
      </w:r>
      <w:r>
        <w:rPr>
          <w:rFonts w:hint="eastAsia" w:cs="宋体" w:asciiTheme="minorEastAsia" w:hAnsiTheme="minorEastAsia"/>
          <w:color w:val="000000"/>
          <w:kern w:val="0"/>
          <w:sz w:val="24"/>
          <w:szCs w:val="21"/>
        </w:rPr>
        <w:t>8</w:t>
      </w:r>
    </w:p>
    <w:tbl>
      <w:tblPr>
        <w:tblStyle w:val="9"/>
        <w:tblpPr w:leftFromText="180" w:rightFromText="180" w:vertAnchor="text" w:tblpXSpec="right" w:tblpY="1"/>
        <w:tblOverlap w:val="never"/>
        <w:tblW w:w="91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7455"/>
      </w:tblGrid>
      <w:tr w14:paraId="6F7B2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696" w:type="dxa"/>
            <w:vAlign w:val="center"/>
          </w:tcPr>
          <w:p w14:paraId="5B02C65F">
            <w:pPr>
              <w:widowControl/>
              <w:spacing w:line="42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  <w:t>投资者关系活动类别</w:t>
            </w:r>
          </w:p>
        </w:tc>
        <w:tc>
          <w:tcPr>
            <w:tcW w:w="7455" w:type="dxa"/>
            <w:vAlign w:val="center"/>
          </w:tcPr>
          <w:p w14:paraId="1481106B">
            <w:pPr>
              <w:widowControl/>
              <w:spacing w:line="42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  <w:t>■特定对象调研 □分析师会议</w:t>
            </w:r>
          </w:p>
          <w:p w14:paraId="365F8D8C">
            <w:pPr>
              <w:widowControl/>
              <w:spacing w:line="42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  <w:t>□媒体采访 □业绩说明会</w:t>
            </w:r>
          </w:p>
          <w:p w14:paraId="0AC601F0">
            <w:pPr>
              <w:widowControl/>
              <w:spacing w:line="42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  <w:t>□新闻发布会 □路演活动</w:t>
            </w:r>
          </w:p>
          <w:p w14:paraId="69451200">
            <w:pPr>
              <w:widowControl/>
              <w:spacing w:line="42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  <w:t>■现场参观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  <w:t xml:space="preserve"> </w:t>
            </w:r>
          </w:p>
          <w:p w14:paraId="19D08496">
            <w:pPr>
              <w:widowControl/>
              <w:spacing w:line="42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  <w:t>□其他</w:t>
            </w:r>
          </w:p>
        </w:tc>
      </w:tr>
      <w:tr w14:paraId="6A96B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atLeast"/>
        </w:trPr>
        <w:tc>
          <w:tcPr>
            <w:tcW w:w="1696" w:type="dxa"/>
            <w:vAlign w:val="center"/>
          </w:tcPr>
          <w:p w14:paraId="62C46DE7">
            <w:pPr>
              <w:widowControl/>
              <w:spacing w:line="32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  <w:t>参与单位名称</w:t>
            </w:r>
          </w:p>
        </w:tc>
        <w:tc>
          <w:tcPr>
            <w:tcW w:w="7455" w:type="dxa"/>
            <w:vAlign w:val="center"/>
          </w:tcPr>
          <w:p w14:paraId="24B90F8F">
            <w:pPr>
              <w:widowControl/>
              <w:spacing w:line="420" w:lineRule="atLeas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  <w:t>淡联投资、生命资产、冠达泰泽基金、建信理财、信达澳亚基金、华夏久盈、君颐资产、浙商创投、泽恩投资、佳奕投资、信银投资、浙商证券、红骅投资、兆顺基金、东北证券、恒越基金、浙商资管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1"/>
                <w:lang w:eastAsia="zh-CN"/>
              </w:rPr>
              <w:t>、中信证券</w:t>
            </w:r>
          </w:p>
        </w:tc>
      </w:tr>
      <w:tr w14:paraId="505B9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696" w:type="dxa"/>
            <w:vAlign w:val="center"/>
          </w:tcPr>
          <w:p w14:paraId="32D950F2">
            <w:pPr>
              <w:widowControl/>
              <w:spacing w:line="42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  <w:t>时间</w:t>
            </w:r>
          </w:p>
        </w:tc>
        <w:tc>
          <w:tcPr>
            <w:tcW w:w="7455" w:type="dxa"/>
            <w:vAlign w:val="center"/>
          </w:tcPr>
          <w:p w14:paraId="56031C25">
            <w:pPr>
              <w:widowControl/>
              <w:spacing w:line="42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  <w:t>202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  <w:t>6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  <w:t>年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  <w:t>8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  <w:t>月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  <w:t>6日-2026年8月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1"/>
                <w:lang w:val="en-US" w:eastAsia="zh-CN"/>
              </w:rPr>
              <w:t>21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  <w:t>日</w:t>
            </w:r>
          </w:p>
        </w:tc>
      </w:tr>
      <w:tr w14:paraId="3B4F9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696" w:type="dxa"/>
            <w:vAlign w:val="center"/>
          </w:tcPr>
          <w:p w14:paraId="6476C21A">
            <w:pPr>
              <w:widowControl/>
              <w:spacing w:line="42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  <w:t>参会方式</w:t>
            </w:r>
          </w:p>
        </w:tc>
        <w:tc>
          <w:tcPr>
            <w:tcW w:w="7455" w:type="dxa"/>
            <w:vAlign w:val="center"/>
          </w:tcPr>
          <w:p w14:paraId="3B0148B8">
            <w:pPr>
              <w:widowControl/>
              <w:spacing w:line="420" w:lineRule="atLeast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1"/>
                <w:shd w:val="clear" w:color="auto" w:fill="FFFFFF"/>
              </w:rPr>
              <w:t>机构路演、线上调研、现场调研</w:t>
            </w:r>
          </w:p>
        </w:tc>
      </w:tr>
      <w:tr w14:paraId="456DC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696" w:type="dxa"/>
            <w:vAlign w:val="center"/>
          </w:tcPr>
          <w:p w14:paraId="7835A1AA">
            <w:pPr>
              <w:widowControl/>
              <w:spacing w:line="32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  <w:t>上市公司接待人员姓名</w:t>
            </w:r>
          </w:p>
        </w:tc>
        <w:tc>
          <w:tcPr>
            <w:tcW w:w="7455" w:type="dxa"/>
            <w:vAlign w:val="center"/>
          </w:tcPr>
          <w:p w14:paraId="3C87EBCC">
            <w:pPr>
              <w:widowControl/>
              <w:spacing w:line="42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  <w:t>董事会秘书胡岭、证券事务代表李美娟</w:t>
            </w:r>
          </w:p>
        </w:tc>
      </w:tr>
      <w:tr w14:paraId="76283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696" w:type="dxa"/>
            <w:vAlign w:val="center"/>
          </w:tcPr>
          <w:p w14:paraId="1E7D300F">
            <w:pPr>
              <w:widowControl/>
              <w:spacing w:line="42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  <w:t>投资者关系活动主要内容介绍</w:t>
            </w:r>
          </w:p>
        </w:tc>
        <w:tc>
          <w:tcPr>
            <w:tcW w:w="7455" w:type="dxa"/>
            <w:vAlign w:val="center"/>
          </w:tcPr>
          <w:p w14:paraId="37E9D9DA">
            <w:pPr>
              <w:pStyle w:val="13"/>
              <w:widowControl/>
              <w:spacing w:line="460" w:lineRule="exact"/>
              <w:ind w:firstLine="0" w:firstLineChars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第一部分 介绍公司相关情况</w:t>
            </w:r>
          </w:p>
          <w:p w14:paraId="022097AC">
            <w:pPr>
              <w:pStyle w:val="13"/>
              <w:widowControl/>
              <w:spacing w:line="460" w:lineRule="exact"/>
              <w:ind w:firstLine="4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内容包括华光新材基本情况、2025年度及2026年第一季度经营状况、未来发展规划。</w:t>
            </w:r>
          </w:p>
          <w:p w14:paraId="4DE8B63E">
            <w:pPr>
              <w:pStyle w:val="13"/>
              <w:widowControl/>
              <w:spacing w:line="460" w:lineRule="exact"/>
              <w:ind w:firstLine="480"/>
              <w:rPr>
                <w:rFonts w:ascii="Times New Roman" w:hAnsi="Times New Roman"/>
                <w:sz w:val="24"/>
                <w:szCs w:val="24"/>
              </w:rPr>
            </w:pPr>
          </w:p>
          <w:p w14:paraId="360B16B7">
            <w:pPr>
              <w:pStyle w:val="13"/>
              <w:widowControl/>
              <w:spacing w:line="460" w:lineRule="exact"/>
              <w:ind w:firstLine="0" w:firstLineChars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 xml:space="preserve">第二部分 </w:t>
            </w:r>
            <w:r>
              <w:rPr>
                <w:rFonts w:ascii="Times New Roman" w:hAnsi="Times New Roman"/>
                <w:sz w:val="24"/>
                <w:szCs w:val="24"/>
              </w:rPr>
              <w:t>提问回答</w:t>
            </w:r>
          </w:p>
          <w:p w14:paraId="3EA571F9">
            <w:pPr>
              <w:pStyle w:val="13"/>
              <w:widowControl/>
              <w:spacing w:line="460" w:lineRule="exact"/>
              <w:ind w:firstLine="0" w:firstLineChars="0"/>
              <w:rPr>
                <w:rFonts w:asciiTheme="minorEastAsia" w:hAnsiTheme="minorEastAsia" w:eastAsiaTheme="minorEastAsia" w:cstheme="minor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EastAsia" w:hAnsiTheme="minorEastAsia" w:eastAsiaTheme="minorEastAsia" w:cstheme="minorEastAsia"/>
                <w:b/>
                <w:bCs/>
                <w:color w:val="000000"/>
                <w:sz w:val="24"/>
                <w:szCs w:val="24"/>
              </w:rPr>
              <w:t>问题1、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4"/>
                <w:szCs w:val="24"/>
              </w:rPr>
              <w:t>公司各业务领域的收入结构是怎样，未来会有何变化？</w:t>
            </w:r>
          </w:p>
          <w:p w14:paraId="783DD088">
            <w:pPr>
              <w:pStyle w:val="13"/>
              <w:widowControl/>
              <w:spacing w:line="460" w:lineRule="exact"/>
              <w:ind w:firstLine="0" w:firstLineChars="0"/>
              <w:rPr>
                <w:rFonts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bidi="ar"/>
              </w:rPr>
              <w:t>答：公司的业务领域主要有制冷暖通、电力电气、电子、新能源汽车及其他工业应用领域等。2025年，制冷暖通领域收入占比为41.08%，电力电气领域为21.06%，电子领域约24.86%，新能源汽车领域约5.14%，其他各类工业应用领域约7.86%。随着锡基钎料、电子浆料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bidi="ar"/>
              </w:rPr>
              <w:t>等产品逐步拓展市场，电子领域的营收占比会进一步提升。</w:t>
            </w:r>
          </w:p>
          <w:p w14:paraId="27ABB7CD">
            <w:pPr>
              <w:pStyle w:val="13"/>
              <w:widowControl/>
              <w:spacing w:line="460" w:lineRule="exact"/>
              <w:ind w:firstLine="480"/>
              <w:jc w:val="left"/>
              <w:rPr>
                <w:rFonts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bidi="ar"/>
              </w:rPr>
            </w:pPr>
          </w:p>
          <w:p w14:paraId="03255C76">
            <w:pPr>
              <w:pStyle w:val="13"/>
              <w:widowControl/>
              <w:spacing w:line="460" w:lineRule="exact"/>
              <w:ind w:firstLine="0" w:firstLineChars="0"/>
              <w:rPr>
                <w:rFonts w:asciiTheme="minorEastAsia" w:hAnsiTheme="minorEastAsia" w:eastAsiaTheme="minorEastAsia" w:cstheme="minor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EastAsia" w:hAnsiTheme="minorEastAsia" w:eastAsiaTheme="minorEastAsia" w:cstheme="minorEastAsia"/>
                <w:b/>
                <w:bCs/>
                <w:color w:val="000000"/>
                <w:sz w:val="24"/>
                <w:szCs w:val="24"/>
              </w:rPr>
              <w:t>问题2、</w:t>
            </w:r>
            <w:r>
              <w:rPr>
                <w:rFonts w:ascii="宋体" w:hAnsi="宋体" w:cs="宋体"/>
                <w:b/>
                <w:bCs/>
                <w:sz w:val="24"/>
                <w:szCs w:val="24"/>
              </w:rPr>
              <w:t>今年一季度营收尚可，但净利润同比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下降超</w:t>
            </w:r>
            <w:r>
              <w:rPr>
                <w:rFonts w:ascii="宋体" w:hAnsi="宋体" w:cs="宋体"/>
                <w:b/>
                <w:bCs/>
                <w:sz w:val="24"/>
                <w:szCs w:val="24"/>
              </w:rPr>
              <w:t>60%，主要是什么原因？</w:t>
            </w:r>
          </w:p>
          <w:p w14:paraId="4A10F5DC">
            <w:pPr>
              <w:numPr>
                <w:ilvl w:val="255"/>
                <w:numId w:val="0"/>
              </w:numPr>
              <w:spacing w:line="360" w:lineRule="auto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4"/>
                <w:szCs w:val="24"/>
                <w:lang w:bidi="ar"/>
              </w:rPr>
              <w:t>答：2026年第一季度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公司实现归属于上市公司股东的净利润3,705.52万元，同比下降61.17%，主要原因在于：2025年第一季度公司被征收的良渚厂区的不动产权证书完成注销，根据政府征收对价扣除不动产价值以及相关搬迁支出或损失后，相应资产处置收益为</w:t>
            </w:r>
            <w:r>
              <w:rPr>
                <w:rFonts w:hint="eastAsia" w:asciiTheme="minorEastAsia" w:hAnsiTheme="minorEastAsia" w:cstheme="minorEastAsia"/>
                <w:bCs/>
                <w:sz w:val="24"/>
                <w:szCs w:val="24"/>
              </w:rPr>
              <w:t>7,551.57万元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（税后）。公司按照《企业会计准则》等相关规定，计入2025年度第一季度归属于上市公司股东的净利润。</w:t>
            </w:r>
          </w:p>
          <w:p w14:paraId="2725D341">
            <w:pPr>
              <w:pStyle w:val="13"/>
              <w:widowControl/>
              <w:spacing w:line="460" w:lineRule="exact"/>
              <w:ind w:firstLine="0" w:firstLineChars="0"/>
              <w:jc w:val="left"/>
              <w:rPr>
                <w:rFonts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bidi="ar"/>
              </w:rPr>
            </w:pPr>
          </w:p>
          <w:p w14:paraId="5302DD91">
            <w:pPr>
              <w:pStyle w:val="13"/>
              <w:widowControl/>
              <w:spacing w:line="460" w:lineRule="exact"/>
              <w:ind w:firstLine="0" w:firstLineChars="0"/>
              <w:rPr>
                <w:rFonts w:asciiTheme="minorEastAsia" w:hAnsiTheme="minorEastAsia" w:eastAsiaTheme="minorEastAsia" w:cstheme="minor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EastAsia" w:hAnsiTheme="minorEastAsia" w:eastAsiaTheme="minorEastAsia" w:cstheme="minorEastAsia"/>
                <w:b/>
                <w:bCs/>
                <w:color w:val="000000"/>
                <w:sz w:val="24"/>
                <w:szCs w:val="24"/>
              </w:rPr>
              <w:t>问题3、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4"/>
                <w:szCs w:val="24"/>
              </w:rPr>
              <w:t>公司</w:t>
            </w:r>
            <w:r>
              <w:rPr>
                <w:rFonts w:ascii="宋体" w:hAnsi="宋体" w:cs="宋体"/>
                <w:b/>
                <w:bCs/>
                <w:sz w:val="24"/>
                <w:szCs w:val="24"/>
              </w:rPr>
              <w:t>出于什么原因在泰国建厂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，</w:t>
            </w:r>
            <w:r>
              <w:rPr>
                <w:rFonts w:ascii="宋体" w:hAnsi="宋体" w:cs="宋体"/>
                <w:b/>
                <w:bCs/>
                <w:sz w:val="24"/>
                <w:szCs w:val="24"/>
              </w:rPr>
              <w:t>产能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规划是怎样的</w:t>
            </w:r>
            <w:r>
              <w:rPr>
                <w:rFonts w:ascii="宋体" w:hAnsi="宋体" w:cs="宋体"/>
                <w:b/>
                <w:bCs/>
                <w:sz w:val="24"/>
                <w:szCs w:val="24"/>
              </w:rPr>
              <w:t>，主要服务于哪些区域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？</w:t>
            </w:r>
          </w:p>
          <w:p w14:paraId="577ACA92">
            <w:pPr>
              <w:pStyle w:val="13"/>
              <w:spacing w:line="460" w:lineRule="exact"/>
              <w:ind w:firstLine="0" w:firstLineChars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  <w:szCs w:val="24"/>
              </w:rPr>
              <w:t>答：</w:t>
            </w:r>
            <w:r>
              <w:rPr>
                <w:rFonts w:hint="eastAsia" w:ascii="Times New Roman" w:hAnsi="Times New Roman"/>
                <w:sz w:val="24"/>
                <w:szCs w:val="24"/>
              </w:rPr>
              <w:t>公司实现可持续高质量发展的战略举措之一是拓展海外市场、完善全球供应链体系，建设泰国生产基地正是这一战略的关键落点。通过“国内+海外”双产能驱动，为全球客户提供更优质产品和更高效服务。</w:t>
            </w:r>
          </w:p>
          <w:p w14:paraId="7BCD94D0">
            <w:pPr>
              <w:pStyle w:val="13"/>
              <w:widowControl/>
              <w:spacing w:line="460" w:lineRule="exact"/>
              <w:ind w:firstLine="480"/>
              <w:jc w:val="left"/>
              <w:rPr>
                <w:rFonts w:asciiTheme="minorEastAsia" w:hAnsiTheme="minorEastAsia" w:cstheme="minorEastAsia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sz w:val="24"/>
                <w:szCs w:val="24"/>
              </w:rPr>
              <w:t>泰国生产基地一期</w:t>
            </w:r>
            <w:r>
              <w:rPr>
                <w:rFonts w:hint="eastAsia" w:ascii="宋体" w:hAnsi="宋体" w:cs="宋体"/>
                <w:sz w:val="24"/>
                <w:szCs w:val="24"/>
              </w:rPr>
              <w:t>规划</w:t>
            </w:r>
            <w:r>
              <w:rPr>
                <w:rFonts w:ascii="宋体" w:hAnsi="宋体" w:cs="宋体"/>
                <w:sz w:val="24"/>
                <w:szCs w:val="24"/>
              </w:rPr>
              <w:t>产能1000吨</w:t>
            </w:r>
            <w:r>
              <w:rPr>
                <w:rFonts w:hint="eastAsia" w:ascii="宋体" w:hAnsi="宋体" w:cs="宋体"/>
                <w:sz w:val="24"/>
                <w:szCs w:val="24"/>
              </w:rPr>
              <w:t>，</w:t>
            </w:r>
            <w:r>
              <w:rPr>
                <w:rFonts w:ascii="宋体" w:hAnsi="宋体" w:cs="宋体"/>
                <w:sz w:val="24"/>
                <w:szCs w:val="24"/>
              </w:rPr>
              <w:t>已于2026年2月投产，生产铜基</w:t>
            </w:r>
            <w:r>
              <w:rPr>
                <w:rFonts w:hint="eastAsia" w:ascii="宋体" w:hAnsi="宋体" w:cs="宋体"/>
                <w:sz w:val="24"/>
                <w:szCs w:val="24"/>
              </w:rPr>
              <w:t>钎料</w:t>
            </w:r>
            <w:r>
              <w:rPr>
                <w:rFonts w:ascii="宋体" w:hAnsi="宋体" w:cs="宋体"/>
                <w:sz w:val="24"/>
                <w:szCs w:val="24"/>
              </w:rPr>
              <w:t>、银</w:t>
            </w:r>
            <w:r>
              <w:rPr>
                <w:rFonts w:hint="eastAsia" w:ascii="宋体" w:hAnsi="宋体" w:cs="宋体"/>
                <w:sz w:val="24"/>
                <w:szCs w:val="24"/>
              </w:rPr>
              <w:t>钎料</w:t>
            </w:r>
            <w:r>
              <w:rPr>
                <w:rFonts w:ascii="宋体" w:hAnsi="宋体" w:cs="宋体"/>
                <w:sz w:val="24"/>
                <w:szCs w:val="24"/>
              </w:rPr>
              <w:t>、锡基</w:t>
            </w:r>
            <w:r>
              <w:rPr>
                <w:rFonts w:hint="eastAsia" w:ascii="宋体" w:hAnsi="宋体" w:cs="宋体"/>
                <w:sz w:val="24"/>
                <w:szCs w:val="24"/>
              </w:rPr>
              <w:t>钎料</w:t>
            </w:r>
            <w:r>
              <w:rPr>
                <w:rFonts w:ascii="宋体" w:hAnsi="宋体" w:cs="宋体"/>
                <w:sz w:val="24"/>
                <w:szCs w:val="24"/>
              </w:rPr>
              <w:t>、铝基</w:t>
            </w:r>
            <w:r>
              <w:rPr>
                <w:rFonts w:hint="eastAsia" w:ascii="宋体" w:hAnsi="宋体" w:cs="宋体"/>
                <w:sz w:val="24"/>
                <w:szCs w:val="24"/>
              </w:rPr>
              <w:t>钎料等多</w:t>
            </w:r>
            <w:r>
              <w:rPr>
                <w:rFonts w:ascii="宋体" w:hAnsi="宋体" w:cs="宋体"/>
                <w:sz w:val="24"/>
                <w:szCs w:val="24"/>
              </w:rPr>
              <w:t>系列</w:t>
            </w:r>
            <w:r>
              <w:rPr>
                <w:rFonts w:hint="eastAsia" w:ascii="宋体" w:hAnsi="宋体" w:cs="宋体"/>
                <w:sz w:val="24"/>
                <w:szCs w:val="24"/>
              </w:rPr>
              <w:t>产品</w:t>
            </w:r>
            <w:r>
              <w:rPr>
                <w:rFonts w:ascii="宋体" w:hAnsi="宋体" w:cs="宋体"/>
                <w:sz w:val="24"/>
                <w:szCs w:val="24"/>
              </w:rPr>
              <w:t>，覆盖</w:t>
            </w:r>
            <w:r>
              <w:rPr>
                <w:rFonts w:hint="eastAsia" w:ascii="宋体" w:hAnsi="宋体" w:cs="宋体"/>
                <w:sz w:val="24"/>
                <w:szCs w:val="24"/>
              </w:rPr>
              <w:t>海外市场制冷暖通、电力电气、电子、新能源汽车等多个应用领域。泰国生产</w:t>
            </w:r>
            <w:r>
              <w:rPr>
                <w:rFonts w:ascii="宋体" w:hAnsi="宋体" w:cs="宋体"/>
                <w:sz w:val="24"/>
                <w:szCs w:val="24"/>
              </w:rPr>
              <w:t>基地二期规划产能3500吨</w:t>
            </w:r>
            <w:r>
              <w:rPr>
                <w:rFonts w:hint="eastAsia" w:ascii="宋体" w:hAnsi="宋体" w:cs="宋体"/>
                <w:sz w:val="24"/>
                <w:szCs w:val="24"/>
              </w:rPr>
              <w:t>，建设周期</w:t>
            </w:r>
            <w:r>
              <w:rPr>
                <w:rFonts w:ascii="宋体" w:hAnsi="宋体" w:cs="宋体"/>
                <w:sz w:val="24"/>
                <w:szCs w:val="24"/>
              </w:rPr>
              <w:t>预计</w:t>
            </w:r>
            <w:r>
              <w:rPr>
                <w:rFonts w:hint="eastAsia" w:ascii="宋体" w:hAnsi="宋体" w:cs="宋体"/>
                <w:sz w:val="24"/>
                <w:szCs w:val="24"/>
              </w:rPr>
              <w:t>2.5年，</w:t>
            </w:r>
            <w:r>
              <w:rPr>
                <w:rFonts w:ascii="宋体" w:hAnsi="宋体" w:cs="宋体"/>
                <w:sz w:val="24"/>
                <w:szCs w:val="24"/>
              </w:rPr>
              <w:t>主要面向</w:t>
            </w:r>
            <w:r>
              <w:rPr>
                <w:rFonts w:hint="eastAsia" w:ascii="宋体" w:hAnsi="宋体" w:cs="宋体"/>
                <w:sz w:val="24"/>
                <w:szCs w:val="24"/>
              </w:rPr>
              <w:t>全球市场供货。泰国生产基地将</w:t>
            </w:r>
            <w:r>
              <w:rPr>
                <w:rFonts w:hint="eastAsia" w:ascii="Times New Roman" w:hAnsi="Times New Roman"/>
                <w:sz w:val="24"/>
                <w:szCs w:val="24"/>
              </w:rPr>
              <w:t>深耕亚太、服务欧洲中东非、辐射北美市场，助力实现公司“华开全球”发展战略</w:t>
            </w:r>
            <w:r>
              <w:rPr>
                <w:rFonts w:ascii="宋体" w:hAnsi="宋体" w:cs="宋体"/>
                <w:sz w:val="24"/>
                <w:szCs w:val="24"/>
              </w:rPr>
              <w:t>。</w:t>
            </w:r>
          </w:p>
          <w:p w14:paraId="5228EFD8">
            <w:pPr>
              <w:pStyle w:val="13"/>
              <w:widowControl/>
              <w:spacing w:line="460" w:lineRule="exact"/>
              <w:ind w:firstLine="480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  <w:p w14:paraId="66AF0161">
            <w:pPr>
              <w:pStyle w:val="13"/>
              <w:widowControl/>
              <w:spacing w:line="460" w:lineRule="exact"/>
              <w:ind w:firstLine="0" w:firstLineChars="0"/>
              <w:rPr>
                <w:rFonts w:asciiTheme="minorEastAsia" w:hAnsiTheme="minorEastAsia" w:eastAsiaTheme="minorEastAsia" w:cstheme="minor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EastAsia" w:hAnsiTheme="minorEastAsia" w:eastAsiaTheme="minorEastAsia" w:cstheme="minorEastAsia"/>
                <w:b/>
                <w:bCs/>
                <w:color w:val="000000"/>
                <w:sz w:val="24"/>
                <w:szCs w:val="24"/>
              </w:rPr>
              <w:t>问题4、</w:t>
            </w:r>
            <w:r>
              <w:rPr>
                <w:rFonts w:ascii="宋体" w:hAnsi="宋体" w:cs="宋体"/>
                <w:b/>
                <w:bCs/>
                <w:sz w:val="24"/>
                <w:szCs w:val="24"/>
              </w:rPr>
              <w:t>公司目前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海外业务营收占比有多少</w:t>
            </w:r>
            <w:r>
              <w:rPr>
                <w:rFonts w:ascii="宋体" w:hAnsi="宋体" w:cs="宋体"/>
                <w:b/>
                <w:bCs/>
                <w:sz w:val="24"/>
                <w:szCs w:val="24"/>
              </w:rPr>
              <w:t>，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未来业务拓展计划是怎样的</w:t>
            </w:r>
            <w:r>
              <w:rPr>
                <w:rFonts w:ascii="宋体" w:hAnsi="宋体" w:cs="宋体"/>
                <w:b/>
                <w:bCs/>
                <w:sz w:val="24"/>
                <w:szCs w:val="24"/>
              </w:rPr>
              <w:t>？</w:t>
            </w:r>
          </w:p>
          <w:p w14:paraId="04E91686">
            <w:pPr>
              <w:pStyle w:val="13"/>
              <w:widowControl/>
              <w:spacing w:line="460" w:lineRule="exact"/>
              <w:ind w:firstLine="0" w:firstLineChars="0"/>
              <w:jc w:val="left"/>
              <w:rPr>
                <w:rFonts w:asciiTheme="minorEastAsia" w:hAnsiTheme="minorEastAsia" w:cstheme="minorEastAsia"/>
                <w:color w:val="000000"/>
                <w:sz w:val="24"/>
                <w:szCs w:val="24"/>
              </w:rPr>
            </w:pPr>
            <w:r>
              <w:rPr>
                <w:rStyle w:val="11"/>
                <w:rFonts w:hint="eastAsia" w:asciiTheme="minorEastAsia" w:hAnsiTheme="minorEastAsia" w:cstheme="minorEastAsia"/>
                <w:b w:val="0"/>
                <w:bCs/>
                <w:color w:val="000000"/>
                <w:sz w:val="24"/>
                <w:szCs w:val="24"/>
              </w:rPr>
              <w:t>答：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2025年度公司海外营业收入占比7.9%。随着泰国生产基地的投产，公司已构建了较为完善的海外生产、仓储与本地化服务体系，更有效地满足全球客户需求。同时，依托泰国生产基地，公司将深度开发海外制冷暖通、电力电气、电子、新能源车等领域客户，致力于扩大海外市场份额、实现营收持续稳健增长，不断提升海外业务在公司整体营收中的占比。</w:t>
            </w:r>
          </w:p>
          <w:p w14:paraId="4933D89F">
            <w:pPr>
              <w:pStyle w:val="13"/>
              <w:widowControl/>
              <w:spacing w:line="460" w:lineRule="exact"/>
              <w:ind w:left="-360" w:firstLine="480"/>
              <w:jc w:val="left"/>
              <w:rPr>
                <w:rFonts w:asciiTheme="minorEastAsia" w:hAnsiTheme="minorEastAsia" w:cstheme="minorEastAsia"/>
                <w:color w:val="000000"/>
                <w:sz w:val="24"/>
                <w:szCs w:val="24"/>
              </w:rPr>
            </w:pPr>
          </w:p>
          <w:p w14:paraId="47D714B5">
            <w:pPr>
              <w:pStyle w:val="13"/>
              <w:widowControl/>
              <w:spacing w:line="460" w:lineRule="exact"/>
              <w:ind w:firstLine="0" w:firstLineChars="0"/>
              <w:rPr>
                <w:rFonts w:asciiTheme="minorEastAsia" w:hAnsiTheme="minorEastAsia" w:eastAsiaTheme="minorEastAsia" w:cstheme="minor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EastAsia" w:hAnsiTheme="minorEastAsia" w:eastAsiaTheme="minorEastAsia" w:cstheme="minorEastAsia"/>
                <w:b/>
                <w:bCs/>
                <w:color w:val="000000"/>
                <w:sz w:val="24"/>
                <w:szCs w:val="24"/>
              </w:rPr>
              <w:t>问题5</w:t>
            </w:r>
            <w:r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  <w:t>、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海外竞争对手</w:t>
            </w:r>
            <w:r>
              <w:rPr>
                <w:rFonts w:ascii="宋体" w:hAnsi="宋体" w:cs="宋体"/>
                <w:b/>
                <w:bCs/>
                <w:sz w:val="24"/>
                <w:szCs w:val="24"/>
              </w:rPr>
              <w:t>会配套销售焊枪、气体仪表等辅助设备，华光是否有相关业务规划？</w:t>
            </w:r>
          </w:p>
          <w:p w14:paraId="1ED257D2">
            <w:pPr>
              <w:widowControl/>
              <w:spacing w:line="360" w:lineRule="auto"/>
              <w:jc w:val="left"/>
              <w:rPr>
                <w:rFonts w:asciiTheme="minorEastAsia" w:hAnsi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4"/>
                <w:szCs w:val="24"/>
                <w:lang w:bidi="ar"/>
              </w:rPr>
              <w:t>答：公司的发展战略是成为国际领先的钎焊材料及其解决方案的提供商，</w:t>
            </w:r>
            <w:r>
              <w:rPr>
                <w:rFonts w:hint="eastAsia" w:ascii="宋体" w:hAnsi="宋体"/>
                <w:sz w:val="24"/>
                <w:szCs w:val="24"/>
              </w:rPr>
              <w:t>公司基于在有色金属钎焊材料领域的多年技术积累，近几年不断深化钎焊工艺及装备的研究，综合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运用高品质钎焊材料、先进焊接技术并配套自动化焊接设备，</w:t>
            </w:r>
            <w:r>
              <w:rPr>
                <w:rFonts w:hint="eastAsia" w:ascii="宋体" w:hAnsi="宋体"/>
                <w:sz w:val="24"/>
                <w:szCs w:val="24"/>
              </w:rPr>
              <w:t>为客户提供材料、工艺、装备的整体解决方案。</w:t>
            </w:r>
          </w:p>
          <w:p w14:paraId="48B83274">
            <w:pPr>
              <w:pStyle w:val="13"/>
              <w:widowControl/>
              <w:spacing w:line="460" w:lineRule="exact"/>
              <w:ind w:firstLine="0" w:firstLineChars="0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  <w:p w14:paraId="788C2E21">
            <w:pPr>
              <w:pStyle w:val="13"/>
              <w:widowControl/>
              <w:spacing w:line="460" w:lineRule="exact"/>
              <w:ind w:firstLine="0" w:firstLineChars="0"/>
              <w:rPr>
                <w:rFonts w:asciiTheme="minorEastAsia" w:hAnsiTheme="minorEastAsia" w:eastAsiaTheme="minorEastAsia" w:cstheme="minor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EastAsia" w:hAnsiTheme="minorEastAsia" w:eastAsiaTheme="minorEastAsia" w:cstheme="minorEastAsia"/>
                <w:b/>
                <w:bCs/>
                <w:color w:val="000000"/>
                <w:sz w:val="24"/>
                <w:szCs w:val="24"/>
              </w:rPr>
              <w:t>问题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6</w:t>
            </w:r>
            <w:r>
              <w:rPr>
                <w:rFonts w:asciiTheme="minorEastAsia" w:hAnsiTheme="minorEastAsia" w:eastAsiaTheme="minorEastAsia" w:cstheme="minorEastAsia"/>
                <w:b/>
                <w:bCs/>
                <w:color w:val="000000"/>
                <w:sz w:val="24"/>
                <w:szCs w:val="24"/>
              </w:rPr>
              <w:t>、公司锡膏业务是否有新的突破，未来增长规划？</w:t>
            </w:r>
          </w:p>
          <w:p w14:paraId="0C7C8A2F">
            <w:pPr>
              <w:pStyle w:val="13"/>
              <w:widowControl/>
              <w:spacing w:line="460" w:lineRule="exact"/>
              <w:ind w:firstLine="0" w:firstLineChars="0"/>
              <w:jc w:val="left"/>
              <w:rPr>
                <w:rFonts w:asciiTheme="minorEastAsia" w:hAnsi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bidi="ar"/>
              </w:rPr>
              <w:t>答：锡膏为公司电子领域核心产品，目前覆盖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智能家居、安防、通信、电源、汽车电子、PCBA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bidi="ar"/>
              </w:rPr>
              <w:t>等领域。今年上半年锡膏业务收入同比实现较高增长，但</w:t>
            </w:r>
            <w:r>
              <w:rPr>
                <w:rFonts w:hint="eastAsia" w:asciiTheme="minorEastAsia" w:hAnsiTheme="minorEastAsia" w:cstheme="minorEastAsia"/>
                <w:color w:val="000000"/>
                <w:sz w:val="24"/>
                <w:szCs w:val="24"/>
              </w:rPr>
              <w:t>受行业验证周期较长等因素影响，在整体营收中占比不高。后续公司将进一步加大锡膏产品研发，加快国内外新客户验证导入，持续提升锡膏业务营收规模。</w:t>
            </w:r>
          </w:p>
          <w:p w14:paraId="27303F70">
            <w:pPr>
              <w:pStyle w:val="13"/>
              <w:widowControl/>
              <w:spacing w:line="460" w:lineRule="exact"/>
              <w:ind w:firstLine="0" w:firstLineChars="0"/>
              <w:jc w:val="left"/>
              <w:rPr>
                <w:rFonts w:asciiTheme="minorEastAsia" w:hAnsiTheme="minorEastAsia" w:cstheme="minorEastAsia"/>
                <w:color w:val="000000"/>
                <w:sz w:val="24"/>
                <w:szCs w:val="24"/>
              </w:rPr>
            </w:pPr>
          </w:p>
          <w:p w14:paraId="538FC214">
            <w:pPr>
              <w:pStyle w:val="13"/>
              <w:widowControl/>
              <w:spacing w:line="460" w:lineRule="exact"/>
              <w:ind w:firstLine="0" w:firstLineChars="0"/>
              <w:rPr>
                <w:rFonts w:asciiTheme="minorEastAsia" w:hAnsiTheme="minorEastAsia" w:eastAsiaTheme="minorEastAsia" w:cstheme="minor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EastAsia" w:hAnsiTheme="minorEastAsia" w:eastAsiaTheme="minorEastAsia" w:cstheme="minorEastAsia"/>
                <w:b/>
                <w:bCs/>
                <w:color w:val="000000"/>
                <w:sz w:val="24"/>
                <w:szCs w:val="24"/>
              </w:rPr>
              <w:t>问题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7</w:t>
            </w:r>
            <w:r>
              <w:rPr>
                <w:rFonts w:asciiTheme="minorEastAsia" w:hAnsiTheme="minorEastAsia" w:eastAsiaTheme="minorEastAsia" w:cstheme="minorEastAsia"/>
                <w:b/>
                <w:bCs/>
                <w:color w:val="000000"/>
                <w:sz w:val="24"/>
                <w:szCs w:val="24"/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4"/>
                <w:szCs w:val="24"/>
              </w:rPr>
              <w:t>公司如何应对原材料价格波动带来的经营风险？</w:t>
            </w:r>
          </w:p>
          <w:p w14:paraId="66927F96">
            <w:pPr>
              <w:widowControl/>
              <w:spacing w:line="360" w:lineRule="auto"/>
              <w:rPr>
                <w:rFonts w:asciiTheme="minorEastAsia" w:hAnsi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  <w:szCs w:val="24"/>
              </w:rPr>
              <w:t>答：</w:t>
            </w:r>
            <w:r>
              <w:rPr>
                <w:rFonts w:hint="eastAsia" w:ascii="宋体" w:hAnsi="宋体"/>
                <w:sz w:val="24"/>
                <w:szCs w:val="24"/>
              </w:rPr>
              <w:t>公司与下游客户</w:t>
            </w:r>
            <w:r>
              <w:rPr>
                <w:rFonts w:ascii="宋体" w:hAnsi="宋体"/>
                <w:sz w:val="24"/>
                <w:szCs w:val="24"/>
              </w:rPr>
              <w:t>主要以“原材料+加工费”形式</w:t>
            </w:r>
            <w:r>
              <w:rPr>
                <w:rFonts w:hint="eastAsia" w:ascii="宋体" w:hAnsi="宋体"/>
                <w:sz w:val="24"/>
                <w:szCs w:val="24"/>
              </w:rPr>
              <w:t>进行结算</w:t>
            </w:r>
            <w:r>
              <w:rPr>
                <w:rFonts w:ascii="宋体" w:hAnsi="宋体"/>
                <w:sz w:val="24"/>
                <w:szCs w:val="24"/>
              </w:rPr>
              <w:t>，具有一定联动传导作用。目前公司</w:t>
            </w:r>
            <w:r>
              <w:rPr>
                <w:rFonts w:hint="eastAsia" w:ascii="宋体" w:hAnsi="宋体"/>
                <w:sz w:val="24"/>
                <w:szCs w:val="24"/>
              </w:rPr>
              <w:t>深入</w:t>
            </w:r>
            <w:r>
              <w:rPr>
                <w:rFonts w:ascii="宋体" w:hAnsi="宋体"/>
                <w:sz w:val="24"/>
                <w:szCs w:val="24"/>
              </w:rPr>
              <w:t>推进供、产、销、财联动机制，并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采取套期保值、精益降本、优化产品结构、实现技术创新等多种措施，</w:t>
            </w:r>
            <w:r>
              <w:rPr>
                <w:rFonts w:ascii="宋体" w:hAnsi="宋体"/>
                <w:sz w:val="24"/>
                <w:szCs w:val="24"/>
              </w:rPr>
              <w:t>逐步降低原材料价格</w:t>
            </w:r>
            <w:r>
              <w:rPr>
                <w:rFonts w:hint="eastAsia" w:ascii="宋体" w:hAnsi="宋体"/>
                <w:sz w:val="24"/>
                <w:szCs w:val="24"/>
              </w:rPr>
              <w:t>剧烈</w:t>
            </w:r>
            <w:r>
              <w:rPr>
                <w:rFonts w:ascii="宋体" w:hAnsi="宋体"/>
                <w:sz w:val="24"/>
                <w:szCs w:val="24"/>
              </w:rPr>
              <w:t>波动</w:t>
            </w:r>
            <w:r>
              <w:rPr>
                <w:rFonts w:hint="eastAsia" w:ascii="宋体" w:hAnsi="宋体"/>
                <w:sz w:val="24"/>
                <w:szCs w:val="24"/>
              </w:rPr>
              <w:t>带来的不利影响。</w:t>
            </w:r>
          </w:p>
          <w:p w14:paraId="3BF2B63F">
            <w:pPr>
              <w:pStyle w:val="13"/>
              <w:spacing w:line="460" w:lineRule="exact"/>
              <w:ind w:firstLine="0" w:firstLineChars="0"/>
              <w:rPr>
                <w:rFonts w:ascii="宋体" w:hAnsi="宋体"/>
                <w:sz w:val="24"/>
                <w:szCs w:val="24"/>
              </w:rPr>
            </w:pPr>
          </w:p>
          <w:p w14:paraId="493ABB15">
            <w:pPr>
              <w:pStyle w:val="13"/>
              <w:spacing w:line="460" w:lineRule="exact"/>
              <w:ind w:firstLine="0" w:firstLineChars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  <w:szCs w:val="24"/>
              </w:rPr>
              <w:t>问题</w:t>
            </w:r>
            <w:r>
              <w:rPr>
                <w:rFonts w:hint="eastAsia" w:ascii="Times New Roman" w:hAnsi="Times New Roman"/>
                <w:b/>
                <w:bCs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Times New Roman" w:hAnsi="Times New Roman"/>
                <w:b/>
                <w:bCs/>
                <w:sz w:val="24"/>
                <w:szCs w:val="24"/>
              </w:rPr>
              <w:t>、请问公司的经营活动产生现金流为何为负，且今年一季度较上年同期进一步减少，有何改善举措？</w:t>
            </w:r>
          </w:p>
          <w:p w14:paraId="7ACBB7AC">
            <w:pPr>
              <w:spacing w:line="360" w:lineRule="auto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答：公司经营活动产生的现金流量净额为负数，主要因公司与供应商主要以现款结算且无账期或账期较短，而与客户以票据结算的比例较高且存在一定账期，公司需贴现部分应收票据以满足资金需求。依据相关企业会计准则规定，公司将不符合终止确认条件的票据进行贴现，所形成的现金流列报为筹资活动现金流。</w:t>
            </w:r>
          </w:p>
          <w:p w14:paraId="6D27EACB">
            <w:pPr>
              <w:spacing w:line="360" w:lineRule="auto"/>
              <w:ind w:firstLine="480" w:firstLineChars="2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2026年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一季度经营活动产生的现金流量净额较上年同期减少，主要原因是：原材料价格大幅上涨，原材料采购支出相应增加，同时季度末确认的销售收入占本季度的47.07%，因客户款项存在账期，导致应收款较2025年末增加3.25亿元。另一方面，为持续优化经营性现金流，</w:t>
            </w:r>
            <w:r>
              <w:rPr>
                <w:rFonts w:hint="eastAsia"/>
                <w:sz w:val="24"/>
                <w:szCs w:val="24"/>
              </w:rPr>
              <w:t>公司通过不断协商优化商务条件、改善货款结算方式等措施，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主动调整收款结构、提升票据质量，并严控低质量票据回款，努力</w:t>
            </w:r>
            <w:r>
              <w:rPr>
                <w:rFonts w:hint="eastAsia"/>
                <w:sz w:val="24"/>
                <w:szCs w:val="24"/>
              </w:rPr>
              <w:t>持续改善经营性现金流。</w:t>
            </w:r>
          </w:p>
          <w:p w14:paraId="0E26EC36">
            <w:pPr>
              <w:pStyle w:val="13"/>
              <w:spacing w:line="460" w:lineRule="exact"/>
              <w:ind w:firstLine="0" w:firstLineChars="0"/>
              <w:rPr>
                <w:rFonts w:ascii="宋体" w:hAnsi="宋体"/>
                <w:sz w:val="24"/>
                <w:szCs w:val="24"/>
              </w:rPr>
            </w:pPr>
          </w:p>
          <w:p w14:paraId="213DF73A">
            <w:pPr>
              <w:pStyle w:val="13"/>
              <w:spacing w:line="460" w:lineRule="exact"/>
              <w:ind w:firstLine="0" w:firstLineChars="0"/>
              <w:rPr>
                <w:rFonts w:ascii="宋体" w:hAnsi="宋体" w:cs="宋体"/>
                <w:sz w:val="24"/>
                <w:szCs w:val="24"/>
              </w:rPr>
            </w:pPr>
          </w:p>
          <w:p w14:paraId="651DCF9F">
            <w:pPr>
              <w:pStyle w:val="13"/>
              <w:spacing w:line="460" w:lineRule="exact"/>
              <w:ind w:firstLine="480"/>
              <w:rPr>
                <w:rFonts w:ascii="Times New Roman" w:hAnsi="Times New Roman"/>
                <w:sz w:val="24"/>
              </w:rPr>
            </w:pPr>
            <w:r>
              <w:rPr>
                <w:rFonts w:ascii="宋体" w:hAnsi="宋体"/>
                <w:sz w:val="24"/>
                <w:szCs w:val="24"/>
              </w:rPr>
              <w:t>接待过程中，公司与投资者进行了充分的交流与沟通，并严格遵守有关法律法规及公司《信息披露管理制度》等要求，</w:t>
            </w:r>
            <w:r>
              <w:rPr>
                <w:rFonts w:hint="eastAsia" w:ascii="宋体" w:hAnsi="宋体"/>
                <w:sz w:val="24"/>
                <w:szCs w:val="24"/>
              </w:rPr>
              <w:t>确保</w:t>
            </w:r>
            <w:r>
              <w:rPr>
                <w:rFonts w:ascii="宋体" w:hAnsi="宋体"/>
                <w:sz w:val="24"/>
                <w:szCs w:val="24"/>
              </w:rPr>
              <w:t>信息披露的真实、准确、完整、及时、公平。</w:t>
            </w:r>
          </w:p>
        </w:tc>
      </w:tr>
    </w:tbl>
    <w:p w14:paraId="00924CE7"/>
    <w:p w14:paraId="66DE16F7"/>
    <w:sectPr>
      <w:pgSz w:w="11906" w:h="16838"/>
      <w:pgMar w:top="1134" w:right="1418" w:bottom="113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019"/>
    <w:rsid w:val="000C024B"/>
    <w:rsid w:val="00135019"/>
    <w:rsid w:val="00186E5D"/>
    <w:rsid w:val="00240707"/>
    <w:rsid w:val="004A0CFC"/>
    <w:rsid w:val="00587FE9"/>
    <w:rsid w:val="005F3E69"/>
    <w:rsid w:val="00616EBB"/>
    <w:rsid w:val="0081745A"/>
    <w:rsid w:val="00AD3DCD"/>
    <w:rsid w:val="00C07970"/>
    <w:rsid w:val="00C56F41"/>
    <w:rsid w:val="00D043BB"/>
    <w:rsid w:val="00D715FA"/>
    <w:rsid w:val="00EA4335"/>
    <w:rsid w:val="00FA4AF8"/>
    <w:rsid w:val="01531AA2"/>
    <w:rsid w:val="0232079E"/>
    <w:rsid w:val="0410030A"/>
    <w:rsid w:val="049067AC"/>
    <w:rsid w:val="07635FE9"/>
    <w:rsid w:val="08031F33"/>
    <w:rsid w:val="083E495B"/>
    <w:rsid w:val="0AA11E30"/>
    <w:rsid w:val="0C663271"/>
    <w:rsid w:val="0FF9556D"/>
    <w:rsid w:val="1682314E"/>
    <w:rsid w:val="16AF5D04"/>
    <w:rsid w:val="192045E2"/>
    <w:rsid w:val="19B96A31"/>
    <w:rsid w:val="19EB5EAF"/>
    <w:rsid w:val="1B3837CC"/>
    <w:rsid w:val="1F3C4541"/>
    <w:rsid w:val="1F8660A0"/>
    <w:rsid w:val="25667D35"/>
    <w:rsid w:val="26B57D5D"/>
    <w:rsid w:val="2B8B5E68"/>
    <w:rsid w:val="2E9640D5"/>
    <w:rsid w:val="2FB63E2D"/>
    <w:rsid w:val="2FCF2953"/>
    <w:rsid w:val="308D5437"/>
    <w:rsid w:val="309175CE"/>
    <w:rsid w:val="32543208"/>
    <w:rsid w:val="328B38AD"/>
    <w:rsid w:val="34183724"/>
    <w:rsid w:val="34982C18"/>
    <w:rsid w:val="382872B8"/>
    <w:rsid w:val="3849593E"/>
    <w:rsid w:val="3C94676F"/>
    <w:rsid w:val="3CA16CEE"/>
    <w:rsid w:val="3CD427B4"/>
    <w:rsid w:val="417A6FCF"/>
    <w:rsid w:val="41F53A9C"/>
    <w:rsid w:val="42EA2285"/>
    <w:rsid w:val="43DA4301"/>
    <w:rsid w:val="4AD62257"/>
    <w:rsid w:val="4B07690F"/>
    <w:rsid w:val="4BF81337"/>
    <w:rsid w:val="4CE90385"/>
    <w:rsid w:val="4FB5139E"/>
    <w:rsid w:val="50824463"/>
    <w:rsid w:val="50EF4EA5"/>
    <w:rsid w:val="50FC43CE"/>
    <w:rsid w:val="549F3B48"/>
    <w:rsid w:val="56A142C6"/>
    <w:rsid w:val="59B42321"/>
    <w:rsid w:val="5B573045"/>
    <w:rsid w:val="5EF83509"/>
    <w:rsid w:val="5F881BCB"/>
    <w:rsid w:val="6014041E"/>
    <w:rsid w:val="615117B2"/>
    <w:rsid w:val="61FA48E2"/>
    <w:rsid w:val="64375FEA"/>
    <w:rsid w:val="64580CB0"/>
    <w:rsid w:val="65FA0F8A"/>
    <w:rsid w:val="660E63DF"/>
    <w:rsid w:val="6B3B4F08"/>
    <w:rsid w:val="6C1B38EF"/>
    <w:rsid w:val="6FB8233D"/>
    <w:rsid w:val="787550FD"/>
    <w:rsid w:val="79A05AEA"/>
    <w:rsid w:val="7F1B5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6"/>
    <w:qFormat/>
    <w:uiPriority w:val="0"/>
    <w:pPr>
      <w:jc w:val="left"/>
    </w:pPr>
  </w:style>
  <w:style w:type="paragraph" w:styleId="4">
    <w:name w:val="Balloon Text"/>
    <w:basedOn w:val="1"/>
    <w:link w:val="18"/>
    <w:qFormat/>
    <w:uiPriority w:val="0"/>
    <w:rPr>
      <w:sz w:val="18"/>
      <w:szCs w:val="18"/>
    </w:rPr>
  </w:style>
  <w:style w:type="paragraph" w:styleId="5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3"/>
    <w:next w:val="3"/>
    <w:link w:val="17"/>
    <w:qFormat/>
    <w:uiPriority w:val="0"/>
    <w:rPr>
      <w:b/>
      <w:bCs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annotation reference"/>
    <w:basedOn w:val="10"/>
    <w:qFormat/>
    <w:uiPriority w:val="0"/>
    <w:rPr>
      <w:sz w:val="21"/>
      <w:szCs w:val="21"/>
    </w:rPr>
  </w:style>
  <w:style w:type="paragraph" w:customStyle="1" w:styleId="13">
    <w:name w:val="_Style 6"/>
    <w:basedOn w:val="1"/>
    <w:autoRedefine/>
    <w:qFormat/>
    <w:uiPriority w:val="34"/>
    <w:pPr>
      <w:ind w:firstLine="420" w:firstLineChars="200"/>
    </w:pPr>
    <w:rPr>
      <w:rFonts w:ascii="Calibri" w:hAnsi="Calibri" w:eastAsia="宋体" w:cs="Times New Roman"/>
    </w:rPr>
  </w:style>
  <w:style w:type="character" w:customStyle="1" w:styleId="14">
    <w:name w:val="页眉 字符"/>
    <w:basedOn w:val="10"/>
    <w:link w:val="6"/>
    <w:qFormat/>
    <w:uiPriority w:val="0"/>
    <w:rPr>
      <w:kern w:val="2"/>
      <w:sz w:val="18"/>
      <w:szCs w:val="18"/>
    </w:rPr>
  </w:style>
  <w:style w:type="character" w:customStyle="1" w:styleId="15">
    <w:name w:val="页脚 字符"/>
    <w:basedOn w:val="10"/>
    <w:link w:val="5"/>
    <w:qFormat/>
    <w:uiPriority w:val="0"/>
    <w:rPr>
      <w:kern w:val="2"/>
      <w:sz w:val="18"/>
      <w:szCs w:val="18"/>
    </w:rPr>
  </w:style>
  <w:style w:type="character" w:customStyle="1" w:styleId="16">
    <w:name w:val="批注文字 字符"/>
    <w:basedOn w:val="10"/>
    <w:link w:val="3"/>
    <w:qFormat/>
    <w:uiPriority w:val="0"/>
    <w:rPr>
      <w:kern w:val="2"/>
      <w:sz w:val="21"/>
      <w:szCs w:val="22"/>
    </w:rPr>
  </w:style>
  <w:style w:type="character" w:customStyle="1" w:styleId="17">
    <w:name w:val="批注主题 字符"/>
    <w:basedOn w:val="16"/>
    <w:link w:val="7"/>
    <w:qFormat/>
    <w:uiPriority w:val="0"/>
    <w:rPr>
      <w:b/>
      <w:bCs/>
      <w:kern w:val="2"/>
      <w:sz w:val="21"/>
      <w:szCs w:val="22"/>
    </w:rPr>
  </w:style>
  <w:style w:type="character" w:customStyle="1" w:styleId="18">
    <w:name w:val="批注框文本 字符"/>
    <w:basedOn w:val="10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2055</Words>
  <Characters>2171</Characters>
  <Lines>20</Lines>
  <Paragraphs>5</Paragraphs>
  <TotalTime>42</TotalTime>
  <ScaleCrop>false</ScaleCrop>
  <LinksUpToDate>false</LinksUpToDate>
  <CharactersWithSpaces>2215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2026-08-19T12:13:00Z</dcterms:created>
  <dc:creator>limeijuan</dc:creator>
  <cp:lastModifiedBy>柳柳</cp:lastModifiedBy>
  <dcterms:modified xsi:type="dcterms:W3CDTF">2026-08-21T08:25:56Z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6F0CF00C89744B2FB4C6E1736115B398_13</vt:lpwstr>
  </property>
  <property fmtid="{D5CDD505-2E9C-101B-9397-08002B2CF9AE}" pid="4" name="KSOTemplateDocerSaveRecord">
    <vt:lpwstr>eyJoZGlkIjoiNmE4YTA4NWRhYjkxMGVkNDQzMzc1ZTUxMjRkNGM4NWUiLCJ1c2VySWQiOiI3MTg2NDM3MzIifQ==</vt:lpwstr>
  </property>
</Properties>
</file>