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A45B7">
      <w:pPr>
        <w:spacing w:line="43" w:lineRule="exact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h</w:t>
      </w:r>
    </w:p>
    <w:tbl>
      <w:tblPr>
        <w:tblStyle w:val="8"/>
        <w:tblW w:w="7897" w:type="dxa"/>
        <w:tblInd w:w="44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98"/>
        <w:gridCol w:w="3999"/>
      </w:tblGrid>
      <w:tr w14:paraId="0B443E8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3898" w:type="dxa"/>
          </w:tcPr>
          <w:p w14:paraId="2279A329">
            <w:pPr>
              <w:pStyle w:val="9"/>
              <w:spacing w:line="219" w:lineRule="auto"/>
              <w:outlineLvl w:val="0"/>
              <w:rPr>
                <w:rFonts w:ascii="Times New Roman" w:hAnsi="Times New Roman" w:eastAsia="Times New Roman" w:cs="Times New Roman"/>
              </w:rPr>
            </w:pPr>
            <w:r>
              <w:rPr>
                <w:b/>
                <w:bCs/>
                <w:spacing w:val="-2"/>
              </w:rPr>
              <w:t>证券代码：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</w:rPr>
              <w:t>688779</w:t>
            </w:r>
          </w:p>
        </w:tc>
        <w:tc>
          <w:tcPr>
            <w:tcW w:w="3999" w:type="dxa"/>
          </w:tcPr>
          <w:p w14:paraId="43FC2E23">
            <w:pPr>
              <w:pStyle w:val="9"/>
              <w:spacing w:line="218" w:lineRule="auto"/>
              <w:jc w:val="right"/>
            </w:pPr>
            <w:r>
              <w:rPr>
                <w:b/>
                <w:bCs/>
                <w:spacing w:val="-3"/>
              </w:rPr>
              <w:t>证券简称：五矿新能</w:t>
            </w:r>
          </w:p>
        </w:tc>
      </w:tr>
      <w:tr w14:paraId="5921DB4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3898" w:type="dxa"/>
          </w:tcPr>
          <w:p w14:paraId="66293AA9">
            <w:pPr>
              <w:pStyle w:val="9"/>
              <w:spacing w:before="114" w:line="176" w:lineRule="auto"/>
              <w:outlineLvl w:val="0"/>
              <w:rPr>
                <w:rFonts w:ascii="Times New Roman" w:hAnsi="Times New Roman" w:eastAsia="Times New Roman" w:cs="Times New Roman"/>
              </w:rPr>
            </w:pPr>
            <w:r>
              <w:rPr>
                <w:b/>
                <w:bCs/>
                <w:spacing w:val="-3"/>
              </w:rPr>
              <w:t>转债代码：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</w:rPr>
              <w:t>118022</w:t>
            </w:r>
          </w:p>
        </w:tc>
        <w:tc>
          <w:tcPr>
            <w:tcW w:w="3999" w:type="dxa"/>
          </w:tcPr>
          <w:p w14:paraId="0E701318">
            <w:pPr>
              <w:pStyle w:val="9"/>
              <w:spacing w:before="114" w:line="176" w:lineRule="auto"/>
              <w:ind w:right="4"/>
              <w:jc w:val="right"/>
            </w:pPr>
            <w:r>
              <w:rPr>
                <w:b/>
                <w:bCs/>
                <w:spacing w:val="-3"/>
              </w:rPr>
              <w:t>转债简称：锂科转债</w:t>
            </w:r>
          </w:p>
        </w:tc>
      </w:tr>
    </w:tbl>
    <w:p w14:paraId="1D005166">
      <w:pPr>
        <w:spacing w:line="447" w:lineRule="auto"/>
      </w:pPr>
    </w:p>
    <w:p w14:paraId="2561889E">
      <w:pPr>
        <w:spacing w:before="101" w:line="224" w:lineRule="auto"/>
        <w:ind w:left="1869"/>
        <w:outlineLvl w:val="0"/>
        <w:rPr>
          <w:rFonts w:ascii="宋体" w:hAnsi="宋体" w:eastAsia="宋体" w:cs="宋体"/>
          <w:sz w:val="31"/>
          <w:szCs w:val="31"/>
          <w:lang w:eastAsia="zh-CN"/>
        </w:rPr>
      </w:pPr>
      <w:r>
        <w:rPr>
          <w:rFonts w:ascii="宋体" w:hAnsi="宋体" w:eastAsia="宋体" w:cs="宋体"/>
          <w:b/>
          <w:bCs/>
          <w:spacing w:val="6"/>
          <w:sz w:val="31"/>
          <w:szCs w:val="31"/>
          <w:lang w:eastAsia="zh-CN"/>
        </w:rPr>
        <w:t>五矿新能源材料（湖南）股份有限公司</w:t>
      </w:r>
    </w:p>
    <w:p w14:paraId="671038EE">
      <w:pPr>
        <w:spacing w:before="246" w:line="225" w:lineRule="auto"/>
        <w:ind w:left="2993"/>
        <w:outlineLvl w:val="0"/>
        <w:rPr>
          <w:rFonts w:ascii="宋体" w:hAnsi="宋体" w:eastAsia="宋体" w:cs="宋体"/>
          <w:sz w:val="31"/>
          <w:szCs w:val="31"/>
          <w:lang w:eastAsia="zh-CN"/>
        </w:rPr>
      </w:pPr>
      <w:r>
        <w:rPr>
          <w:rFonts w:ascii="宋体" w:hAnsi="宋体" w:eastAsia="宋体" w:cs="宋体"/>
          <w:b/>
          <w:bCs/>
          <w:spacing w:val="6"/>
          <w:sz w:val="31"/>
          <w:szCs w:val="31"/>
          <w:lang w:eastAsia="zh-CN"/>
        </w:rPr>
        <w:t>投资者关系活动记录表</w:t>
      </w:r>
    </w:p>
    <w:p w14:paraId="4E079756">
      <w:pPr>
        <w:spacing w:before="232" w:line="219" w:lineRule="auto"/>
        <w:ind w:right="254"/>
        <w:jc w:val="right"/>
        <w:outlineLvl w:val="0"/>
        <w:rPr>
          <w:rFonts w:ascii="Times New Roman" w:hAnsi="Times New Roman" w:eastAsia="宋体" w:cs="Times New Roman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-2"/>
          <w:sz w:val="24"/>
          <w:szCs w:val="24"/>
          <w:lang w:eastAsia="zh-CN"/>
        </w:rPr>
        <w:t>编号：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eastAsia="zh-CN"/>
        </w:rPr>
        <w:t>2026-00</w:t>
      </w:r>
      <w:r>
        <w:rPr>
          <w:rFonts w:ascii="Times New Roman" w:hAnsi="Times New Roman" w:eastAsia="宋体" w:cs="Times New Roman"/>
          <w:spacing w:val="-2"/>
          <w:sz w:val="24"/>
          <w:szCs w:val="24"/>
          <w:lang w:eastAsia="zh-CN"/>
        </w:rPr>
        <w:t>2</w:t>
      </w:r>
    </w:p>
    <w:p w14:paraId="57DFB095">
      <w:pPr>
        <w:spacing w:line="146" w:lineRule="exact"/>
        <w:rPr>
          <w:lang w:eastAsia="zh-CN"/>
        </w:rPr>
      </w:pPr>
    </w:p>
    <w:tbl>
      <w:tblPr>
        <w:tblStyle w:val="8"/>
        <w:tblW w:w="86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7"/>
        <w:gridCol w:w="6661"/>
      </w:tblGrid>
      <w:tr w14:paraId="12E912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3" w:hRule="atLeast"/>
        </w:trPr>
        <w:tc>
          <w:tcPr>
            <w:tcW w:w="1957" w:type="dxa"/>
          </w:tcPr>
          <w:p w14:paraId="45D9F0F9">
            <w:pPr>
              <w:keepLines/>
              <w:widowControl w:val="0"/>
              <w:spacing w:line="246" w:lineRule="auto"/>
              <w:rPr>
                <w:lang w:eastAsia="zh-CN"/>
              </w:rPr>
            </w:pPr>
          </w:p>
          <w:p w14:paraId="543C5276">
            <w:pPr>
              <w:keepLines/>
              <w:widowControl w:val="0"/>
              <w:spacing w:line="246" w:lineRule="auto"/>
              <w:rPr>
                <w:lang w:eastAsia="zh-CN"/>
              </w:rPr>
            </w:pPr>
          </w:p>
          <w:p w14:paraId="202B50E1">
            <w:pPr>
              <w:keepLines/>
              <w:widowControl w:val="0"/>
              <w:spacing w:line="246" w:lineRule="auto"/>
              <w:rPr>
                <w:lang w:eastAsia="zh-CN"/>
              </w:rPr>
            </w:pPr>
          </w:p>
          <w:p w14:paraId="5681CB24">
            <w:pPr>
              <w:pStyle w:val="9"/>
              <w:keepLines/>
              <w:widowControl w:val="0"/>
              <w:spacing w:before="78" w:line="362" w:lineRule="auto"/>
              <w:ind w:left="744" w:right="134" w:hanging="599"/>
            </w:pPr>
            <w:r>
              <w:rPr>
                <w:b/>
                <w:bCs/>
                <w:spacing w:val="-4"/>
              </w:rPr>
              <w:t>投资者关系活动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8"/>
              </w:rPr>
              <w:t>类别</w:t>
            </w:r>
          </w:p>
        </w:tc>
        <w:tc>
          <w:tcPr>
            <w:tcW w:w="6661" w:type="dxa"/>
          </w:tcPr>
          <w:p w14:paraId="4F94C99D">
            <w:pPr>
              <w:pStyle w:val="9"/>
              <w:keepLines/>
              <w:widowControl w:val="0"/>
              <w:ind w:left="232"/>
              <w:jc w:val="both"/>
              <w:rPr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5"/>
                <w:lang w:eastAsia="zh-CN"/>
              </w:rPr>
              <w:t>□</w:t>
            </w:r>
            <w:r>
              <w:rPr>
                <w:spacing w:val="5"/>
                <w:lang w:eastAsia="zh-CN"/>
              </w:rPr>
              <w:t>特定对象调研</w:t>
            </w:r>
            <w:r>
              <w:rPr>
                <w:spacing w:val="9"/>
                <w:lang w:eastAsia="zh-CN"/>
              </w:rPr>
              <w:t xml:space="preserve">           </w:t>
            </w:r>
            <w:r>
              <w:rPr>
                <w:rFonts w:hint="eastAsia" w:ascii="微软雅黑" w:hAnsi="微软雅黑" w:eastAsia="微软雅黑" w:cs="微软雅黑"/>
                <w:spacing w:val="5"/>
                <w:lang w:eastAsia="zh-CN"/>
              </w:rPr>
              <w:t>□</w:t>
            </w:r>
            <w:r>
              <w:rPr>
                <w:spacing w:val="5"/>
                <w:lang w:eastAsia="zh-CN"/>
              </w:rPr>
              <w:t>分析师会议</w:t>
            </w:r>
          </w:p>
          <w:p w14:paraId="4DA0B86D">
            <w:pPr>
              <w:pStyle w:val="9"/>
              <w:keepLines/>
              <w:widowControl w:val="0"/>
              <w:ind w:left="232"/>
              <w:jc w:val="both"/>
              <w:rPr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-2"/>
                <w:lang w:eastAsia="zh-CN"/>
              </w:rPr>
              <w:t>□</w:t>
            </w:r>
            <w:r>
              <w:rPr>
                <w:spacing w:val="-2"/>
                <w:lang w:eastAsia="zh-CN"/>
              </w:rPr>
              <w:t>媒体采访</w:t>
            </w:r>
            <w:r>
              <w:rPr>
                <w:spacing w:val="7"/>
                <w:lang w:eastAsia="zh-CN"/>
              </w:rPr>
              <w:t xml:space="preserve">               </w:t>
            </w:r>
            <w:r>
              <w:rPr>
                <w:rFonts w:ascii="微软雅黑" w:hAnsi="微软雅黑" w:eastAsia="微软雅黑" w:cs="微软雅黑"/>
                <w:spacing w:val="5"/>
              </w:rPr>
              <w:sym w:font="Wingdings 2" w:char="0052"/>
            </w:r>
            <w:r>
              <w:rPr>
                <w:spacing w:val="-2"/>
                <w:lang w:eastAsia="zh-CN"/>
              </w:rPr>
              <w:t>业绩说明会</w:t>
            </w:r>
          </w:p>
          <w:p w14:paraId="67AFF6D3">
            <w:pPr>
              <w:pStyle w:val="9"/>
              <w:keepLines/>
              <w:widowControl w:val="0"/>
              <w:ind w:left="232"/>
              <w:jc w:val="both"/>
              <w:rPr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6"/>
                <w:lang w:eastAsia="zh-CN"/>
              </w:rPr>
              <w:t>□</w:t>
            </w:r>
            <w:r>
              <w:rPr>
                <w:spacing w:val="6"/>
                <w:lang w:eastAsia="zh-CN"/>
              </w:rPr>
              <w:t>新闻发布会</w:t>
            </w:r>
            <w:r>
              <w:rPr>
                <w:spacing w:val="7"/>
                <w:lang w:eastAsia="zh-CN"/>
              </w:rPr>
              <w:t xml:space="preserve">             </w:t>
            </w:r>
            <w:r>
              <w:rPr>
                <w:rFonts w:hint="eastAsia" w:ascii="微软雅黑" w:hAnsi="微软雅黑" w:eastAsia="微软雅黑" w:cs="微软雅黑"/>
                <w:spacing w:val="6"/>
                <w:lang w:eastAsia="zh-CN"/>
              </w:rPr>
              <w:t>□</w:t>
            </w:r>
            <w:r>
              <w:rPr>
                <w:spacing w:val="6"/>
                <w:lang w:eastAsia="zh-CN"/>
              </w:rPr>
              <w:t>路演活动</w:t>
            </w:r>
          </w:p>
          <w:p w14:paraId="58A400B8">
            <w:pPr>
              <w:pStyle w:val="9"/>
              <w:keepLines/>
              <w:widowControl w:val="0"/>
              <w:ind w:left="232" w:right="2220"/>
              <w:jc w:val="both"/>
              <w:rPr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-2"/>
                <w:lang w:eastAsia="zh-CN"/>
              </w:rPr>
              <w:t>□</w:t>
            </w:r>
            <w:r>
              <w:rPr>
                <w:spacing w:val="-2"/>
                <w:lang w:eastAsia="zh-CN"/>
              </w:rPr>
              <w:t>现场参观</w:t>
            </w:r>
            <w:r>
              <w:rPr>
                <w:spacing w:val="6"/>
                <w:lang w:eastAsia="zh-CN"/>
              </w:rPr>
              <w:t xml:space="preserve">               </w:t>
            </w:r>
            <w:r>
              <w:rPr>
                <w:rFonts w:ascii="微软雅黑" w:hAnsi="微软雅黑" w:eastAsia="微软雅黑" w:cs="微软雅黑"/>
                <w:spacing w:val="5"/>
              </w:rPr>
              <w:sym w:font="Wingdings 2" w:char="0052"/>
            </w:r>
            <w:r>
              <w:rPr>
                <w:rFonts w:hint="eastAsia"/>
                <w:spacing w:val="6"/>
                <w:lang w:eastAsia="zh-CN"/>
              </w:rPr>
              <w:t>电话会议</w:t>
            </w:r>
            <w:r>
              <w:rPr>
                <w:rFonts w:ascii="微软雅黑" w:hAnsi="微软雅黑" w:eastAsia="微软雅黑" w:cs="微软雅黑"/>
                <w:spacing w:val="8"/>
                <w:lang w:eastAsia="zh-CN"/>
              </w:rPr>
              <w:t>□</w:t>
            </w:r>
            <w:r>
              <w:rPr>
                <w:spacing w:val="8"/>
                <w:lang w:eastAsia="zh-CN"/>
              </w:rPr>
              <w:t xml:space="preserve">其他 </w:t>
            </w:r>
            <w:r>
              <w:rPr>
                <w:u w:val="single"/>
                <w:lang w:eastAsia="zh-CN"/>
              </w:rPr>
              <w:t xml:space="preserve">            </w:t>
            </w:r>
          </w:p>
        </w:tc>
      </w:tr>
      <w:tr w14:paraId="271591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957" w:type="dxa"/>
          </w:tcPr>
          <w:p w14:paraId="76EC4E13">
            <w:pPr>
              <w:pStyle w:val="9"/>
              <w:keepLines/>
              <w:widowControl w:val="0"/>
              <w:spacing w:before="116" w:line="220" w:lineRule="auto"/>
              <w:ind w:left="264"/>
            </w:pPr>
            <w:r>
              <w:rPr>
                <w:b/>
                <w:bCs/>
                <w:spacing w:val="-4"/>
              </w:rPr>
              <w:t>参与单位名称</w:t>
            </w:r>
          </w:p>
        </w:tc>
        <w:tc>
          <w:tcPr>
            <w:tcW w:w="6661" w:type="dxa"/>
          </w:tcPr>
          <w:p w14:paraId="1ECCF6F2">
            <w:pPr>
              <w:pStyle w:val="9"/>
              <w:keepLines/>
              <w:widowControl w:val="0"/>
              <w:spacing w:before="115" w:line="219" w:lineRule="auto"/>
              <w:ind w:left="117"/>
            </w:pPr>
            <w:r>
              <w:rPr>
                <w:spacing w:val="-4"/>
              </w:rPr>
              <w:t>详见附件</w:t>
            </w:r>
          </w:p>
        </w:tc>
      </w:tr>
      <w:tr w14:paraId="152680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957" w:type="dxa"/>
          </w:tcPr>
          <w:p w14:paraId="1A515DE2">
            <w:pPr>
              <w:pStyle w:val="9"/>
              <w:keepLines/>
              <w:widowControl w:val="0"/>
              <w:spacing w:before="115" w:line="219" w:lineRule="auto"/>
              <w:ind w:left="503"/>
            </w:pPr>
            <w:r>
              <w:rPr>
                <w:b/>
                <w:bCs/>
                <w:spacing w:val="-5"/>
              </w:rPr>
              <w:t>会议时间</w:t>
            </w:r>
          </w:p>
        </w:tc>
        <w:tc>
          <w:tcPr>
            <w:tcW w:w="6661" w:type="dxa"/>
          </w:tcPr>
          <w:p w14:paraId="150E0973">
            <w:pPr>
              <w:pStyle w:val="9"/>
              <w:keepLines/>
              <w:widowControl w:val="0"/>
              <w:wordWrap w:val="0"/>
              <w:autoSpaceDE/>
              <w:autoSpaceDN/>
              <w:spacing w:before="116" w:line="218" w:lineRule="auto"/>
              <w:ind w:left="119"/>
            </w:pPr>
            <w:r>
              <w:rPr>
                <w:spacing w:val="-7"/>
              </w:rPr>
              <w:t>2026年</w:t>
            </w:r>
            <w:r>
              <w:rPr>
                <w:spacing w:val="-51"/>
                <w:lang w:eastAsia="zh-CN"/>
              </w:rPr>
              <w:t>8</w:t>
            </w:r>
            <w:r>
              <w:rPr>
                <w:spacing w:val="-7"/>
              </w:rPr>
              <w:t>月</w:t>
            </w:r>
            <w:r>
              <w:rPr>
                <w:spacing w:val="-7"/>
                <w:lang w:eastAsia="zh-CN"/>
              </w:rPr>
              <w:t>19</w:t>
            </w:r>
            <w:r>
              <w:rPr>
                <w:spacing w:val="-7"/>
              </w:rPr>
              <w:t>日</w:t>
            </w:r>
          </w:p>
        </w:tc>
      </w:tr>
      <w:tr w14:paraId="39BB0A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957" w:type="dxa"/>
          </w:tcPr>
          <w:p w14:paraId="5943583D">
            <w:pPr>
              <w:pStyle w:val="9"/>
              <w:keepLines/>
              <w:widowControl w:val="0"/>
              <w:spacing w:before="115" w:line="219" w:lineRule="auto"/>
              <w:ind w:left="503"/>
            </w:pPr>
            <w:r>
              <w:rPr>
                <w:b/>
                <w:bCs/>
                <w:spacing w:val="-5"/>
              </w:rPr>
              <w:t>会议地点</w:t>
            </w:r>
          </w:p>
        </w:tc>
        <w:tc>
          <w:tcPr>
            <w:tcW w:w="6661" w:type="dxa"/>
          </w:tcPr>
          <w:p w14:paraId="67F9C695">
            <w:pPr>
              <w:pStyle w:val="9"/>
              <w:keepLines/>
              <w:widowControl w:val="0"/>
              <w:spacing w:before="115" w:line="219" w:lineRule="auto"/>
              <w:ind w:left="118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五矿新能源材料（湖南）股份有限公司线上会议</w:t>
            </w:r>
          </w:p>
        </w:tc>
      </w:tr>
      <w:tr w14:paraId="7A1B17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957" w:type="dxa"/>
            <w:vAlign w:val="center"/>
          </w:tcPr>
          <w:p w14:paraId="0230C9CB">
            <w:pPr>
              <w:pStyle w:val="9"/>
              <w:keepLines/>
              <w:widowControl w:val="0"/>
              <w:spacing w:before="116" w:line="313" w:lineRule="auto"/>
              <w:ind w:left="506" w:right="254" w:hanging="242"/>
              <w:jc w:val="left"/>
              <w:rPr>
                <w:lang w:eastAsia="zh-CN"/>
              </w:rPr>
            </w:pPr>
            <w:r>
              <w:rPr>
                <w:b/>
                <w:bCs/>
                <w:spacing w:val="-4"/>
                <w:lang w:eastAsia="zh-CN"/>
              </w:rPr>
              <w:t>上市公司接待</w:t>
            </w:r>
            <w:r>
              <w:rPr>
                <w:spacing w:val="1"/>
                <w:lang w:eastAsia="zh-CN"/>
              </w:rPr>
              <w:t xml:space="preserve"> </w:t>
            </w:r>
            <w:r>
              <w:rPr>
                <w:b/>
                <w:bCs/>
                <w:spacing w:val="-5"/>
                <w:lang w:eastAsia="zh-CN"/>
              </w:rPr>
              <w:t>人员姓名</w:t>
            </w:r>
          </w:p>
        </w:tc>
        <w:tc>
          <w:tcPr>
            <w:tcW w:w="6661" w:type="dxa"/>
          </w:tcPr>
          <w:p w14:paraId="5B13CC7E">
            <w:pPr>
              <w:pStyle w:val="9"/>
              <w:keepLines/>
              <w:widowControl w:val="0"/>
              <w:spacing w:before="114" w:line="219" w:lineRule="auto"/>
              <w:ind w:left="116"/>
              <w:rPr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党委委员、副总经理、</w:t>
            </w:r>
            <w:r>
              <w:rPr>
                <w:spacing w:val="-2"/>
                <w:lang w:eastAsia="zh-CN"/>
              </w:rPr>
              <w:t>董事会秘书</w:t>
            </w:r>
            <w:r>
              <w:rPr>
                <w:rFonts w:hint="eastAsia"/>
                <w:spacing w:val="-2"/>
                <w:lang w:val="en-US" w:eastAsia="zh-CN"/>
              </w:rPr>
              <w:t xml:space="preserve">  </w:t>
            </w:r>
            <w:r>
              <w:rPr>
                <w:spacing w:val="-2"/>
                <w:lang w:eastAsia="zh-CN"/>
              </w:rPr>
              <w:t>曾科先生</w:t>
            </w:r>
          </w:p>
          <w:p w14:paraId="6EFBC35F">
            <w:pPr>
              <w:pStyle w:val="9"/>
              <w:keepLines/>
              <w:widowControl w:val="0"/>
              <w:spacing w:before="184" w:line="219" w:lineRule="auto"/>
              <w:ind w:left="121"/>
              <w:rPr>
                <w:spacing w:val="-1"/>
                <w:lang w:eastAsia="zh-CN"/>
              </w:rPr>
            </w:pPr>
            <w:r>
              <w:rPr>
                <w:spacing w:val="-1"/>
                <w:lang w:eastAsia="zh-CN"/>
              </w:rPr>
              <w:t>总经理助理、财务部部长</w:t>
            </w:r>
            <w:r>
              <w:rPr>
                <w:rFonts w:hint="eastAsia"/>
                <w:spacing w:val="-1"/>
                <w:lang w:val="en-US" w:eastAsia="zh-CN"/>
              </w:rPr>
              <w:t xml:space="preserve">  </w:t>
            </w:r>
            <w:r>
              <w:rPr>
                <w:spacing w:val="-1"/>
                <w:lang w:eastAsia="zh-CN"/>
              </w:rPr>
              <w:t>李宜芳女士</w:t>
            </w:r>
          </w:p>
          <w:p w14:paraId="7393063E">
            <w:pPr>
              <w:pStyle w:val="9"/>
              <w:keepLines/>
              <w:widowControl w:val="0"/>
              <w:spacing w:before="184" w:line="219" w:lineRule="auto"/>
              <w:ind w:left="121"/>
              <w:rPr>
                <w:rFonts w:hint="default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证券事务代表  杜璇女士</w:t>
            </w:r>
          </w:p>
        </w:tc>
      </w:tr>
      <w:tr w14:paraId="5B559D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957" w:type="dxa"/>
          </w:tcPr>
          <w:p w14:paraId="668FE273">
            <w:pPr>
              <w:keepLines/>
              <w:widowControl w:val="0"/>
              <w:kinsoku/>
              <w:wordWrap w:val="0"/>
              <w:autoSpaceDE/>
              <w:autoSpaceDN/>
              <w:spacing w:line="259" w:lineRule="auto"/>
              <w:ind w:left="42" w:leftChars="20" w:right="42" w:rightChars="20"/>
              <w:rPr>
                <w:lang w:eastAsia="zh-CN"/>
              </w:rPr>
            </w:pPr>
          </w:p>
          <w:p w14:paraId="3F6A56D9">
            <w:pPr>
              <w:keepLines/>
              <w:widowControl w:val="0"/>
              <w:kinsoku/>
              <w:wordWrap w:val="0"/>
              <w:autoSpaceDE/>
              <w:autoSpaceDN/>
              <w:spacing w:line="259" w:lineRule="auto"/>
              <w:ind w:left="42" w:leftChars="20" w:right="42" w:rightChars="20"/>
              <w:rPr>
                <w:lang w:eastAsia="zh-CN"/>
              </w:rPr>
            </w:pPr>
          </w:p>
          <w:p w14:paraId="27BD3F59">
            <w:pPr>
              <w:keepLines/>
              <w:widowControl w:val="0"/>
              <w:kinsoku/>
              <w:wordWrap w:val="0"/>
              <w:autoSpaceDE/>
              <w:autoSpaceDN/>
              <w:spacing w:line="259" w:lineRule="auto"/>
              <w:ind w:left="42" w:leftChars="20" w:right="42" w:rightChars="20"/>
              <w:rPr>
                <w:lang w:eastAsia="zh-CN"/>
              </w:rPr>
            </w:pPr>
          </w:p>
          <w:p w14:paraId="44262763">
            <w:pPr>
              <w:keepLines/>
              <w:widowControl w:val="0"/>
              <w:kinsoku/>
              <w:wordWrap w:val="0"/>
              <w:autoSpaceDE/>
              <w:autoSpaceDN/>
              <w:spacing w:line="259" w:lineRule="auto"/>
              <w:ind w:left="42" w:leftChars="20" w:right="42" w:rightChars="20"/>
              <w:rPr>
                <w:lang w:eastAsia="zh-CN"/>
              </w:rPr>
            </w:pPr>
          </w:p>
          <w:p w14:paraId="0B669456">
            <w:pPr>
              <w:keepLines/>
              <w:widowControl w:val="0"/>
              <w:kinsoku/>
              <w:wordWrap w:val="0"/>
              <w:autoSpaceDE/>
              <w:autoSpaceDN/>
              <w:spacing w:line="260" w:lineRule="auto"/>
              <w:ind w:left="42" w:leftChars="20" w:right="42" w:rightChars="20"/>
              <w:rPr>
                <w:lang w:eastAsia="zh-CN"/>
              </w:rPr>
            </w:pPr>
          </w:p>
          <w:p w14:paraId="57F89EC3">
            <w:pPr>
              <w:keepLines/>
              <w:widowControl w:val="0"/>
              <w:kinsoku/>
              <w:wordWrap w:val="0"/>
              <w:autoSpaceDE/>
              <w:autoSpaceDN/>
              <w:spacing w:line="260" w:lineRule="auto"/>
              <w:ind w:left="42" w:leftChars="20" w:right="42" w:rightChars="20"/>
              <w:rPr>
                <w:lang w:eastAsia="zh-CN"/>
              </w:rPr>
            </w:pPr>
          </w:p>
          <w:p w14:paraId="47E58EA8">
            <w:pPr>
              <w:keepLines/>
              <w:widowControl w:val="0"/>
              <w:kinsoku/>
              <w:wordWrap w:val="0"/>
              <w:autoSpaceDE/>
              <w:autoSpaceDN/>
              <w:spacing w:line="260" w:lineRule="auto"/>
              <w:ind w:left="42" w:leftChars="20" w:right="42" w:rightChars="20"/>
              <w:rPr>
                <w:lang w:eastAsia="zh-CN"/>
              </w:rPr>
            </w:pPr>
          </w:p>
          <w:p w14:paraId="3E01ADA7">
            <w:pPr>
              <w:keepLines/>
              <w:widowControl w:val="0"/>
              <w:kinsoku/>
              <w:wordWrap w:val="0"/>
              <w:autoSpaceDE/>
              <w:autoSpaceDN/>
              <w:spacing w:line="260" w:lineRule="auto"/>
              <w:ind w:left="42" w:leftChars="20" w:right="42" w:rightChars="20"/>
              <w:rPr>
                <w:lang w:eastAsia="zh-CN"/>
              </w:rPr>
            </w:pPr>
          </w:p>
          <w:p w14:paraId="01D689D7">
            <w:pPr>
              <w:keepLines/>
              <w:widowControl w:val="0"/>
              <w:kinsoku/>
              <w:wordWrap w:val="0"/>
              <w:autoSpaceDE/>
              <w:autoSpaceDN/>
              <w:spacing w:line="260" w:lineRule="auto"/>
              <w:ind w:left="42" w:leftChars="20" w:right="42" w:rightChars="20"/>
              <w:rPr>
                <w:lang w:eastAsia="zh-CN"/>
              </w:rPr>
            </w:pPr>
          </w:p>
          <w:p w14:paraId="4FF903A2">
            <w:pPr>
              <w:keepLines/>
              <w:widowControl w:val="0"/>
              <w:kinsoku/>
              <w:wordWrap w:val="0"/>
              <w:autoSpaceDE/>
              <w:autoSpaceDN/>
              <w:spacing w:line="260" w:lineRule="auto"/>
              <w:ind w:left="42" w:leftChars="20" w:right="42" w:rightChars="20"/>
              <w:rPr>
                <w:lang w:eastAsia="zh-CN"/>
              </w:rPr>
            </w:pPr>
          </w:p>
          <w:p w14:paraId="0FF80A1A">
            <w:pPr>
              <w:pStyle w:val="9"/>
              <w:keepLines/>
              <w:widowControl w:val="0"/>
              <w:kinsoku/>
              <w:wordWrap w:val="0"/>
              <w:autoSpaceDE/>
              <w:autoSpaceDN/>
              <w:spacing w:before="78" w:line="362" w:lineRule="auto"/>
              <w:ind w:left="161" w:leftChars="20" w:right="42" w:rightChars="20" w:hanging="119"/>
              <w:rPr>
                <w:lang w:eastAsia="zh-CN"/>
              </w:rPr>
            </w:pPr>
            <w:r>
              <w:rPr>
                <w:b/>
                <w:bCs/>
                <w:spacing w:val="-4"/>
                <w:lang w:eastAsia="zh-CN"/>
              </w:rPr>
              <w:t>投资者关系活动</w:t>
            </w:r>
            <w:r>
              <w:rPr>
                <w:spacing w:val="1"/>
                <w:lang w:eastAsia="zh-CN"/>
              </w:rPr>
              <w:t xml:space="preserve"> </w:t>
            </w:r>
            <w:r>
              <w:rPr>
                <w:b/>
                <w:bCs/>
                <w:spacing w:val="-4"/>
                <w:lang w:eastAsia="zh-CN"/>
              </w:rPr>
              <w:t>主要内容介绍</w:t>
            </w:r>
          </w:p>
        </w:tc>
        <w:tc>
          <w:tcPr>
            <w:tcW w:w="6661" w:type="dxa"/>
          </w:tcPr>
          <w:p w14:paraId="65DCE4A6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70" w:firstLineChars="200"/>
              <w:jc w:val="both"/>
              <w:rPr>
                <w:b/>
                <w:bCs/>
                <w:spacing w:val="-3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lang w:eastAsia="zh-CN"/>
              </w:rPr>
              <w:t>1、介绍公司</w:t>
            </w:r>
            <w:r>
              <w:rPr>
                <w:b/>
                <w:bCs/>
                <w:spacing w:val="-3"/>
                <w:lang w:eastAsia="zh-CN"/>
              </w:rPr>
              <w:t>2026</w:t>
            </w:r>
            <w:r>
              <w:rPr>
                <w:rFonts w:hint="eastAsia"/>
                <w:b/>
                <w:bCs/>
                <w:spacing w:val="-3"/>
                <w:lang w:eastAsia="zh-CN"/>
              </w:rPr>
              <w:t>年上半年经营业绩情况。</w:t>
            </w:r>
          </w:p>
          <w:p w14:paraId="56812503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68" w:firstLineChars="200"/>
              <w:jc w:val="both"/>
              <w:rPr>
                <w:bCs/>
                <w:spacing w:val="-3"/>
                <w:lang w:eastAsia="zh-CN"/>
              </w:rPr>
            </w:pPr>
            <w:r>
              <w:rPr>
                <w:rFonts w:hint="eastAsia"/>
                <w:bCs/>
                <w:spacing w:val="-3"/>
                <w:lang w:eastAsia="zh-CN"/>
              </w:rPr>
              <w:t>报告期内，公司实现营业收入</w:t>
            </w:r>
            <w:r>
              <w:rPr>
                <w:bCs/>
                <w:spacing w:val="-3"/>
                <w:lang w:eastAsia="zh-CN"/>
              </w:rPr>
              <w:t>78.12</w:t>
            </w:r>
            <w:r>
              <w:rPr>
                <w:rFonts w:hint="eastAsia"/>
                <w:bCs/>
                <w:spacing w:val="-3"/>
                <w:lang w:eastAsia="zh-CN"/>
              </w:rPr>
              <w:t>亿元，同比增长</w:t>
            </w:r>
            <w:r>
              <w:rPr>
                <w:bCs/>
                <w:spacing w:val="-3"/>
                <w:lang w:eastAsia="zh-CN"/>
              </w:rPr>
              <w:t>169.00%</w:t>
            </w:r>
            <w:r>
              <w:rPr>
                <w:rFonts w:hint="eastAsia"/>
                <w:bCs/>
                <w:spacing w:val="-3"/>
                <w:lang w:eastAsia="zh-CN"/>
              </w:rPr>
              <w:t>；利润实现扭亏为盈，利润总额</w:t>
            </w:r>
            <w:r>
              <w:rPr>
                <w:bCs/>
                <w:spacing w:val="-3"/>
                <w:lang w:eastAsia="zh-CN"/>
              </w:rPr>
              <w:t>5.22</w:t>
            </w:r>
            <w:r>
              <w:rPr>
                <w:rFonts w:hint="eastAsia"/>
                <w:bCs/>
                <w:spacing w:val="-3"/>
                <w:lang w:eastAsia="zh-CN"/>
              </w:rPr>
              <w:t>亿元，同比增加</w:t>
            </w:r>
            <w:r>
              <w:rPr>
                <w:bCs/>
                <w:spacing w:val="-3"/>
                <w:lang w:eastAsia="zh-CN"/>
              </w:rPr>
              <w:t>5.34</w:t>
            </w:r>
            <w:r>
              <w:rPr>
                <w:rFonts w:hint="eastAsia"/>
                <w:bCs/>
                <w:spacing w:val="-3"/>
                <w:lang w:eastAsia="zh-CN"/>
              </w:rPr>
              <w:t>亿元；归属于母公司股东的净利润</w:t>
            </w:r>
            <w:r>
              <w:rPr>
                <w:bCs/>
                <w:spacing w:val="-3"/>
                <w:lang w:eastAsia="zh-CN"/>
              </w:rPr>
              <w:t>3.77</w:t>
            </w:r>
            <w:r>
              <w:rPr>
                <w:rFonts w:hint="eastAsia"/>
                <w:bCs/>
                <w:spacing w:val="-3"/>
                <w:lang w:eastAsia="zh-CN"/>
              </w:rPr>
              <w:t>亿元，同比增加</w:t>
            </w:r>
            <w:r>
              <w:rPr>
                <w:bCs/>
                <w:spacing w:val="-3"/>
                <w:lang w:eastAsia="zh-CN"/>
              </w:rPr>
              <w:t>4.04</w:t>
            </w:r>
            <w:r>
              <w:rPr>
                <w:rFonts w:hint="eastAsia"/>
                <w:bCs/>
                <w:spacing w:val="-3"/>
                <w:lang w:eastAsia="zh-CN"/>
              </w:rPr>
              <w:t>亿元。</w:t>
            </w:r>
            <w:r>
              <w:rPr>
                <w:bCs/>
                <w:spacing w:val="-3"/>
                <w:lang w:eastAsia="zh-CN"/>
              </w:rPr>
              <w:t xml:space="preserve"> </w:t>
            </w:r>
          </w:p>
          <w:p w14:paraId="2861BAF3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70" w:firstLineChars="200"/>
              <w:jc w:val="both"/>
              <w:rPr>
                <w:b/>
                <w:bCs/>
                <w:spacing w:val="-3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lang w:eastAsia="zh-CN"/>
              </w:rPr>
              <w:t>2、介绍公司当前研发整体进展情况。</w:t>
            </w:r>
          </w:p>
          <w:p w14:paraId="2751B881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68" w:firstLineChars="200"/>
              <w:jc w:val="both"/>
              <w:rPr>
                <w:rFonts w:hint="eastAsia"/>
                <w:bCs/>
                <w:spacing w:val="-3"/>
                <w:lang w:eastAsia="zh-CN"/>
              </w:rPr>
            </w:pPr>
            <w:r>
              <w:rPr>
                <w:rFonts w:hint="eastAsia"/>
                <w:bCs/>
                <w:spacing w:val="-3"/>
                <w:lang w:eastAsia="zh-CN"/>
              </w:rPr>
              <w:t>答：公司持续深耕电池材料核心技术，多条研发</w:t>
            </w:r>
            <w:r>
              <w:rPr>
                <w:rFonts w:hint="eastAsia"/>
                <w:bCs/>
                <w:spacing w:val="-3"/>
                <w:lang w:val="en-US" w:eastAsia="zh-CN"/>
              </w:rPr>
              <w:t>路</w:t>
            </w:r>
            <w:r>
              <w:rPr>
                <w:rFonts w:hint="eastAsia"/>
                <w:bCs/>
                <w:spacing w:val="-3"/>
                <w:lang w:eastAsia="zh-CN"/>
              </w:rPr>
              <w:t>线实现技术突破与产业化稳步落地。</w:t>
            </w:r>
          </w:p>
          <w:p w14:paraId="6B50243C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68" w:firstLineChars="200"/>
              <w:jc w:val="both"/>
              <w:rPr>
                <w:rFonts w:hint="eastAsia"/>
                <w:bCs/>
                <w:spacing w:val="-3"/>
                <w:lang w:eastAsia="zh-CN"/>
              </w:rPr>
            </w:pPr>
            <w:r>
              <w:rPr>
                <w:rFonts w:hint="eastAsia"/>
                <w:bCs/>
                <w:spacing w:val="-3"/>
                <w:lang w:eastAsia="zh-CN"/>
              </w:rPr>
              <w:t>三元材料方面，公司高电压、超高镍三元技术取得关键突破，产品通过主流车企及电芯厂商认证并实现批量供货，应用于高端乘用车、低空经济装备、智能机器人等场景。其中</w:t>
            </w:r>
            <w:r>
              <w:rPr>
                <w:bCs/>
                <w:spacing w:val="-3"/>
                <w:lang w:eastAsia="zh-CN"/>
              </w:rPr>
              <w:t>9</w:t>
            </w:r>
            <w:r>
              <w:rPr>
                <w:rFonts w:hint="eastAsia"/>
                <w:bCs/>
                <w:spacing w:val="-3"/>
                <w:lang w:eastAsia="zh-CN"/>
              </w:rPr>
              <w:t>系超高能量密度产品已配套客户全极耳大圆柱电池并获得评测，</w:t>
            </w:r>
            <w:r>
              <w:rPr>
                <w:rFonts w:hint="eastAsia"/>
                <w:bCs/>
                <w:spacing w:val="-3"/>
                <w:lang w:val="en-US" w:eastAsia="zh-CN"/>
              </w:rPr>
              <w:t>性能表现优秀</w:t>
            </w:r>
            <w:r>
              <w:rPr>
                <w:rFonts w:hint="eastAsia"/>
                <w:bCs/>
                <w:spacing w:val="-3"/>
                <w:lang w:eastAsia="zh-CN"/>
              </w:rPr>
              <w:t>；</w:t>
            </w:r>
            <w:r>
              <w:rPr>
                <w:bCs/>
                <w:spacing w:val="-3"/>
                <w:lang w:eastAsia="zh-CN"/>
              </w:rPr>
              <w:t>8</w:t>
            </w:r>
            <w:r>
              <w:rPr>
                <w:rFonts w:hint="eastAsia"/>
                <w:bCs/>
                <w:spacing w:val="-3"/>
                <w:lang w:eastAsia="zh-CN"/>
              </w:rPr>
              <w:t>系升级产品已通过重要客户评测，预计年底有望实现批量供货。同时公司同步布局超高镍、中镍高压两条快充技术路线，</w:t>
            </w:r>
            <w:r>
              <w:rPr>
                <w:rFonts w:hint="eastAsia"/>
                <w:bCs/>
                <w:spacing w:val="-3"/>
                <w:lang w:val="en-US" w:eastAsia="zh-CN"/>
              </w:rPr>
              <w:t>积极</w:t>
            </w:r>
            <w:r>
              <w:rPr>
                <w:rFonts w:hint="eastAsia"/>
                <w:bCs/>
                <w:spacing w:val="-3"/>
                <w:lang w:eastAsia="zh-CN"/>
              </w:rPr>
              <w:t>响应市场需求。</w:t>
            </w:r>
          </w:p>
          <w:p w14:paraId="0A1BC852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68" w:firstLineChars="200"/>
              <w:jc w:val="both"/>
              <w:rPr>
                <w:rFonts w:hint="eastAsia"/>
                <w:bCs/>
                <w:spacing w:val="-3"/>
                <w:lang w:eastAsia="zh-CN"/>
              </w:rPr>
            </w:pPr>
            <w:r>
              <w:rPr>
                <w:rFonts w:hint="eastAsia"/>
                <w:bCs/>
                <w:spacing w:val="-3"/>
                <w:lang w:eastAsia="zh-CN"/>
              </w:rPr>
              <w:t>磷酸铁锂材料方面，公司已建成多代次完整磷酸铁锂产品谱系，四代、</w:t>
            </w:r>
            <w:r>
              <w:rPr>
                <w:bCs/>
                <w:spacing w:val="-3"/>
                <w:lang w:eastAsia="zh-CN"/>
              </w:rPr>
              <w:t>4</w:t>
            </w:r>
            <w:r>
              <w:rPr>
                <w:rFonts w:hint="eastAsia"/>
                <w:bCs/>
                <w:spacing w:val="-3"/>
                <w:lang w:eastAsia="zh-CN"/>
              </w:rPr>
              <w:t>代半产品完成客户验证及送样评测，储能产品可适配大容量电芯需求。高压实、高功率磷酸锰铁锂技术取得突破，采用混用、纯用并行路线构建差异化竞争优势，新一代铁锂产品性能对标行业一流水平，已导入多家头部动力电池企业。</w:t>
            </w:r>
          </w:p>
          <w:p w14:paraId="0062784A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68" w:firstLineChars="200"/>
              <w:jc w:val="both"/>
              <w:rPr>
                <w:rFonts w:hint="eastAsia"/>
                <w:bCs/>
                <w:spacing w:val="-3"/>
                <w:lang w:eastAsia="zh-CN"/>
              </w:rPr>
            </w:pPr>
            <w:r>
              <w:rPr>
                <w:rFonts w:hint="eastAsia"/>
                <w:bCs/>
                <w:spacing w:val="-3"/>
                <w:lang w:eastAsia="zh-CN"/>
              </w:rPr>
              <w:t>钠离子电池材料方面，公司</w:t>
            </w:r>
            <w:r>
              <w:rPr>
                <w:bCs/>
                <w:spacing w:val="-3"/>
                <w:lang w:eastAsia="zh-CN"/>
              </w:rPr>
              <w:t>NFPP</w:t>
            </w:r>
            <w:r>
              <w:rPr>
                <w:rFonts w:hint="eastAsia"/>
                <w:bCs/>
                <w:spacing w:val="-3"/>
                <w:lang w:eastAsia="zh-CN"/>
              </w:rPr>
              <w:t>钠电材料已通过头部客户认证，持续开展百公斤级样品送测，预计年内有望建成百吨级中试产线。</w:t>
            </w:r>
          </w:p>
          <w:p w14:paraId="4AF517BD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68" w:firstLineChars="200"/>
              <w:jc w:val="both"/>
              <w:rPr>
                <w:bCs/>
                <w:spacing w:val="-3"/>
                <w:lang w:eastAsia="zh-CN"/>
              </w:rPr>
            </w:pPr>
            <w:r>
              <w:rPr>
                <w:rFonts w:hint="eastAsia"/>
                <w:bCs/>
                <w:spacing w:val="-3"/>
                <w:lang w:eastAsia="zh-CN"/>
              </w:rPr>
              <w:t>固态电池正极材料方面，相关核心技术取得阶段性突破，核心性能指标位居行业前列，现已实现吨级出货。公司联合中科大马骋教授团队开展产学研合作，为其提供固态电池用正极材料并进行性能改进研究。同步布局富锂锰基等前沿正极材料。</w:t>
            </w:r>
          </w:p>
          <w:p w14:paraId="21FE8F6C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70" w:firstLineChars="200"/>
              <w:jc w:val="both"/>
              <w:rPr>
                <w:b/>
                <w:bCs/>
                <w:spacing w:val="-3"/>
                <w:lang w:eastAsia="zh-CN"/>
              </w:rPr>
            </w:pPr>
            <w:r>
              <w:rPr>
                <w:b/>
                <w:bCs/>
                <w:spacing w:val="-3"/>
                <w:lang w:eastAsia="zh-CN"/>
              </w:rPr>
              <w:t>3</w:t>
            </w:r>
            <w:r>
              <w:rPr>
                <w:rFonts w:hint="eastAsia"/>
                <w:b/>
                <w:bCs/>
                <w:spacing w:val="-3"/>
                <w:lang w:eastAsia="zh-CN"/>
              </w:rPr>
              <w:t>、公司上年度业绩增速较快的原因是什么？</w:t>
            </w:r>
          </w:p>
          <w:p w14:paraId="0CA7D86C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68" w:firstLineChars="200"/>
              <w:jc w:val="both"/>
              <w:rPr>
                <w:bCs/>
                <w:spacing w:val="-3"/>
                <w:lang w:eastAsia="zh-CN"/>
              </w:rPr>
            </w:pPr>
            <w:r>
              <w:rPr>
                <w:rFonts w:hint="eastAsia"/>
                <w:bCs/>
                <w:spacing w:val="-3"/>
                <w:lang w:eastAsia="zh-CN"/>
              </w:rPr>
              <w:t>答：公司主力6系产品需求稳步增长、新8、9系列产品实现结构升级，面对市场需求的变化，体现出良好的盈利韧性。同时，公司前期重点推进的研发与产业化项目陆续落地，客户认证取得较好的进展。</w:t>
            </w:r>
          </w:p>
          <w:p w14:paraId="62BF27D7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70" w:firstLineChars="200"/>
              <w:jc w:val="both"/>
              <w:rPr>
                <w:b/>
                <w:bCs/>
                <w:spacing w:val="-3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lang w:val="en-US" w:eastAsia="zh-CN"/>
              </w:rPr>
              <w:t>4</w:t>
            </w:r>
            <w:r>
              <w:rPr>
                <w:rFonts w:hint="eastAsia"/>
                <w:b/>
                <w:bCs/>
                <w:spacing w:val="-3"/>
                <w:lang w:eastAsia="zh-CN"/>
              </w:rPr>
              <w:t>、公司钠离子电池材料客户验证、商业化落地进度如何？如何看待行业量产节奏与公司产能规划？</w:t>
            </w:r>
          </w:p>
          <w:p w14:paraId="67B34BF0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68" w:firstLineChars="200"/>
              <w:jc w:val="both"/>
              <w:rPr>
                <w:rFonts w:hint="eastAsia"/>
                <w:bCs/>
                <w:spacing w:val="-3"/>
                <w:lang w:eastAsia="zh-CN"/>
              </w:rPr>
            </w:pPr>
            <w:r>
              <w:rPr>
                <w:rFonts w:hint="eastAsia"/>
                <w:bCs/>
                <w:spacing w:val="-3"/>
                <w:lang w:eastAsia="zh-CN"/>
              </w:rPr>
              <w:t>答：</w:t>
            </w:r>
            <w:r>
              <w:rPr>
                <w:rFonts w:hint="eastAsia"/>
                <w:bCs/>
                <w:spacing w:val="-3"/>
                <w:lang w:val="en-US" w:eastAsia="zh-CN"/>
              </w:rPr>
              <w:t>钠电NFPP技术路线适配性强、综合性能突出，高度契合储能等核心场景，是行业具备规模化潜力的主流方向。目前，公司NFPP钠电材料已通过头部客户测试认证，进入核心供应链开发体系，样品送测与迭代优化持续进行，客户导入稳步推进。行业层面，钠电池产业已步入快速落地阶段，头部企业技术与产业化体系日趋成熟，下游储能、低速动力等场景需求逐步释放，商业化拐点临近。公司采取跟随客户需求、分步落地的策略，产能建设严格匹配客户认证进度、订单释放及下游市场需求，后续将根据产业迭代与客户订单动态推进，稳步实现规模化配套。</w:t>
            </w:r>
          </w:p>
          <w:p w14:paraId="279BDF5E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70" w:firstLineChars="200"/>
              <w:jc w:val="both"/>
              <w:rPr>
                <w:b/>
                <w:bCs/>
                <w:spacing w:val="-3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lang w:val="en-US" w:eastAsia="zh-CN"/>
              </w:rPr>
              <w:t>5</w:t>
            </w:r>
            <w:r>
              <w:rPr>
                <w:rFonts w:hint="eastAsia"/>
                <w:b/>
                <w:bCs/>
                <w:spacing w:val="-3"/>
                <w:lang w:eastAsia="zh-CN"/>
              </w:rPr>
              <w:t>、公司新一代高电压快充三元产品验证进度如何？</w:t>
            </w:r>
            <w:r>
              <w:rPr>
                <w:b/>
                <w:bCs/>
                <w:spacing w:val="-3"/>
                <w:lang w:eastAsia="zh-CN"/>
              </w:rPr>
              <w:t xml:space="preserve"> </w:t>
            </w:r>
          </w:p>
          <w:p w14:paraId="7B7B9CA0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68" w:firstLineChars="200"/>
              <w:jc w:val="both"/>
              <w:rPr>
                <w:bCs/>
                <w:spacing w:val="-3"/>
                <w:lang w:eastAsia="zh-CN"/>
              </w:rPr>
            </w:pPr>
            <w:r>
              <w:rPr>
                <w:rFonts w:hint="eastAsia"/>
                <w:bCs/>
                <w:spacing w:val="-3"/>
                <w:lang w:eastAsia="zh-CN"/>
              </w:rPr>
              <w:t>答：</w:t>
            </w:r>
            <w:r>
              <w:rPr>
                <w:rFonts w:hint="eastAsia"/>
                <w:bCs/>
                <w:spacing w:val="-3"/>
                <w:lang w:val="en-US" w:eastAsia="zh-CN"/>
              </w:rPr>
              <w:t>在</w:t>
            </w:r>
            <w:r>
              <w:rPr>
                <w:rFonts w:hint="eastAsia"/>
                <w:bCs/>
                <w:spacing w:val="-3"/>
                <w:lang w:eastAsia="zh-CN"/>
              </w:rPr>
              <w:t>高电压快充三元赛道，</w:t>
            </w:r>
            <w:r>
              <w:rPr>
                <w:rFonts w:hint="eastAsia"/>
                <w:bCs/>
                <w:spacing w:val="-3"/>
                <w:lang w:val="en-US" w:eastAsia="zh-CN"/>
              </w:rPr>
              <w:t>公司采用</w:t>
            </w:r>
            <w:r>
              <w:rPr>
                <w:rFonts w:hint="eastAsia"/>
                <w:bCs/>
                <w:spacing w:val="-3"/>
                <w:lang w:eastAsia="zh-CN"/>
              </w:rPr>
              <w:t>超高镍</w:t>
            </w:r>
            <w:r>
              <w:rPr>
                <w:bCs/>
                <w:spacing w:val="-3"/>
                <w:lang w:eastAsia="zh-CN"/>
              </w:rPr>
              <w:t>9</w:t>
            </w:r>
            <w:r>
              <w:rPr>
                <w:rFonts w:hint="eastAsia"/>
                <w:bCs/>
                <w:spacing w:val="-3"/>
                <w:lang w:eastAsia="zh-CN"/>
              </w:rPr>
              <w:t>系、中镍高压双线并行的研发策略，</w:t>
            </w:r>
            <w:r>
              <w:rPr>
                <w:rFonts w:hint="eastAsia"/>
                <w:bCs/>
                <w:spacing w:val="-3"/>
                <w:lang w:val="en-US" w:eastAsia="zh-CN"/>
              </w:rPr>
              <w:t>以</w:t>
            </w:r>
            <w:r>
              <w:rPr>
                <w:rFonts w:hint="eastAsia"/>
                <w:bCs/>
                <w:spacing w:val="-3"/>
                <w:lang w:eastAsia="zh-CN"/>
              </w:rPr>
              <w:t>匹配下游电池高快充、高能量密度的产品需求。目前公司</w:t>
            </w:r>
            <w:r>
              <w:rPr>
                <w:bCs/>
                <w:spacing w:val="-3"/>
                <w:lang w:eastAsia="zh-CN"/>
              </w:rPr>
              <w:t>8</w:t>
            </w:r>
            <w:r>
              <w:rPr>
                <w:rFonts w:hint="eastAsia"/>
                <w:bCs/>
                <w:spacing w:val="-3"/>
                <w:lang w:eastAsia="zh-CN"/>
              </w:rPr>
              <w:t>系迭代</w:t>
            </w:r>
            <w:r>
              <w:rPr>
                <w:rFonts w:hint="eastAsia"/>
                <w:bCs/>
                <w:spacing w:val="-3"/>
                <w:lang w:val="en-US" w:eastAsia="zh-CN"/>
              </w:rPr>
              <w:t>及</w:t>
            </w:r>
            <w:r>
              <w:rPr>
                <w:rFonts w:hint="eastAsia"/>
                <w:bCs/>
                <w:spacing w:val="-3"/>
                <w:lang w:eastAsia="zh-CN"/>
              </w:rPr>
              <w:t>新一代中镍高压二代快充产品均有序推进客户验证工作，具备响应客户量产需求的交付能力。</w:t>
            </w:r>
          </w:p>
          <w:p w14:paraId="1310EFEC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70" w:firstLineChars="200"/>
              <w:jc w:val="both"/>
              <w:rPr>
                <w:b/>
                <w:bCs/>
                <w:spacing w:val="-3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lang w:val="en-US" w:eastAsia="zh-CN"/>
              </w:rPr>
              <w:t>6</w:t>
            </w:r>
            <w:r>
              <w:rPr>
                <w:rFonts w:hint="eastAsia"/>
                <w:b/>
                <w:bCs/>
                <w:spacing w:val="-3"/>
                <w:lang w:eastAsia="zh-CN"/>
              </w:rPr>
              <w:t>、公司磷酸铁锂四代和四代半产品的出货及产能配套建设进度如何？</w:t>
            </w:r>
          </w:p>
          <w:p w14:paraId="7C363CD5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68" w:firstLineChars="200"/>
              <w:jc w:val="both"/>
              <w:rPr>
                <w:rFonts w:hint="eastAsia"/>
                <w:bCs/>
                <w:spacing w:val="-3"/>
                <w:lang w:eastAsia="zh-CN"/>
              </w:rPr>
            </w:pPr>
            <w:r>
              <w:rPr>
                <w:rFonts w:hint="eastAsia"/>
                <w:bCs/>
                <w:spacing w:val="-3"/>
                <w:lang w:eastAsia="zh-CN"/>
              </w:rPr>
              <w:t>答：公司铁锂四代、四代半产品已向客户送样评测，目前验证进展顺利。</w:t>
            </w:r>
          </w:p>
          <w:p w14:paraId="3B68E629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70" w:firstLineChars="200"/>
              <w:jc w:val="both"/>
              <w:rPr>
                <w:b/>
                <w:bCs/>
                <w:spacing w:val="-3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lang w:val="en-US" w:eastAsia="zh-CN"/>
              </w:rPr>
              <w:t>7</w:t>
            </w:r>
            <w:r>
              <w:rPr>
                <w:rFonts w:hint="eastAsia"/>
                <w:b/>
                <w:bCs/>
                <w:spacing w:val="-3"/>
                <w:lang w:eastAsia="zh-CN"/>
              </w:rPr>
              <w:t>、</w:t>
            </w:r>
            <w:r>
              <w:rPr>
                <w:rFonts w:hint="eastAsia"/>
                <w:b/>
                <w:bCs/>
                <w:spacing w:val="-3"/>
                <w:lang w:val="en-US" w:eastAsia="zh-CN"/>
              </w:rPr>
              <w:t>公司在</w:t>
            </w:r>
            <w:r>
              <w:rPr>
                <w:rFonts w:hint="eastAsia"/>
                <w:b/>
                <w:bCs/>
                <w:spacing w:val="-3"/>
                <w:lang w:eastAsia="zh-CN"/>
              </w:rPr>
              <w:t>低空经济领域</w:t>
            </w:r>
            <w:r>
              <w:rPr>
                <w:rFonts w:hint="eastAsia"/>
                <w:b/>
                <w:bCs/>
                <w:spacing w:val="-3"/>
                <w:lang w:val="en-US" w:eastAsia="zh-CN"/>
              </w:rPr>
              <w:t>的布局是怎样的？是否能</w:t>
            </w:r>
            <w:r>
              <w:rPr>
                <w:rFonts w:hint="eastAsia"/>
                <w:b/>
                <w:bCs/>
                <w:spacing w:val="-3"/>
                <w:lang w:eastAsia="zh-CN"/>
              </w:rPr>
              <w:t>成为公司重要</w:t>
            </w:r>
            <w:r>
              <w:rPr>
                <w:rFonts w:hint="eastAsia"/>
                <w:b/>
                <w:bCs/>
                <w:spacing w:val="-3"/>
                <w:lang w:val="en-US" w:eastAsia="zh-CN"/>
              </w:rPr>
              <w:t>的</w:t>
            </w:r>
            <w:r>
              <w:rPr>
                <w:rFonts w:hint="eastAsia"/>
                <w:b/>
                <w:bCs/>
                <w:spacing w:val="-3"/>
                <w:lang w:eastAsia="zh-CN"/>
              </w:rPr>
              <w:t>增量市场？</w:t>
            </w:r>
          </w:p>
          <w:p w14:paraId="153ABF56">
            <w:pPr>
              <w:pStyle w:val="9"/>
              <w:widowControl w:val="0"/>
              <w:kinsoku/>
              <w:autoSpaceDE/>
              <w:autoSpaceDN/>
              <w:spacing w:before="120" w:beforeLines="50" w:line="360" w:lineRule="auto"/>
              <w:ind w:left="420" w:leftChars="200" w:right="420" w:rightChars="200" w:firstLine="468" w:firstLineChars="200"/>
              <w:jc w:val="both"/>
              <w:rPr>
                <w:lang w:eastAsia="zh-CN"/>
              </w:rPr>
            </w:pPr>
            <w:r>
              <w:rPr>
                <w:rFonts w:hint="eastAsia"/>
                <w:bCs/>
                <w:spacing w:val="-3"/>
                <w:lang w:eastAsia="zh-CN"/>
              </w:rPr>
              <w:t>答：公司看好低空经济赛道的中长期发展潜力，该领域作为国家战略新兴产业，下游应用场景对产品性能要求高，公司9系超高能量密度、高功率密度的三元产品，是公司高端产品重要的增量细分市场。现阶段公司已与行业头部电芯企业建立紧密合作，相关产品已实现吨级出货，产业化顺利推进。</w:t>
            </w:r>
          </w:p>
        </w:tc>
      </w:tr>
      <w:tr w14:paraId="7FB106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9" w:hRule="atLeast"/>
        </w:trPr>
        <w:tc>
          <w:tcPr>
            <w:tcW w:w="1957" w:type="dxa"/>
            <w:vAlign w:val="center"/>
          </w:tcPr>
          <w:p w14:paraId="75978900">
            <w:pPr>
              <w:pStyle w:val="9"/>
              <w:keepLines/>
              <w:widowControl w:val="0"/>
              <w:kinsoku/>
              <w:wordWrap w:val="0"/>
              <w:autoSpaceDE/>
              <w:autoSpaceDN/>
              <w:spacing w:before="78" w:line="362" w:lineRule="auto"/>
              <w:ind w:left="161" w:leftChars="20" w:right="42" w:rightChars="20" w:hanging="119"/>
              <w:jc w:val="center"/>
              <w:rPr>
                <w:b/>
                <w:bCs/>
                <w:spacing w:val="-4"/>
              </w:rPr>
            </w:pPr>
            <w:r>
              <w:rPr>
                <w:rFonts w:hint="eastAsia"/>
                <w:b/>
                <w:bCs/>
                <w:spacing w:val="-4"/>
              </w:rPr>
              <w:t>风险提示</w:t>
            </w:r>
          </w:p>
        </w:tc>
        <w:tc>
          <w:tcPr>
            <w:tcW w:w="6661" w:type="dxa"/>
          </w:tcPr>
          <w:p w14:paraId="0B6EAD60">
            <w:pPr>
              <w:pStyle w:val="9"/>
              <w:keepLines/>
              <w:widowControl w:val="0"/>
              <w:kinsoku/>
              <w:wordWrap w:val="0"/>
              <w:autoSpaceDE/>
              <w:autoSpaceDN/>
              <w:spacing w:before="240" w:beforeLines="100" w:line="360" w:lineRule="auto"/>
              <w:ind w:left="42" w:leftChars="20" w:right="42" w:rightChars="20" w:firstLine="480" w:firstLineChars="200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1、以上如涉及对行业的预测、公司发展战略规划等相关 内容，不能视作公司或公司管理层对行业、公司发展的承诺和 保证，敬请广大投资者注意投资风险。</w:t>
            </w:r>
          </w:p>
          <w:p w14:paraId="342D73D0">
            <w:pPr>
              <w:pStyle w:val="9"/>
              <w:keepLines/>
              <w:widowControl w:val="0"/>
              <w:kinsoku/>
              <w:wordWrap w:val="0"/>
              <w:autoSpaceDE/>
              <w:autoSpaceDN/>
              <w:spacing w:before="240" w:beforeLines="100" w:line="360" w:lineRule="auto"/>
              <w:ind w:left="42" w:leftChars="20" w:right="42" w:rightChars="20" w:firstLine="480" w:firstLineChars="200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2、部分参会人员为电话接入，接入名单由电话会议组织 方提供，公司无法核实名单真实性，敬请广大投资者注意投资 风险。</w:t>
            </w:r>
          </w:p>
        </w:tc>
      </w:tr>
    </w:tbl>
    <w:p w14:paraId="3A6B0A94">
      <w:pPr>
        <w:keepLines/>
        <w:widowControl w:val="0"/>
        <w:kinsoku/>
        <w:wordWrap w:val="0"/>
        <w:autoSpaceDE/>
        <w:autoSpaceDN/>
        <w:ind w:left="42" w:leftChars="20" w:right="42" w:rightChars="20"/>
        <w:rPr>
          <w:lang w:eastAsia="zh-CN"/>
        </w:rPr>
        <w:sectPr>
          <w:pgSz w:w="11906" w:h="16839"/>
          <w:pgMar w:top="1431" w:right="1785" w:bottom="1247" w:left="1369" w:header="0" w:footer="0" w:gutter="0"/>
          <w:cols w:space="720" w:num="1"/>
        </w:sectPr>
      </w:pPr>
    </w:p>
    <w:p w14:paraId="193E0024">
      <w:pPr>
        <w:spacing w:before="47" w:line="219" w:lineRule="auto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-10"/>
          <w:sz w:val="24"/>
          <w:szCs w:val="24"/>
          <w:lang w:eastAsia="zh-CN"/>
        </w:rPr>
        <w:t>附件：</w:t>
      </w:r>
    </w:p>
    <w:p w14:paraId="5B4209EF">
      <w:pPr>
        <w:spacing w:before="28" w:line="242" w:lineRule="auto"/>
        <w:ind w:left="5114" w:right="3538" w:hanging="1565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  <w:lang w:eastAsia="zh-CN"/>
        </w:rPr>
        <w:t>五矿新能源材料（湖南）股份有限公司</w:t>
      </w:r>
      <w:r>
        <w:rPr>
          <w:rFonts w:ascii="宋体" w:hAnsi="宋体" w:eastAsia="宋体" w:cs="宋体"/>
          <w:spacing w:val="8"/>
          <w:sz w:val="24"/>
          <w:szCs w:val="24"/>
          <w:lang w:eastAsia="zh-CN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4"/>
          <w:szCs w:val="24"/>
          <w:lang w:eastAsia="zh-CN"/>
        </w:rPr>
        <w:t>调研名单</w:t>
      </w:r>
    </w:p>
    <w:p w14:paraId="6D4194CA">
      <w:pPr>
        <w:spacing w:before="26"/>
        <w:rPr>
          <w:lang w:eastAsia="zh-CN"/>
        </w:rPr>
      </w:pP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4396"/>
        <w:gridCol w:w="597"/>
        <w:gridCol w:w="5699"/>
      </w:tblGrid>
      <w:tr w14:paraId="677A8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A0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0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安联保险资产管理有限公司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B4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D19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南华基金管理有限公司</w:t>
            </w:r>
          </w:p>
        </w:tc>
      </w:tr>
      <w:tr w14:paraId="030ED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A6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6A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北京乾创投资管理有限公司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5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3C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南京盈怀私募基金管理有限公司</w:t>
            </w:r>
          </w:p>
        </w:tc>
      </w:tr>
      <w:tr w14:paraId="7953C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A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4C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北京容光私募基金管理合伙企业(有限合伙)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CA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8E3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青骊投资管理(上海)有限公司</w:t>
            </w:r>
          </w:p>
        </w:tc>
      </w:tr>
      <w:tr w14:paraId="76414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89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A7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渤海人寿保险股份有限公司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EA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80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厦门象屿金象控股集团有限公司</w:t>
            </w:r>
          </w:p>
        </w:tc>
      </w:tr>
      <w:tr w14:paraId="7FA02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45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9C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成都合众易晟投资管理有限公司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E8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F7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上海禾升投资管理有限公司</w:t>
            </w:r>
          </w:p>
        </w:tc>
      </w:tr>
      <w:tr w14:paraId="4CBDC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0F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E9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东方证券股份有限公司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D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72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上海虹桥经济技术开发区联合发展有限公司</w:t>
            </w:r>
          </w:p>
        </w:tc>
      </w:tr>
      <w:tr w14:paraId="4A231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F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5D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东吴证券股份有限公司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A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A3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上海汇正财经顾问有限公司</w:t>
            </w:r>
          </w:p>
        </w:tc>
      </w:tr>
      <w:tr w14:paraId="0237D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9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4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东证融汇证券资产管理有限公司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F88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6C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上海嘉世私募基金管理有限公司</w:t>
            </w:r>
          </w:p>
        </w:tc>
      </w:tr>
      <w:tr w14:paraId="3203B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9A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D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光大保德信基金管理有限公司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91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94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上海犁得尔私募基金管理有限公司</w:t>
            </w:r>
          </w:p>
        </w:tc>
      </w:tr>
      <w:tr w14:paraId="7C92A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D0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0C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光大证券股份有限公司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C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B2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上海森锦投资管理有限公司</w:t>
            </w:r>
          </w:p>
        </w:tc>
      </w:tr>
      <w:tr w14:paraId="43190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C2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E0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广州市航长投资管理有限公司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0C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BB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上海申银万国证券研究所有限公司</w:t>
            </w:r>
          </w:p>
        </w:tc>
      </w:tr>
      <w:tr w14:paraId="2E795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E3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7B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国海证券股份有限公司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9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E3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上海益和源资产管理有限公司</w:t>
            </w:r>
          </w:p>
        </w:tc>
      </w:tr>
      <w:tr w14:paraId="0F308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6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A2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国金证券股份有限公司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77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C4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深圳市鲲鹏恒隆投资有限公司</w:t>
            </w:r>
          </w:p>
        </w:tc>
      </w:tr>
      <w:tr w14:paraId="604A5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43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F3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国盛证券有限责任公司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F0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6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深圳市尚诚资产管理有限责任公司</w:t>
            </w:r>
          </w:p>
        </w:tc>
      </w:tr>
      <w:tr w14:paraId="3D14B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E6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1B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国泰海通证券股份有限公司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88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D8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太平洋证券股份有限公司</w:t>
            </w:r>
          </w:p>
        </w:tc>
      </w:tr>
      <w:tr w14:paraId="1C0BA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57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BF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国泰基金管理有限公司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3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21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太平洋资产管理有限责任公司</w:t>
            </w:r>
          </w:p>
        </w:tc>
      </w:tr>
      <w:tr w14:paraId="405C5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2A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56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国信证券股份有限公司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11F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2D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天风证券股份有限公司</w:t>
            </w:r>
          </w:p>
        </w:tc>
      </w:tr>
      <w:tr w14:paraId="19C70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405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475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海通国际证券集团有限公司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C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14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西安江岳私募基金管理有限公司</w:t>
            </w:r>
          </w:p>
        </w:tc>
      </w:tr>
      <w:tr w14:paraId="2E359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4E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31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荷荷(北京)私募基金管理有限公司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47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12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兴业证券股份有限公司</w:t>
            </w:r>
          </w:p>
        </w:tc>
      </w:tr>
      <w:tr w14:paraId="4CB41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0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7D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鸿运私募基金管理(海南)有限公司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D7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59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长城基金管理有限公司</w:t>
            </w:r>
          </w:p>
        </w:tc>
      </w:tr>
      <w:tr w14:paraId="2F71F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E9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B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花旗环球金融亚洲有限公司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DB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21C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长江证券股份有限公司</w:t>
            </w:r>
          </w:p>
        </w:tc>
      </w:tr>
      <w:tr w14:paraId="66F02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8D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1A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华安基金管理有限公司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1E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CB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中国国际金融股份有限公司</w:t>
            </w:r>
          </w:p>
        </w:tc>
      </w:tr>
      <w:tr w14:paraId="39399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43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19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华创证券有限责任公司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D7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70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</w:tr>
      <w:tr w14:paraId="24645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BF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B9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华福证券股份有限公司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99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7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中信建投(国际)金融控股有限公司</w:t>
            </w:r>
          </w:p>
        </w:tc>
      </w:tr>
      <w:tr w14:paraId="5CBB7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0A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1A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华西证券股份有限公司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97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6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中信证券股份有限公司</w:t>
            </w:r>
          </w:p>
        </w:tc>
      </w:tr>
      <w:tr w14:paraId="37208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E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D8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汇丰晋信基金管理有限公司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4F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98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中银国际证券股份有限公司</w:t>
            </w:r>
          </w:p>
        </w:tc>
      </w:tr>
      <w:tr w14:paraId="34773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8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DC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汇华理财有限公司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3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B0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中银基金管理有限公司</w:t>
            </w:r>
          </w:p>
        </w:tc>
      </w:tr>
      <w:tr w14:paraId="410AE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0F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FFA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开源证券股份有限公司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1E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6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中邮人寿保险股份有限公司</w:t>
            </w:r>
          </w:p>
        </w:tc>
      </w:tr>
      <w:tr w14:paraId="426A7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CC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22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陆家嘴国泰人寿保险有限责任公司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55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20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TOPAZ FAMILY OFFICE LIMITED</w:t>
            </w:r>
          </w:p>
        </w:tc>
      </w:tr>
    </w:tbl>
    <w:p w14:paraId="474567D8">
      <w:pPr>
        <w:rPr>
          <w:lang w:eastAsia="zh-CN"/>
        </w:rPr>
      </w:pPr>
      <w:bookmarkStart w:id="0" w:name="_GoBack"/>
      <w:bookmarkEnd w:id="0"/>
    </w:p>
    <w:sectPr>
      <w:pgSz w:w="11906" w:h="16839"/>
      <w:pgMar w:top="1429" w:right="368" w:bottom="1247" w:left="368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attachedTemplate r:id="rId1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22D"/>
    <w:rsid w:val="00206F04"/>
    <w:rsid w:val="002F26DF"/>
    <w:rsid w:val="003259C5"/>
    <w:rsid w:val="00374BDB"/>
    <w:rsid w:val="00513B96"/>
    <w:rsid w:val="00573148"/>
    <w:rsid w:val="00685BF1"/>
    <w:rsid w:val="008F0A3C"/>
    <w:rsid w:val="009A4EC7"/>
    <w:rsid w:val="009F0CE9"/>
    <w:rsid w:val="00A3322D"/>
    <w:rsid w:val="00BC7FF4"/>
    <w:rsid w:val="00C23098"/>
    <w:rsid w:val="00F558CC"/>
    <w:rsid w:val="00FE2CBE"/>
    <w:rsid w:val="067F52D3"/>
    <w:rsid w:val="21583AD7"/>
    <w:rsid w:val="21C85A4E"/>
    <w:rsid w:val="2511735F"/>
    <w:rsid w:val="26AC6C6E"/>
    <w:rsid w:val="30B74FFE"/>
    <w:rsid w:val="332035B5"/>
    <w:rsid w:val="50937899"/>
    <w:rsid w:val="518D6372"/>
    <w:rsid w:val="5D050348"/>
    <w:rsid w:val="5FCF204C"/>
    <w:rsid w:val="6E922B9D"/>
    <w:rsid w:val="7055204A"/>
    <w:rsid w:val="7CBD3B42"/>
    <w:rsid w:val="7F8D70B3"/>
    <w:rsid w:val="7FFDA825"/>
    <w:rsid w:val="BCAFCF48"/>
    <w:rsid w:val="BE65492A"/>
    <w:rsid w:val="DFEF2CC7"/>
    <w:rsid w:val="F5D6A58C"/>
    <w:rsid w:val="FA2F8271"/>
    <w:rsid w:val="FBBA5885"/>
    <w:rsid w:val="FF79C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table" w:styleId="6">
    <w:name w:val="Table Grid"/>
    <w:basedOn w:val="5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character" w:customStyle="1" w:styleId="10">
    <w:name w:val="页眉 字符"/>
    <w:basedOn w:val="7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1">
    <w:name w:val="页脚 字符"/>
    <w:basedOn w:val="7"/>
    <w:link w:val="2"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office6\templates\wps\zh_CN\SSEReport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6b292b70-bae4-47d2-b705-d5878d6d9383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65DCE4A6</paraID>
      <start>0</start>
      <end>2</end>
      <status>unmodified</status>
      <modifiedWord/>
      <trackRevisions>false</trackRevisions>
    </reviewItem>
    <reviewItem>
      <errorID>a92ad2da-b7c7-4c77-806a-958937b76a6e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2861BAF3</paraID>
      <start>0</start>
      <end>2</end>
      <status>unmodified</status>
      <modifiedWord/>
      <trackRevisions>false</trackRevisions>
    </reviewItem>
    <reviewItem>
      <errorID>cbbd3380-7f6f-4a75-a8cd-298c8e0d66ad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21FE8F6C</paraID>
      <start>0</start>
      <end>2</end>
      <status>unmodified</status>
      <modifiedWord/>
      <trackRevisions>false</trackRevisions>
    </reviewItem>
    <reviewItem>
      <errorID>36711022-09b1-4d32-86cd-0d6dae6a76cc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62BF27D7</paraID>
      <start>0</start>
      <end>2</end>
      <status>unmodified</status>
      <modifiedWord/>
      <trackRevisions>false</trackRevisions>
    </reviewItem>
    <reviewItem>
      <errorID>b5785011-b2f4-44f4-92bf-159650490d3b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279BDF5E</paraID>
      <start>0</start>
      <end>2</end>
      <status>unmodified</status>
      <modifiedWord/>
      <trackRevisions>false</trackRevisions>
    </reviewItem>
    <reviewItem>
      <errorID>0892ae09-3288-404f-ab63-c952016e88a9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1310EFEC</paraID>
      <start>0</start>
      <end>2</end>
      <status>unmodified</status>
      <modifiedWord/>
      <trackRevisions>false</trackRevisions>
    </reviewItem>
    <reviewItem>
      <errorID>914a7b81-1487-4465-a9de-bdca7eee0a9a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3B68E629</paraID>
      <start>0</start>
      <end>2</end>
      <status>unmodified</status>
      <modifiedWord/>
      <trackRevisions>false</trackRevisions>
    </reviewItem>
    <reviewItem>
      <errorID>40bec210-7465-4190-9853-ed28f4485dd6</errorID>
      <errorWord>战略新兴产业</errorWord>
      <group>L1_Political</group>
      <groupName>政治性问题</groupName>
      <ability>L2_Keyword</ability>
      <abilityName>固定表述</abilityName>
      <candidateList>
        <item>战略性新兴产业</item>
      </candidateList>
      <explain>词汇“战略性新兴产业”在特定场景下为固定表述形式，请确认此处的“战略新兴产业”是否存在不当。</explain>
      <paraID>153ABF56</paraID>
      <start>28</start>
      <end>34</end>
      <status>unmodified</status>
      <modifiedWord/>
      <trackRevisions>false</trackRevisions>
    </reviewItem>
    <reviewItem>
      <errorID>f7347e3c-9957-4f96-9b53-a7d8d5394a70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B6EAD60</paraID>
      <start>0</start>
      <end>2</end>
      <status>unmodified</status>
      <modifiedWord/>
      <trackRevisions>false</trackRevisions>
    </reviewItem>
    <reviewItem>
      <errorID>a7506dbe-817f-4fb5-abfa-f72d5bbd6ed2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342D73D0</paraID>
      <start>0</start>
      <end>2</end>
      <status>unmodified</status>
      <modifiedWord/>
      <trackRevisions>false</trackRevisions>
    </reviewItem>
    <reviewItem>
      <errorID>edff412e-0528-487b-907a-57aee88a5d2a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37F75C8E</paraID>
      <start>7</start>
      <end>8</end>
      <status>unmodified</status>
      <modifiedWord/>
      <trackRevisions>false</trackRevisions>
    </reviewItem>
    <reviewItem>
      <errorID>21e67f27-79fb-4645-8d06-a710a5edb67e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37F75C8E</paraID>
      <start>10</start>
      <end>11</end>
      <status>unmodified</status>
      <modifiedWord/>
      <trackRevisions>false</trackRevisions>
    </reviewItem>
    <reviewItem>
      <errorID>e8c4165e-9311-43fc-97e8-8c8f29609c2d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65A495A4</paraID>
      <start>4</start>
      <end>5</end>
      <status>unmodified</status>
      <modifiedWord/>
      <trackRevisions>false</trackRevisions>
    </reviewItem>
    <reviewItem>
      <errorID>43bad075-4182-48ce-b485-b6a2a25127cf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65A495A4</paraID>
      <start>7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425960c-9947-4754-b576-934ca28789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SSEReport.dotm</Template>
  <Pages>5</Pages>
  <Words>2332</Words>
  <Characters>2416</Characters>
  <Lines>25</Lines>
  <Paragraphs>7</Paragraphs>
  <TotalTime>59</TotalTime>
  <ScaleCrop>false</ScaleCrop>
  <LinksUpToDate>false</LinksUpToDate>
  <CharactersWithSpaces>2499</CharactersWithSpaces>
  <Application>WPS Office_12.9.0.21221_F1E327BC-269C-435d-A152-05C5408002CA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2026-08-20T11:04:00Z</dcterms:created>
  <dc:creator>徐延青</dc:creator>
  <cp:lastModifiedBy>李秋墨</cp:lastModifiedBy>
  <dcterms:modified xsi:type="dcterms:W3CDTF">2026-08-21T02:28:21Z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2025-08-25T11:48:16Z</vt:filetime>
  </property>
  <property fmtid="{D5CDD505-2E9C-101B-9397-08002B2CF9AE}" pid="4" name="KSOTemplateDocerSaveRecord">
    <vt:lpwstr>eyJoZGlkIjoiYjAzNmRlMTI4ZWE2YjliY2Q1MGRjOTQ2YTViYWUxNGIiLCJ1c2VySWQiOiI0Mzk1ODg5MjEifQ==</vt:lpwstr>
  </property>
  <property fmtid="{D5CDD505-2E9C-101B-9397-08002B2CF9AE}" pid="5" name="KSOProductBuildVer">
    <vt:lpwstr>2052-12.9.0.21221</vt:lpwstr>
  </property>
  <property fmtid="{D5CDD505-2E9C-101B-9397-08002B2CF9AE}" pid="6" name="ICV">
    <vt:lpwstr>451D11AD883C4DE7B9C4AE55BB3F6048</vt:lpwstr>
  </property>
</Properties>
</file>