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792AC">
      <w:pPr>
        <w:widowControl/>
        <w:spacing w:after="220" w:line="259" w:lineRule="auto"/>
        <w:jc w:val="left"/>
        <w:rPr>
          <w:rFonts w:hint="eastAsia" w:ascii="Calibri" w:hAnsi="Calibri" w:eastAsia="宋体" w:cs="Calibri"/>
          <w:color w:val="000000"/>
          <w:sz w:val="22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</w:rPr>
        <w:t>证券代码：</w:t>
      </w:r>
      <w:r>
        <w:rPr>
          <w:rFonts w:ascii="宋体" w:hAnsi="宋体" w:eastAsia="宋体" w:cs="宋体"/>
          <w:b/>
          <w:color w:val="000000"/>
          <w:sz w:val="24"/>
        </w:rPr>
        <w:t xml:space="preserve">688212    </w:t>
      </w:r>
      <w:r>
        <w:rPr>
          <w:rFonts w:hint="eastAsia" w:ascii="宋体" w:hAnsi="宋体" w:eastAsia="宋体" w:cs="宋体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 xml:space="preserve">     </w:t>
      </w:r>
      <w:r>
        <w:rPr>
          <w:rFonts w:hint="eastAsia" w:ascii="宋体" w:hAnsi="宋体" w:eastAsia="宋体" w:cs="宋体"/>
          <w:b/>
          <w:color w:val="000000"/>
          <w:sz w:val="24"/>
        </w:rPr>
        <w:t>证券简称：澳华内镜</w:t>
      </w:r>
      <w:r>
        <w:rPr>
          <w:rFonts w:ascii="宋体" w:hAnsi="宋体" w:eastAsia="宋体" w:cs="宋体"/>
          <w:b/>
          <w:color w:val="000000"/>
          <w:sz w:val="24"/>
        </w:rPr>
        <w:t xml:space="preserve">          </w:t>
      </w:r>
      <w:r>
        <w:rPr>
          <w:rFonts w:hint="eastAsia" w:ascii="宋体" w:hAnsi="宋体" w:eastAsia="宋体" w:cs="宋体"/>
          <w:b/>
          <w:color w:val="000000"/>
          <w:sz w:val="24"/>
        </w:rPr>
        <w:t>编号：</w:t>
      </w:r>
      <w:r>
        <w:rPr>
          <w:rFonts w:ascii="宋体" w:hAnsi="宋体" w:eastAsia="宋体" w:cs="宋体"/>
          <w:b/>
          <w:color w:val="000000"/>
          <w:sz w:val="24"/>
        </w:rPr>
        <w:t>202</w:t>
      </w:r>
      <w:r>
        <w:rPr>
          <w:rFonts w:hint="eastAsia" w:ascii="宋体" w:hAnsi="宋体" w:eastAsia="宋体" w:cs="宋体"/>
          <w:b/>
          <w:color w:val="000000"/>
          <w:sz w:val="24"/>
        </w:rPr>
        <w:t>6-00</w:t>
      </w:r>
      <w:r>
        <w:rPr>
          <w:rFonts w:hint="eastAsia" w:ascii="宋体" w:hAnsi="宋体" w:eastAsia="宋体" w:cs="宋体"/>
          <w:b/>
          <w:color w:val="000000"/>
          <w:sz w:val="24"/>
          <w:lang w:val="en-US" w:eastAsia="zh-CN"/>
        </w:rPr>
        <w:t>4</w:t>
      </w:r>
    </w:p>
    <w:p w14:paraId="1242789A">
      <w:pPr>
        <w:widowControl/>
        <w:spacing w:line="259" w:lineRule="auto"/>
        <w:jc w:val="center"/>
        <w:rPr>
          <w:rFonts w:hint="eastAsia" w:ascii="宋体" w:hAnsi="宋体" w:eastAsia="宋体" w:cs="宋体"/>
          <w:b/>
          <w:color w:val="000000"/>
          <w:sz w:val="32"/>
        </w:rPr>
      </w:pPr>
      <w:r>
        <w:rPr>
          <w:rFonts w:hint="eastAsia" w:ascii="宋体" w:hAnsi="宋体" w:eastAsia="宋体" w:cs="宋体"/>
          <w:b/>
          <w:color w:val="000000"/>
          <w:sz w:val="32"/>
        </w:rPr>
        <w:t>上海澳华内镜股份有限公司</w:t>
      </w:r>
    </w:p>
    <w:p w14:paraId="79E2ABA2">
      <w:pPr>
        <w:widowControl/>
        <w:spacing w:line="259" w:lineRule="auto"/>
        <w:jc w:val="center"/>
        <w:rPr>
          <w:rFonts w:hint="eastAsia" w:ascii="宋体" w:hAnsi="宋体" w:eastAsia="宋体" w:cs="宋体"/>
          <w:b/>
          <w:color w:val="000000"/>
          <w:sz w:val="32"/>
        </w:rPr>
      </w:pPr>
      <w:r>
        <w:rPr>
          <w:rFonts w:hint="eastAsia" w:ascii="宋体" w:hAnsi="宋体" w:eastAsia="宋体" w:cs="宋体"/>
          <w:b/>
          <w:color w:val="000000"/>
          <w:sz w:val="32"/>
        </w:rPr>
        <w:t>投资者关系活动记录表</w:t>
      </w:r>
    </w:p>
    <w:p w14:paraId="07DF519A">
      <w:pPr>
        <w:widowControl/>
        <w:spacing w:line="259" w:lineRule="auto"/>
        <w:ind w:left="1179" w:right="105"/>
        <w:jc w:val="right"/>
        <w:rPr>
          <w:rFonts w:ascii="Calibri" w:hAnsi="Calibri" w:eastAsia="Times New Roman" w:cs="Calibri"/>
          <w:color w:val="000000"/>
          <w:sz w:val="22"/>
        </w:rPr>
      </w:pPr>
    </w:p>
    <w:tbl>
      <w:tblPr>
        <w:tblStyle w:val="20"/>
        <w:tblW w:w="9976" w:type="dxa"/>
        <w:tblInd w:w="-744" w:type="dxa"/>
        <w:tblLayout w:type="autofit"/>
        <w:tblCellMar>
          <w:top w:w="0" w:type="dxa"/>
          <w:left w:w="108" w:type="dxa"/>
          <w:bottom w:w="41" w:type="dxa"/>
          <w:right w:w="0" w:type="dxa"/>
        </w:tblCellMar>
      </w:tblPr>
      <w:tblGrid>
        <w:gridCol w:w="1448"/>
        <w:gridCol w:w="8528"/>
      </w:tblGrid>
      <w:tr w14:paraId="1F36D6CE">
        <w:tblPrEx>
          <w:tblCellMar>
            <w:top w:w="0" w:type="dxa"/>
            <w:left w:w="108" w:type="dxa"/>
            <w:bottom w:w="41" w:type="dxa"/>
            <w:right w:w="0" w:type="dxa"/>
          </w:tblCellMar>
        </w:tblPrEx>
        <w:trPr>
          <w:trHeight w:val="2413" w:hRule="atLeast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A3C37"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Calibri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投资者关系活动类别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3F4D775">
            <w:pPr>
              <w:widowControl/>
              <w:snapToGrid w:val="0"/>
              <w:spacing w:line="360" w:lineRule="auto"/>
              <w:jc w:val="left"/>
              <w:rPr>
                <w:rFonts w:hint="eastAsia" w:ascii="宋体" w:hAnsi="宋体" w:eastAsia="宋体" w:cs="Calibri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特定对象调研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       □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分析师会议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</w:p>
          <w:p w14:paraId="22FA764D">
            <w:pPr>
              <w:widowControl/>
              <w:snapToGrid w:val="0"/>
              <w:spacing w:line="360" w:lineRule="auto"/>
              <w:jc w:val="left"/>
              <w:rPr>
                <w:rFonts w:hint="eastAsia" w:ascii="宋体" w:hAnsi="宋体" w:eastAsia="宋体" w:cs="Calibri"/>
                <w:color w:val="000000"/>
                <w:sz w:val="24"/>
                <w:szCs w:val="24"/>
              </w:rPr>
            </w:pPr>
            <w:bookmarkStart w:id="0" w:name="OLE_LINK1"/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□</w:t>
            </w:r>
            <w:bookmarkEnd w:id="0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媒体采访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业绩说明会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</w:p>
          <w:p w14:paraId="7D9936CB">
            <w:pPr>
              <w:widowControl/>
              <w:snapToGrid w:val="0"/>
              <w:spacing w:line="360" w:lineRule="auto"/>
              <w:jc w:val="left"/>
              <w:rPr>
                <w:rFonts w:hint="eastAsia" w:ascii="宋体" w:hAnsi="宋体" w:eastAsia="宋体" w:cs="Calibri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新闻发布会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路演活动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</w:p>
          <w:p w14:paraId="79D80D3E">
            <w:pPr>
              <w:widowControl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现场参观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一对一沟通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</w:p>
          <w:p w14:paraId="7080FB55">
            <w:pPr>
              <w:widowControl/>
              <w:snapToGrid w:val="0"/>
              <w:spacing w:line="360" w:lineRule="auto"/>
              <w:jc w:val="left"/>
              <w:rPr>
                <w:rFonts w:hint="eastAsia" w:ascii="宋体" w:hAnsi="宋体" w:eastAsia="宋体" w:cs="Calibri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券商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策略会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</w:t>
            </w:r>
          </w:p>
        </w:tc>
      </w:tr>
      <w:tr w14:paraId="319CB051">
        <w:tblPrEx>
          <w:tblCellMar>
            <w:top w:w="0" w:type="dxa"/>
            <w:left w:w="108" w:type="dxa"/>
            <w:bottom w:w="41" w:type="dxa"/>
            <w:right w:w="0" w:type="dxa"/>
          </w:tblCellMar>
        </w:tblPrEx>
        <w:trPr>
          <w:trHeight w:val="564" w:hRule="atLeast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B581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参与单位及人员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FD149"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Calibri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Calibri"/>
                <w:color w:val="000000"/>
                <w:sz w:val="24"/>
                <w:szCs w:val="24"/>
              </w:rPr>
              <w:t>见附件</w:t>
            </w:r>
          </w:p>
        </w:tc>
      </w:tr>
      <w:tr w14:paraId="784B3D55">
        <w:tblPrEx>
          <w:tblCellMar>
            <w:top w:w="0" w:type="dxa"/>
            <w:left w:w="108" w:type="dxa"/>
            <w:bottom w:w="41" w:type="dxa"/>
            <w:right w:w="0" w:type="dxa"/>
          </w:tblCellMar>
        </w:tblPrEx>
        <w:trPr>
          <w:trHeight w:val="342" w:hRule="atLeast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4E24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会议时间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88E63">
            <w:pPr>
              <w:widowControl/>
              <w:snapToGrid w:val="0"/>
              <w:jc w:val="center"/>
              <w:rPr>
                <w:rFonts w:hint="default" w:ascii="宋体" w:hAnsi="宋体" w:eastAsia="宋体" w:cs="Times New Roman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333333"/>
                <w:sz w:val="24"/>
                <w:szCs w:val="24"/>
                <w:shd w:val="clear" w:color="auto" w:fill="FFFFFF"/>
              </w:rPr>
              <w:t>2026年</w:t>
            </w:r>
            <w:r>
              <w:rPr>
                <w:rFonts w:hint="eastAsia" w:ascii="宋体" w:hAnsi="宋体" w:eastAsia="宋体" w:cs="Times New Roman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333333"/>
                <w:sz w:val="24"/>
                <w:szCs w:val="24"/>
                <w:shd w:val="clear" w:color="auto" w:fill="FFFFFF"/>
              </w:rPr>
              <w:t>月</w:t>
            </w:r>
            <w:r>
              <w:rPr>
                <w:rFonts w:hint="eastAsia" w:ascii="宋体" w:hAnsi="宋体" w:eastAsia="宋体" w:cs="Times New Roman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20</w:t>
            </w:r>
            <w:r>
              <w:rPr>
                <w:rFonts w:hint="eastAsia" w:ascii="宋体" w:hAnsi="宋体" w:eastAsia="宋体" w:cs="Times New Roman"/>
                <w:color w:val="333333"/>
                <w:sz w:val="24"/>
                <w:szCs w:val="24"/>
                <w:shd w:val="clear" w:color="auto" w:fill="FFFFFF"/>
              </w:rPr>
              <w:t>日</w:t>
            </w:r>
            <w:r>
              <w:rPr>
                <w:rFonts w:hint="eastAsia" w:ascii="宋体" w:hAnsi="宋体" w:eastAsia="宋体" w:cs="Times New Roman"/>
                <w:color w:val="333333"/>
                <w:sz w:val="24"/>
                <w:szCs w:val="24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8月21日</w:t>
            </w:r>
          </w:p>
        </w:tc>
      </w:tr>
      <w:tr w14:paraId="10E866F2">
        <w:tblPrEx>
          <w:tblCellMar>
            <w:top w:w="0" w:type="dxa"/>
            <w:left w:w="108" w:type="dxa"/>
            <w:bottom w:w="41" w:type="dxa"/>
            <w:right w:w="0" w:type="dxa"/>
          </w:tblCellMar>
        </w:tblPrEx>
        <w:trPr>
          <w:trHeight w:val="490" w:hRule="atLeast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CF01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C01A8">
            <w:pPr>
              <w:widowControl/>
              <w:snapToGrid w:val="0"/>
              <w:jc w:val="center"/>
              <w:rPr>
                <w:rFonts w:hint="default" w:ascii="宋体" w:hAnsi="宋体" w:eastAsia="宋体" w:cs="Calibri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000000"/>
                <w:sz w:val="24"/>
                <w:szCs w:val="24"/>
                <w:lang w:val="en-US" w:eastAsia="zh-CN"/>
              </w:rPr>
              <w:t>线上电话会议、现场沟通</w:t>
            </w:r>
          </w:p>
        </w:tc>
      </w:tr>
      <w:tr w14:paraId="04C33F46">
        <w:tblPrEx>
          <w:tblCellMar>
            <w:top w:w="0" w:type="dxa"/>
            <w:left w:w="108" w:type="dxa"/>
            <w:bottom w:w="41" w:type="dxa"/>
            <w:right w:w="0" w:type="dxa"/>
          </w:tblCellMar>
        </w:tblPrEx>
        <w:trPr>
          <w:trHeight w:val="490" w:hRule="atLeast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20E6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接待人员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E8F7B">
            <w:pPr>
              <w:widowControl/>
              <w:snapToGrid w:val="0"/>
              <w:jc w:val="center"/>
              <w:rPr>
                <w:rFonts w:hint="default" w:ascii="宋体" w:hAnsi="宋体" w:eastAsia="宋体" w:cs="Calibri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000000"/>
                <w:sz w:val="24"/>
                <w:szCs w:val="24"/>
              </w:rPr>
              <w:t>董事会秘书 施晓江</w:t>
            </w:r>
            <w:r>
              <w:rPr>
                <w:rFonts w:hint="eastAsia" w:ascii="宋体" w:hAnsi="宋体" w:eastAsia="宋体" w:cs="Calibri"/>
                <w:color w:val="000000"/>
                <w:sz w:val="24"/>
                <w:szCs w:val="24"/>
                <w:lang w:val="en-US" w:eastAsia="zh-CN"/>
              </w:rPr>
              <w:t xml:space="preserve">   投关IR 段越</w:t>
            </w:r>
          </w:p>
        </w:tc>
      </w:tr>
      <w:tr w14:paraId="3DC70B67">
        <w:tblPrEx>
          <w:tblCellMar>
            <w:top w:w="0" w:type="dxa"/>
            <w:left w:w="108" w:type="dxa"/>
            <w:bottom w:w="41" w:type="dxa"/>
            <w:right w:w="0" w:type="dxa"/>
          </w:tblCellMar>
        </w:tblPrEx>
        <w:trPr>
          <w:trHeight w:val="490" w:hRule="atLeast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F0EE2">
            <w:pPr>
              <w:widowControl/>
              <w:snapToGrid w:val="0"/>
              <w:spacing w:before="240" w:line="360" w:lineRule="auto"/>
              <w:ind w:right="11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投资者关系活动主要内容介绍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B75D7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第一部分：2026年上半年经营情况</w:t>
            </w:r>
          </w:p>
          <w:p w14:paraId="5E1DF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公司2026年上半年实现营业收入2.79亿元，同比增长7.37%；归属于上市公司股东净利润-8,561.96万。费用端上，上半年销售费用1.23亿，占营业收入的比例为43.94%，同比提升5.43%；研发费用为7,040.52万，占营业收入的比例为25.19%，同比降低3.16%。经营性现金流较上年同期有所好转，主要系公司收紧账期，加大催收力度的结果。</w:t>
            </w:r>
          </w:p>
          <w:p w14:paraId="3E068B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both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0BC47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第二部分：问答环节</w:t>
            </w:r>
          </w:p>
          <w:p w14:paraId="13D422B6">
            <w:pPr>
              <w:pStyle w:val="10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00" w:lineRule="auto"/>
              <w:ind w:firstLine="482" w:firstLineChars="200"/>
              <w:jc w:val="both"/>
              <w:textAlignment w:val="auto"/>
              <w:rPr>
                <w:rFonts w:hint="default" w:cs="Times New Roman"/>
                <w:b/>
                <w:bCs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lang w:val="en-US" w:eastAsia="zh-CN"/>
              </w:rPr>
              <w:t>1、ERCP手术机器人最新的进展？预计上市的时间？</w:t>
            </w:r>
          </w:p>
          <w:p w14:paraId="599113AA">
            <w:pPr>
              <w:pStyle w:val="10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0" w:firstLineChars="200"/>
              <w:jc w:val="both"/>
              <w:textAlignment w:val="auto"/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公司新产品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ERCP手术机器人在今年5月获准进入国家药监局的“创新医疗器械特别审查程序”，</w:t>
            </w:r>
            <w:r>
              <w:rPr>
                <w:rFonts w:ascii="sans-serif" w:hAnsi="sans-serif" w:eastAsia="sans-serif" w:cs="sans-serif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公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zh-CN" w:bidi="ar-SA"/>
              </w:rPr>
              <w:t>司深度参与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E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zh-CN" w:bidi="ar-SA"/>
              </w:rPr>
              <w:t>ndoscopy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zh-CN" w:bidi="ar-SA"/>
              </w:rPr>
              <w:t>On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zh-CN" w:bidi="ar-SA"/>
              </w:rPr>
              <w:t>Air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zh-CN" w:bidi="ar-SA"/>
              </w:rPr>
              <w:t>Global全球消化内镜实时直播大会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default" w:cs="Times New Roman"/>
                <w:kern w:val="0"/>
                <w:sz w:val="24"/>
                <w:szCs w:val="24"/>
                <w:lang w:val="en-US" w:eastAsia="zh-CN" w:bidi="ar-SA"/>
              </w:rPr>
              <w:t>携手南京鼓楼医院同步展示ERCP手术机器人实操应用，充分验证国产软镜手术机器人的技术突破性与临床可靠性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。</w:t>
            </w:r>
          </w:p>
          <w:p w14:paraId="2979491C">
            <w:pPr>
              <w:pStyle w:val="10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注册进展方面，国内在南京鼓楼、山东齐鲁、无锡人民、南昌一附等医院同步开展全球多中心临床，目前已完成近100例，预计2026年Q4完成注册临床并正式进入申报阶段，2027年Q3左右预计取得国内注册证；海外认证方面，CE证及FDA证也在同步推进，助力公司实现真正意义上的全球化。商业化方面，公司目前已经同步推进，逐步开展进院工作，整体进展顺利。</w:t>
            </w:r>
          </w:p>
          <w:p w14:paraId="3F37FDDC">
            <w:pPr>
              <w:pStyle w:val="10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00" w:lineRule="auto"/>
              <w:ind w:firstLine="482" w:firstLineChars="200"/>
              <w:jc w:val="both"/>
              <w:textAlignment w:val="auto"/>
              <w:rPr>
                <w:rFonts w:hint="default" w:cs="Times New Roman"/>
                <w:b/>
                <w:bCs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lang w:val="en-US" w:eastAsia="zh-CN"/>
              </w:rPr>
              <w:t>2、医院终端对AQ-400的反馈怎么样？国内外AQ-400的放量节奏怎么样？</w:t>
            </w:r>
          </w:p>
          <w:p w14:paraId="2F60A1D8">
            <w:pPr>
              <w:pStyle w:val="10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Q-400相比AQ-300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整体清晰度提高，结合300放大镜，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可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进一步助力早癌筛查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。同时，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中远景亮度明显提高，让医生检查更高效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，医院端反馈较好。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国内AQ-400在逐步放量，海外也同步实现销售。欧洲地区已拿证，ROW地区还在陆续拿证。AQ-400医院认可度较高，其3D/2D切换、双目视角、精准测量等功能具有较大临床价值，可以助力诊疗的精准度的提升。</w:t>
            </w:r>
          </w:p>
          <w:p w14:paraId="5CC7BC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3、医生终端对新产品ERCP手术机器人的接受程度？</w:t>
            </w:r>
          </w:p>
          <w:p w14:paraId="018764C3">
            <w:pPr>
              <w:pStyle w:val="10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0" w:firstLineChars="200"/>
              <w:jc w:val="both"/>
              <w:textAlignment w:val="auto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26例注册临床与传统ERCP手术的对照临床结果已在国际期刊Endoscopy上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发表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。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公司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E</w:t>
            </w:r>
            <w:r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RCP手术机器人创新性地通过机械手段替代人手进行ERCP手术操作，实现远程操控。通过减少医护人员在手术过程中的X射线暴露时间，有效降低辐射对健康的潜在危害，同时通过主控平台形成闭环控制，实现精准操控，并借助力反馈机制保障手术安全，是该领域的重要技术突破，处于全球领先水平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。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其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在手术操作安全性、胆管插管成功率与胆总管结石完全清除率上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可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达到ERCP国际质量基准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要求。</w:t>
            </w:r>
          </w:p>
          <w:p w14:paraId="095ECE01">
            <w:pPr>
              <w:pStyle w:val="10"/>
              <w:keepNext w:val="0"/>
              <w:keepLines w:val="0"/>
              <w:pageBreakBefore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2" w:firstLineChars="200"/>
              <w:jc w:val="both"/>
              <w:textAlignment w:val="auto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4、关于ERCP</w:t>
            </w:r>
            <w:r>
              <w:rPr>
                <w:rFonts w:hint="eastAsia"/>
                <w:b/>
                <w:bCs/>
              </w:rPr>
              <w:t>机器人</w:t>
            </w:r>
            <w:r>
              <w:rPr>
                <w:rFonts w:hint="eastAsia"/>
                <w:b/>
                <w:bCs/>
                <w:lang w:eastAsia="zh-CN"/>
              </w:rPr>
              <w:t>，</w:t>
            </w:r>
            <w:r>
              <w:rPr>
                <w:rFonts w:hint="eastAsia"/>
                <w:b/>
                <w:bCs/>
              </w:rPr>
              <w:t>公司是否有相关耗材布局规划</w:t>
            </w:r>
            <w:r>
              <w:rPr>
                <w:rFonts w:hint="eastAsia"/>
                <w:b/>
                <w:bCs/>
                <w:lang w:eastAsia="zh-CN"/>
              </w:rPr>
              <w:t>？</w:t>
            </w:r>
          </w:p>
          <w:p w14:paraId="58D8E6A4">
            <w:pPr>
              <w:pStyle w:val="10"/>
              <w:keepNext w:val="0"/>
              <w:keepLines w:val="0"/>
              <w:pageBreakBefore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0" w:firstLineChars="200"/>
              <w:jc w:val="both"/>
              <w:textAlignment w:val="auto"/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公司ERCP手术机器人正在推进中，相关耗材也在同步研发推进中，后期可关注公司官方渠道消息。</w:t>
            </w:r>
          </w:p>
          <w:p w14:paraId="6A83154D">
            <w:pPr>
              <w:pStyle w:val="10"/>
              <w:keepNext w:val="0"/>
              <w:keepLines w:val="0"/>
              <w:pageBreakBefore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2" w:firstLineChars="200"/>
              <w:jc w:val="both"/>
              <w:textAlignment w:val="auto"/>
              <w:rPr>
                <w:rFonts w:hint="default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  <w:t>5、公司在应收账款、现金流管理方面有什么改善优化措施？资本开支主要是哪些方面？</w:t>
            </w:r>
          </w:p>
          <w:p w14:paraId="62450100">
            <w:pPr>
              <w:pStyle w:val="10"/>
              <w:keepNext w:val="0"/>
              <w:keepLines w:val="0"/>
              <w:pageBreakBefore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2026年半年报的应收账款指标相较2025年已经有所改善，现金流情况也在逐步优化，公司在去库存阶段也在持续夯实财务基础。公司的资本开支在新大楼建设完毕之后，主要落在市场样机和备品的投入，以及部分数字化建设的升级优化和小部分的设备升级改良。</w:t>
            </w:r>
          </w:p>
          <w:p w14:paraId="2CD1F3AF">
            <w:pPr>
              <w:pStyle w:val="10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2" w:firstLineChars="200"/>
              <w:jc w:val="both"/>
              <w:textAlignment w:val="auto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6、软镜目前国内市占率大概多少？目前国内软镜的竞争格局是否发生了变化？</w:t>
            </w:r>
          </w:p>
          <w:p w14:paraId="4A673061">
            <w:pPr>
              <w:pStyle w:val="10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0" w:firstLineChars="200"/>
              <w:jc w:val="both"/>
              <w:textAlignment w:val="auto"/>
              <w:rPr>
                <w:rFonts w:hint="default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软镜的市场占有率可参考第三方统计数据，内软镜赛道近期有新企业入局，但目前竞争格局未发生特别明显变化。软镜属于医生依赖型产品，临床对设备的参数、耐用性、可靠性要求极高，行业壁垒高、发展节奏慢。公司未来会坚持聚焦以消化科、呼吸科相关软镜为核心，同步拓展交叉领域，持续深耕细分赛道，不断提升市场竞争力。</w:t>
            </w:r>
          </w:p>
          <w:p w14:paraId="7C2B0436">
            <w:pPr>
              <w:pStyle w:val="10"/>
              <w:keepNext w:val="0"/>
              <w:keepLines w:val="0"/>
              <w:pageBreakBefore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2" w:firstLineChars="200"/>
              <w:jc w:val="both"/>
              <w:textAlignment w:val="auto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7、公司ERCP机器人从全球和国内维度来看，未来潜在市场空间如何？该产品的推广策略、发展愿景是怎样的？</w:t>
            </w:r>
          </w:p>
          <w:p w14:paraId="37ADE9EE">
            <w:pPr>
              <w:pStyle w:val="10"/>
              <w:keepNext w:val="0"/>
              <w:keepLines w:val="0"/>
              <w:pageBreakBefore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ERCP手术虽然属于相对小众的术式，但年手术量规模较大，若该产品销售情况良好，对应的市场规模可以支撑起当前体量的业务规模。公司希望ERCP机器人能够取代传统ERCP术式，该产品可以极大改善传统ERCP临床痛点，既能够保护医生、降低医生职业负荷与职业风险，还可以降低术式学习曲线，帮助医生更快上手，同时支持远程操作，具备多方面优势。</w:t>
            </w:r>
          </w:p>
          <w:p w14:paraId="0A4F7B61">
            <w:pPr>
              <w:pStyle w:val="10"/>
              <w:keepNext w:val="0"/>
              <w:keepLines w:val="0"/>
              <w:pageBreakBefore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2" w:firstLineChars="200"/>
              <w:jc w:val="both"/>
              <w:textAlignment w:val="auto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8、公司公告的补缴税款事项对公司影响主要有哪些？</w:t>
            </w:r>
          </w:p>
          <w:p w14:paraId="37190521">
            <w:pPr>
              <w:pStyle w:val="10"/>
              <w:keepNext w:val="0"/>
              <w:keepLines w:val="0"/>
              <w:pageBreakBefore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60" w:lineRule="auto"/>
              <w:ind w:firstLine="480" w:firstLineChars="200"/>
              <w:jc w:val="both"/>
              <w:textAlignment w:val="auto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公司补缴税款主要是公</w:t>
            </w:r>
            <w:r>
              <w:rPr>
                <w:rFonts w:hint="default"/>
                <w:b w:val="0"/>
                <w:bCs w:val="0"/>
                <w:lang w:val="en-US" w:eastAsia="zh-CN"/>
              </w:rPr>
              <w:t>司对涉税事项进行自查，完成补缴税款及滞纳金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，补缴事项不涉及行政处罚，对公司主要影响其他收益。</w:t>
            </w:r>
          </w:p>
          <w:p w14:paraId="75B85DED">
            <w:pPr>
              <w:pStyle w:val="10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00" w:lineRule="auto"/>
              <w:ind w:firstLine="482" w:firstLineChars="200"/>
              <w:textAlignment w:val="auto"/>
              <w:rPr>
                <w:rFonts w:hint="eastAsia" w:cs="Times New Roman"/>
                <w:b/>
                <w:bCs/>
              </w:rPr>
            </w:pPr>
            <w:r>
              <w:rPr>
                <w:rFonts w:hint="eastAsia" w:cs="Times New Roman"/>
                <w:b/>
                <w:bCs/>
                <w:lang w:val="en-US" w:eastAsia="zh-CN"/>
              </w:rPr>
              <w:t>9、</w:t>
            </w:r>
            <w:r>
              <w:rPr>
                <w:rFonts w:hint="eastAsia" w:cs="Times New Roman"/>
                <w:b/>
                <w:bCs/>
              </w:rPr>
              <w:t>公司后续研发投入情况如何？有哪些重点研发方向？</w:t>
            </w:r>
          </w:p>
          <w:p w14:paraId="2179AD72">
            <w:pPr>
              <w:pStyle w:val="10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beforeLines="20" w:beforeAutospacing="0" w:after="31" w:afterLines="10" w:afterAutospacing="0" w:line="300" w:lineRule="auto"/>
              <w:ind w:firstLine="480" w:firstLineChars="200"/>
              <w:textAlignment w:val="auto"/>
              <w:rPr>
                <w:rFonts w:hint="eastAsia" w:cs="Times New Roman"/>
              </w:rPr>
            </w:pPr>
            <w:r>
              <w:rPr>
                <w:rFonts w:hint="eastAsia" w:cs="Times New Roman"/>
              </w:rPr>
              <w:t>公司研发将围绕主业布局，重点投入两个核心管线：一是现有深耕的软镜赛道，二是</w:t>
            </w:r>
            <w:r>
              <w:rPr>
                <w:rFonts w:hint="eastAsia" w:cs="Times New Roman"/>
                <w:lang w:val="en-US" w:eastAsia="zh-CN"/>
              </w:rPr>
              <w:t>ERCP手术</w:t>
            </w:r>
            <w:r>
              <w:rPr>
                <w:rFonts w:hint="eastAsia" w:cs="Times New Roman"/>
              </w:rPr>
              <w:t>机器人</w:t>
            </w:r>
            <w:r>
              <w:rPr>
                <w:rFonts w:hint="eastAsia" w:cs="Times New Roman"/>
                <w:lang w:val="en-US" w:eastAsia="zh-CN"/>
              </w:rPr>
              <w:t>相关管线，具体研发情况可以参考公司半年报中的研发项目进度。</w:t>
            </w:r>
          </w:p>
          <w:p w14:paraId="25F03357">
            <w:pPr>
              <w:pStyle w:val="10"/>
              <w:shd w:val="clear" w:color="auto" w:fill="FFFFFF"/>
              <w:spacing w:before="62" w:beforeLines="20" w:beforeAutospacing="0" w:after="31" w:afterLines="10" w:afterAutospacing="0" w:line="300" w:lineRule="auto"/>
              <w:rPr>
                <w:rFonts w:hint="eastAsia" w:cs="Times New Roman"/>
              </w:rPr>
            </w:pPr>
          </w:p>
        </w:tc>
      </w:tr>
      <w:tr w14:paraId="077A8106">
        <w:tblPrEx>
          <w:tblCellMar>
            <w:top w:w="0" w:type="dxa"/>
            <w:left w:w="108" w:type="dxa"/>
            <w:bottom w:w="41" w:type="dxa"/>
            <w:right w:w="0" w:type="dxa"/>
          </w:tblCellMar>
        </w:tblPrEx>
        <w:trPr>
          <w:trHeight w:val="490" w:hRule="atLeast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219F1">
            <w:pPr>
              <w:widowControl/>
              <w:snapToGrid w:val="0"/>
              <w:spacing w:line="276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9FF0D">
            <w:pPr>
              <w:widowControl/>
              <w:snapToGrid w:val="0"/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02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6年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日</w:t>
            </w:r>
          </w:p>
        </w:tc>
      </w:tr>
    </w:tbl>
    <w:p w14:paraId="5BB41FDA">
      <w:pPr>
        <w:widowControl/>
        <w:rPr>
          <w:rFonts w:hint="eastAsia" w:ascii="宋体" w:hAnsi="宋体" w:eastAsia="宋体"/>
          <w:b/>
          <w:bCs/>
          <w:sz w:val="22"/>
          <w:szCs w:val="24"/>
        </w:rPr>
      </w:pPr>
    </w:p>
    <w:p w14:paraId="035BE888">
      <w:pPr>
        <w:widowControl/>
        <w:rPr>
          <w:rFonts w:hint="eastAsia" w:ascii="宋体" w:hAnsi="宋体" w:eastAsia="宋体"/>
          <w:b/>
          <w:bCs/>
          <w:sz w:val="22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1D4D6C5">
      <w:pPr>
        <w:widowControl/>
        <w:rPr>
          <w:rFonts w:hint="eastAsia" w:ascii="宋体" w:hAnsi="宋体" w:eastAsia="宋体"/>
          <w:b/>
          <w:bCs/>
          <w:sz w:val="22"/>
          <w:szCs w:val="24"/>
        </w:rPr>
      </w:pPr>
      <w:r>
        <w:rPr>
          <w:rFonts w:hint="eastAsia" w:ascii="宋体" w:hAnsi="宋体" w:eastAsia="宋体"/>
          <w:b/>
          <w:bCs/>
          <w:sz w:val="22"/>
          <w:szCs w:val="24"/>
        </w:rPr>
        <w:t>附件：参会名单</w:t>
      </w:r>
    </w:p>
    <w:p w14:paraId="23DC1A99">
      <w:pPr>
        <w:widowControl/>
        <w:rPr>
          <w:rFonts w:hint="eastAsia" w:ascii="宋体" w:hAnsi="宋体" w:eastAsia="宋体"/>
          <w:b/>
          <w:bCs/>
          <w:sz w:val="22"/>
          <w:szCs w:val="24"/>
        </w:rPr>
      </w:pPr>
    </w:p>
    <w:tbl>
      <w:tblPr>
        <w:tblStyle w:val="1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2"/>
        <w:gridCol w:w="1923"/>
        <w:gridCol w:w="2074"/>
        <w:gridCol w:w="2074"/>
      </w:tblGrid>
      <w:tr w14:paraId="2680D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142CA8D4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机构名称</w:t>
            </w:r>
          </w:p>
        </w:tc>
        <w:tc>
          <w:tcPr>
            <w:tcW w:w="1159" w:type="pct"/>
            <w:vAlign w:val="center"/>
          </w:tcPr>
          <w:p w14:paraId="14F307B0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机构名称</w:t>
            </w:r>
          </w:p>
        </w:tc>
        <w:tc>
          <w:tcPr>
            <w:tcW w:w="1250" w:type="pct"/>
            <w:vAlign w:val="center"/>
          </w:tcPr>
          <w:p w14:paraId="16A6DC63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机构名称</w:t>
            </w:r>
          </w:p>
        </w:tc>
        <w:tc>
          <w:tcPr>
            <w:tcW w:w="1250" w:type="pct"/>
            <w:vAlign w:val="center"/>
          </w:tcPr>
          <w:p w14:paraId="51C743C2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机构名称</w:t>
            </w:r>
          </w:p>
        </w:tc>
      </w:tr>
      <w:tr w14:paraId="147BB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7F47D2B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圆信永丰</w:t>
            </w:r>
          </w:p>
        </w:tc>
        <w:tc>
          <w:tcPr>
            <w:tcW w:w="1159" w:type="pct"/>
            <w:vAlign w:val="center"/>
          </w:tcPr>
          <w:p w14:paraId="7144C9E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嘉实基金</w:t>
            </w:r>
          </w:p>
        </w:tc>
        <w:tc>
          <w:tcPr>
            <w:tcW w:w="1250" w:type="pct"/>
            <w:vAlign w:val="center"/>
          </w:tcPr>
          <w:p w14:paraId="6373F373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招商基金</w:t>
            </w:r>
          </w:p>
        </w:tc>
        <w:tc>
          <w:tcPr>
            <w:tcW w:w="1250" w:type="pct"/>
            <w:vAlign w:val="center"/>
          </w:tcPr>
          <w:p w14:paraId="2D2FDF7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华创证券</w:t>
            </w:r>
          </w:p>
        </w:tc>
      </w:tr>
      <w:tr w14:paraId="771DB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63FB3EE8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银河基金</w:t>
            </w:r>
          </w:p>
        </w:tc>
        <w:tc>
          <w:tcPr>
            <w:tcW w:w="1159" w:type="pct"/>
            <w:vAlign w:val="center"/>
          </w:tcPr>
          <w:p w14:paraId="38A9450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汇丰晋信</w:t>
            </w:r>
          </w:p>
        </w:tc>
        <w:tc>
          <w:tcPr>
            <w:tcW w:w="1250" w:type="pct"/>
            <w:vAlign w:val="center"/>
          </w:tcPr>
          <w:p w14:paraId="50C9722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景顺长城基金</w:t>
            </w:r>
          </w:p>
        </w:tc>
        <w:tc>
          <w:tcPr>
            <w:tcW w:w="1250" w:type="pct"/>
            <w:vAlign w:val="center"/>
          </w:tcPr>
          <w:p w14:paraId="5B2D623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中金公司</w:t>
            </w:r>
          </w:p>
        </w:tc>
      </w:tr>
      <w:tr w14:paraId="6F815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39" w:type="pct"/>
            <w:vAlign w:val="center"/>
          </w:tcPr>
          <w:p w14:paraId="43258E7B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摩根资产管理</w:t>
            </w:r>
          </w:p>
        </w:tc>
        <w:tc>
          <w:tcPr>
            <w:tcW w:w="1159" w:type="pct"/>
            <w:vAlign w:val="center"/>
          </w:tcPr>
          <w:p w14:paraId="12D7E98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博时基金</w:t>
            </w:r>
          </w:p>
        </w:tc>
        <w:tc>
          <w:tcPr>
            <w:tcW w:w="1250" w:type="pct"/>
            <w:vAlign w:val="center"/>
          </w:tcPr>
          <w:p w14:paraId="00271958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人寿养老保险</w:t>
            </w:r>
          </w:p>
        </w:tc>
        <w:tc>
          <w:tcPr>
            <w:tcW w:w="1250" w:type="pct"/>
            <w:vAlign w:val="center"/>
          </w:tcPr>
          <w:p w14:paraId="77040002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中信证券</w:t>
            </w:r>
          </w:p>
        </w:tc>
      </w:tr>
      <w:tr w14:paraId="24516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74EFE4E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申万菱信基金</w:t>
            </w:r>
          </w:p>
        </w:tc>
        <w:tc>
          <w:tcPr>
            <w:tcW w:w="1159" w:type="pct"/>
            <w:vAlign w:val="center"/>
          </w:tcPr>
          <w:p w14:paraId="322D773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永赢基金</w:t>
            </w:r>
          </w:p>
        </w:tc>
        <w:tc>
          <w:tcPr>
            <w:tcW w:w="1250" w:type="pct"/>
            <w:vAlign w:val="center"/>
          </w:tcPr>
          <w:p w14:paraId="15435838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平安基金</w:t>
            </w:r>
          </w:p>
        </w:tc>
        <w:tc>
          <w:tcPr>
            <w:tcW w:w="1250" w:type="pct"/>
            <w:vAlign w:val="center"/>
          </w:tcPr>
          <w:p w14:paraId="539C0AA6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国泰海通证券</w:t>
            </w:r>
          </w:p>
        </w:tc>
      </w:tr>
      <w:tr w14:paraId="46704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066D692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华宝基金</w:t>
            </w:r>
          </w:p>
        </w:tc>
        <w:tc>
          <w:tcPr>
            <w:tcW w:w="1159" w:type="pct"/>
            <w:vAlign w:val="center"/>
          </w:tcPr>
          <w:p w14:paraId="2E688BE3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兴银基金</w:t>
            </w:r>
          </w:p>
        </w:tc>
        <w:tc>
          <w:tcPr>
            <w:tcW w:w="1250" w:type="pct"/>
            <w:vAlign w:val="center"/>
          </w:tcPr>
          <w:p w14:paraId="7BCB413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摩根士丹利华鑫基金</w:t>
            </w:r>
          </w:p>
        </w:tc>
        <w:tc>
          <w:tcPr>
            <w:tcW w:w="1250" w:type="pct"/>
            <w:vAlign w:val="center"/>
          </w:tcPr>
          <w:p w14:paraId="3F915B8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中信建投证券</w:t>
            </w:r>
          </w:p>
        </w:tc>
      </w:tr>
      <w:tr w14:paraId="1BC00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5EB19CD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淳厚基金</w:t>
            </w:r>
          </w:p>
        </w:tc>
        <w:tc>
          <w:tcPr>
            <w:tcW w:w="1159" w:type="pct"/>
            <w:vAlign w:val="center"/>
          </w:tcPr>
          <w:p w14:paraId="5EDBD008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平安养老保险</w:t>
            </w:r>
          </w:p>
        </w:tc>
        <w:tc>
          <w:tcPr>
            <w:tcW w:w="1250" w:type="pct"/>
            <w:vAlign w:val="center"/>
          </w:tcPr>
          <w:p w14:paraId="31C8A583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上海混沌投资</w:t>
            </w:r>
          </w:p>
        </w:tc>
        <w:tc>
          <w:tcPr>
            <w:tcW w:w="1250" w:type="pct"/>
            <w:vAlign w:val="center"/>
          </w:tcPr>
          <w:p w14:paraId="79826DE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申银万国证券</w:t>
            </w:r>
          </w:p>
        </w:tc>
      </w:tr>
      <w:tr w14:paraId="33218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594BA4F3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慎知资产</w:t>
            </w:r>
          </w:p>
        </w:tc>
        <w:tc>
          <w:tcPr>
            <w:tcW w:w="1159" w:type="pct"/>
            <w:vAlign w:val="center"/>
          </w:tcPr>
          <w:p w14:paraId="4603E38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国联安基金</w:t>
            </w:r>
          </w:p>
        </w:tc>
        <w:tc>
          <w:tcPr>
            <w:tcW w:w="1250" w:type="pct"/>
            <w:vAlign w:val="center"/>
          </w:tcPr>
          <w:p w14:paraId="1E3BB4E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浙商基金</w:t>
            </w:r>
          </w:p>
        </w:tc>
        <w:tc>
          <w:tcPr>
            <w:tcW w:w="1250" w:type="pct"/>
            <w:vAlign w:val="center"/>
          </w:tcPr>
          <w:p w14:paraId="739841C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华泰证券</w:t>
            </w:r>
          </w:p>
        </w:tc>
      </w:tr>
      <w:tr w14:paraId="70657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27ABB14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青骊资产</w:t>
            </w:r>
          </w:p>
        </w:tc>
        <w:tc>
          <w:tcPr>
            <w:tcW w:w="1159" w:type="pct"/>
            <w:vAlign w:val="center"/>
          </w:tcPr>
          <w:p w14:paraId="00BCCA90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巨杉资产</w:t>
            </w:r>
          </w:p>
        </w:tc>
        <w:tc>
          <w:tcPr>
            <w:tcW w:w="1250" w:type="pct"/>
            <w:vAlign w:val="center"/>
          </w:tcPr>
          <w:p w14:paraId="65B39AA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长江证券（自营）</w:t>
            </w:r>
          </w:p>
        </w:tc>
        <w:tc>
          <w:tcPr>
            <w:tcW w:w="1250" w:type="pct"/>
            <w:vAlign w:val="center"/>
          </w:tcPr>
          <w:p w14:paraId="3640D62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广发证券</w:t>
            </w:r>
          </w:p>
        </w:tc>
      </w:tr>
      <w:tr w14:paraId="1DCEF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724632A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泰信基金</w:t>
            </w:r>
          </w:p>
        </w:tc>
        <w:tc>
          <w:tcPr>
            <w:tcW w:w="1159" w:type="pct"/>
            <w:vAlign w:val="center"/>
          </w:tcPr>
          <w:p w14:paraId="0A11A32F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上海秋阳予梁投资</w:t>
            </w:r>
          </w:p>
        </w:tc>
        <w:tc>
          <w:tcPr>
            <w:tcW w:w="1250" w:type="pct"/>
            <w:vAlign w:val="center"/>
          </w:tcPr>
          <w:p w14:paraId="61AE013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尚诚资产</w:t>
            </w:r>
          </w:p>
        </w:tc>
        <w:tc>
          <w:tcPr>
            <w:tcW w:w="1250" w:type="pct"/>
            <w:vAlign w:val="center"/>
          </w:tcPr>
          <w:p w14:paraId="6B725FB8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兴业证券</w:t>
            </w:r>
          </w:p>
        </w:tc>
      </w:tr>
      <w:tr w14:paraId="67DC1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59B8E63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富安达基金</w:t>
            </w:r>
          </w:p>
        </w:tc>
        <w:tc>
          <w:tcPr>
            <w:tcW w:w="1159" w:type="pct"/>
            <w:vAlign w:val="center"/>
          </w:tcPr>
          <w:p w14:paraId="25650116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上海隆象私募</w:t>
            </w:r>
          </w:p>
        </w:tc>
        <w:tc>
          <w:tcPr>
            <w:tcW w:w="1250" w:type="pct"/>
            <w:vAlign w:val="center"/>
          </w:tcPr>
          <w:p w14:paraId="2EE75D72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前海海运通资产</w:t>
            </w:r>
          </w:p>
        </w:tc>
        <w:tc>
          <w:tcPr>
            <w:tcW w:w="1250" w:type="pct"/>
            <w:vAlign w:val="center"/>
          </w:tcPr>
          <w:p w14:paraId="7CF89795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西部证券</w:t>
            </w:r>
          </w:p>
        </w:tc>
      </w:tr>
      <w:tr w14:paraId="2BAA0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28210F10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浦银安盛基金</w:t>
            </w:r>
          </w:p>
        </w:tc>
        <w:tc>
          <w:tcPr>
            <w:tcW w:w="1159" w:type="pct"/>
            <w:vAlign w:val="center"/>
          </w:tcPr>
          <w:p w14:paraId="174B9F3F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上海理成资产</w:t>
            </w:r>
          </w:p>
        </w:tc>
        <w:tc>
          <w:tcPr>
            <w:tcW w:w="1250" w:type="pct"/>
            <w:vAlign w:val="center"/>
          </w:tcPr>
          <w:p w14:paraId="4B2903D6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天津易鑫安资产</w:t>
            </w:r>
          </w:p>
        </w:tc>
        <w:tc>
          <w:tcPr>
            <w:tcW w:w="1250" w:type="pct"/>
            <w:vAlign w:val="center"/>
          </w:tcPr>
          <w:p w14:paraId="7F84FB4F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天风证券</w:t>
            </w:r>
          </w:p>
        </w:tc>
      </w:tr>
      <w:tr w14:paraId="625C9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7E375446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中建信控股</w:t>
            </w:r>
          </w:p>
        </w:tc>
        <w:tc>
          <w:tcPr>
            <w:tcW w:w="1159" w:type="pct"/>
            <w:vAlign w:val="center"/>
          </w:tcPr>
          <w:p w14:paraId="2BA90920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上海健顺投资</w:t>
            </w:r>
          </w:p>
        </w:tc>
        <w:tc>
          <w:tcPr>
            <w:tcW w:w="1250" w:type="pct"/>
            <w:vAlign w:val="center"/>
          </w:tcPr>
          <w:p w14:paraId="0ECFE8AB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天治基金</w:t>
            </w:r>
          </w:p>
        </w:tc>
        <w:tc>
          <w:tcPr>
            <w:tcW w:w="1250" w:type="pct"/>
            <w:vAlign w:val="center"/>
          </w:tcPr>
          <w:p w14:paraId="591DAC0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安信证券</w:t>
            </w:r>
          </w:p>
        </w:tc>
      </w:tr>
      <w:tr w14:paraId="6308E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15FDE05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东吴基金</w:t>
            </w:r>
          </w:p>
        </w:tc>
        <w:tc>
          <w:tcPr>
            <w:tcW w:w="1159" w:type="pct"/>
            <w:vAlign w:val="center"/>
          </w:tcPr>
          <w:p w14:paraId="479342E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上海沣杨资产</w:t>
            </w:r>
          </w:p>
        </w:tc>
        <w:tc>
          <w:tcPr>
            <w:tcW w:w="1250" w:type="pct"/>
            <w:vAlign w:val="center"/>
          </w:tcPr>
          <w:p w14:paraId="7779F8E5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上海恒穗资产</w:t>
            </w:r>
          </w:p>
        </w:tc>
        <w:tc>
          <w:tcPr>
            <w:tcW w:w="1250" w:type="pct"/>
            <w:vAlign w:val="center"/>
          </w:tcPr>
          <w:p w14:paraId="1D4E61C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开源证券</w:t>
            </w:r>
          </w:p>
        </w:tc>
      </w:tr>
      <w:tr w14:paraId="79311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0F39C07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华泰保兴基金</w:t>
            </w:r>
          </w:p>
        </w:tc>
        <w:tc>
          <w:tcPr>
            <w:tcW w:w="1159" w:type="pct"/>
            <w:vAlign w:val="center"/>
          </w:tcPr>
          <w:p w14:paraId="359856E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上海鼎锋股权</w:t>
            </w:r>
          </w:p>
        </w:tc>
        <w:tc>
          <w:tcPr>
            <w:tcW w:w="1250" w:type="pct"/>
            <w:vAlign w:val="center"/>
          </w:tcPr>
          <w:p w14:paraId="304B1AC3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熵盈资产</w:t>
            </w:r>
          </w:p>
        </w:tc>
        <w:tc>
          <w:tcPr>
            <w:tcW w:w="1250" w:type="pct"/>
            <w:vAlign w:val="center"/>
          </w:tcPr>
          <w:p w14:paraId="4C4E76D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浙商证券</w:t>
            </w:r>
          </w:p>
        </w:tc>
      </w:tr>
      <w:tr w14:paraId="4F1C7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7DD4CFF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域秀资产</w:t>
            </w:r>
          </w:p>
        </w:tc>
        <w:tc>
          <w:tcPr>
            <w:tcW w:w="1159" w:type="pct"/>
            <w:vAlign w:val="center"/>
          </w:tcPr>
          <w:p w14:paraId="683A41B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清池资本</w:t>
            </w:r>
          </w:p>
        </w:tc>
        <w:tc>
          <w:tcPr>
            <w:tcW w:w="1250" w:type="pct"/>
            <w:vAlign w:val="center"/>
          </w:tcPr>
          <w:p w14:paraId="1DF707EF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谦璞投资</w:t>
            </w:r>
          </w:p>
        </w:tc>
        <w:tc>
          <w:tcPr>
            <w:tcW w:w="1250" w:type="pct"/>
            <w:vAlign w:val="center"/>
          </w:tcPr>
          <w:p w14:paraId="28F80D2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平安证券</w:t>
            </w:r>
          </w:p>
        </w:tc>
      </w:tr>
      <w:tr w14:paraId="3CD9D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4C350B5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建信理财</w:t>
            </w:r>
          </w:p>
        </w:tc>
        <w:tc>
          <w:tcPr>
            <w:tcW w:w="1159" w:type="pct"/>
            <w:vAlign w:val="center"/>
          </w:tcPr>
          <w:p w14:paraId="2F67AA7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海南进化论私募</w:t>
            </w:r>
          </w:p>
        </w:tc>
        <w:tc>
          <w:tcPr>
            <w:tcW w:w="1250" w:type="pct"/>
            <w:vAlign w:val="center"/>
          </w:tcPr>
          <w:p w14:paraId="2130E90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金恩投资</w:t>
            </w:r>
          </w:p>
        </w:tc>
        <w:tc>
          <w:tcPr>
            <w:tcW w:w="1250" w:type="pct"/>
            <w:vAlign w:val="center"/>
          </w:tcPr>
          <w:p w14:paraId="13E1FD5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华福证券</w:t>
            </w:r>
          </w:p>
        </w:tc>
      </w:tr>
      <w:tr w14:paraId="6A600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5A63ADA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浙江景和资产</w:t>
            </w:r>
          </w:p>
        </w:tc>
        <w:tc>
          <w:tcPr>
            <w:tcW w:w="1159" w:type="pct"/>
            <w:vAlign w:val="center"/>
          </w:tcPr>
          <w:p w14:paraId="17DE2080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幸福人寿保险</w:t>
            </w:r>
          </w:p>
        </w:tc>
        <w:tc>
          <w:tcPr>
            <w:tcW w:w="1250" w:type="pct"/>
            <w:vAlign w:val="center"/>
          </w:tcPr>
          <w:p w14:paraId="6CB12E3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天虫资本</w:t>
            </w:r>
          </w:p>
        </w:tc>
        <w:tc>
          <w:tcPr>
            <w:tcW w:w="1250" w:type="pct"/>
            <w:vAlign w:val="center"/>
          </w:tcPr>
          <w:p w14:paraId="128534D2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国信证券</w:t>
            </w:r>
          </w:p>
        </w:tc>
      </w:tr>
      <w:tr w14:paraId="0C06D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7144A35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招商信诺资产</w:t>
            </w:r>
          </w:p>
        </w:tc>
        <w:tc>
          <w:tcPr>
            <w:tcW w:w="1159" w:type="pct"/>
            <w:vAlign w:val="center"/>
          </w:tcPr>
          <w:p w14:paraId="51EFBFC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世嘉控股</w:t>
            </w:r>
          </w:p>
        </w:tc>
        <w:tc>
          <w:tcPr>
            <w:tcW w:w="1250" w:type="pct"/>
            <w:vAlign w:val="center"/>
          </w:tcPr>
          <w:p w14:paraId="614A6C46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环懿投资</w:t>
            </w:r>
          </w:p>
        </w:tc>
        <w:tc>
          <w:tcPr>
            <w:tcW w:w="1250" w:type="pct"/>
            <w:vAlign w:val="center"/>
          </w:tcPr>
          <w:p w14:paraId="51F4824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中泰证券</w:t>
            </w:r>
          </w:p>
        </w:tc>
      </w:tr>
      <w:tr w14:paraId="5F397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4396963F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汐泰投资</w:t>
            </w:r>
          </w:p>
        </w:tc>
        <w:tc>
          <w:tcPr>
            <w:tcW w:w="1159" w:type="pct"/>
            <w:vAlign w:val="center"/>
          </w:tcPr>
          <w:p w14:paraId="190348B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高成投资</w:t>
            </w:r>
          </w:p>
        </w:tc>
        <w:tc>
          <w:tcPr>
            <w:tcW w:w="1250" w:type="pct"/>
            <w:vAlign w:val="center"/>
          </w:tcPr>
          <w:p w14:paraId="0DC6B032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华夏东方养老资产</w:t>
            </w:r>
          </w:p>
        </w:tc>
        <w:tc>
          <w:tcPr>
            <w:tcW w:w="1250" w:type="pct"/>
            <w:vAlign w:val="center"/>
          </w:tcPr>
          <w:p w14:paraId="62CBFCA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国联民生</w:t>
            </w:r>
          </w:p>
        </w:tc>
      </w:tr>
      <w:tr w14:paraId="00F1A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7550E95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博远基金</w:t>
            </w:r>
          </w:p>
        </w:tc>
        <w:tc>
          <w:tcPr>
            <w:tcW w:w="1159" w:type="pct"/>
            <w:vAlign w:val="center"/>
          </w:tcPr>
          <w:p w14:paraId="67F35B2F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荷荷(北京)私募</w:t>
            </w:r>
          </w:p>
        </w:tc>
        <w:tc>
          <w:tcPr>
            <w:tcW w:w="1250" w:type="pct"/>
            <w:vAlign w:val="center"/>
          </w:tcPr>
          <w:p w14:paraId="4F592BA8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湖南长心私募</w:t>
            </w:r>
          </w:p>
        </w:tc>
        <w:tc>
          <w:tcPr>
            <w:tcW w:w="1250" w:type="pct"/>
            <w:vAlign w:val="center"/>
          </w:tcPr>
          <w:p w14:paraId="6D7A238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国盛证券</w:t>
            </w:r>
          </w:p>
        </w:tc>
      </w:tr>
      <w:tr w14:paraId="748DC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1E3114B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恒生前海基金</w:t>
            </w:r>
          </w:p>
        </w:tc>
        <w:tc>
          <w:tcPr>
            <w:tcW w:w="1159" w:type="pct"/>
            <w:vAlign w:val="center"/>
          </w:tcPr>
          <w:p w14:paraId="1F7D7383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红塔红土基金</w:t>
            </w:r>
          </w:p>
        </w:tc>
        <w:tc>
          <w:tcPr>
            <w:tcW w:w="1250" w:type="pct"/>
            <w:vAlign w:val="center"/>
          </w:tcPr>
          <w:p w14:paraId="6142F98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杭州军璐投资</w:t>
            </w:r>
          </w:p>
        </w:tc>
        <w:tc>
          <w:tcPr>
            <w:tcW w:w="1250" w:type="pct"/>
            <w:vAlign w:val="center"/>
          </w:tcPr>
          <w:p w14:paraId="10E084D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国金证券</w:t>
            </w:r>
          </w:p>
        </w:tc>
      </w:tr>
      <w:tr w14:paraId="75FC8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16A7C1B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国华兴益保险资产</w:t>
            </w:r>
          </w:p>
        </w:tc>
        <w:tc>
          <w:tcPr>
            <w:tcW w:w="1159" w:type="pct"/>
            <w:vAlign w:val="center"/>
          </w:tcPr>
          <w:p w14:paraId="09B6216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博裕资本</w:t>
            </w:r>
          </w:p>
        </w:tc>
        <w:tc>
          <w:tcPr>
            <w:tcW w:w="1250" w:type="pct"/>
            <w:vAlign w:val="center"/>
          </w:tcPr>
          <w:p w14:paraId="3376AD02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海南盛熙私募</w:t>
            </w:r>
          </w:p>
        </w:tc>
        <w:tc>
          <w:tcPr>
            <w:tcW w:w="1250" w:type="pct"/>
            <w:vAlign w:val="center"/>
          </w:tcPr>
          <w:p w14:paraId="5F1C3115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中银证券</w:t>
            </w:r>
          </w:p>
        </w:tc>
      </w:tr>
      <w:tr w14:paraId="40034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7BF7853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Willing Capital Management</w:t>
            </w:r>
          </w:p>
        </w:tc>
        <w:tc>
          <w:tcPr>
            <w:tcW w:w="1159" w:type="pct"/>
            <w:vAlign w:val="center"/>
          </w:tcPr>
          <w:p w14:paraId="1EB86478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方正富邦基金</w:t>
            </w:r>
          </w:p>
        </w:tc>
        <w:tc>
          <w:tcPr>
            <w:tcW w:w="1250" w:type="pct"/>
            <w:vAlign w:val="center"/>
          </w:tcPr>
          <w:p w14:paraId="36193E3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广州市航长投资</w:t>
            </w:r>
          </w:p>
        </w:tc>
        <w:tc>
          <w:tcPr>
            <w:tcW w:w="1250" w:type="pct"/>
            <w:vAlign w:val="center"/>
          </w:tcPr>
          <w:p w14:paraId="20927CF0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光大证券</w:t>
            </w:r>
          </w:p>
        </w:tc>
      </w:tr>
      <w:tr w14:paraId="2E72F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5AFE50F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长盛基金</w:t>
            </w:r>
          </w:p>
        </w:tc>
        <w:tc>
          <w:tcPr>
            <w:tcW w:w="1159" w:type="pct"/>
            <w:vAlign w:val="center"/>
          </w:tcPr>
          <w:p w14:paraId="0C557E0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顶天投资</w:t>
            </w:r>
          </w:p>
        </w:tc>
        <w:tc>
          <w:tcPr>
            <w:tcW w:w="1250" w:type="pct"/>
            <w:vAlign w:val="center"/>
          </w:tcPr>
          <w:p w14:paraId="4B91AE86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广东民营投资</w:t>
            </w:r>
          </w:p>
        </w:tc>
        <w:tc>
          <w:tcPr>
            <w:tcW w:w="1250" w:type="pct"/>
            <w:vAlign w:val="center"/>
          </w:tcPr>
          <w:p w14:paraId="560412C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方正证券</w:t>
            </w:r>
          </w:p>
        </w:tc>
      </w:tr>
      <w:tr w14:paraId="55D82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22800CF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冲积资产</w:t>
            </w:r>
          </w:p>
        </w:tc>
        <w:tc>
          <w:tcPr>
            <w:tcW w:w="1159" w:type="pct"/>
            <w:vAlign w:val="center"/>
          </w:tcPr>
          <w:p w14:paraId="5FCA75B0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创金合信基金</w:t>
            </w:r>
          </w:p>
        </w:tc>
        <w:tc>
          <w:tcPr>
            <w:tcW w:w="1250" w:type="pct"/>
            <w:vAlign w:val="center"/>
          </w:tcPr>
          <w:p w14:paraId="4CF7CE4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观合资产</w:t>
            </w:r>
          </w:p>
        </w:tc>
        <w:tc>
          <w:tcPr>
            <w:tcW w:w="1250" w:type="pct"/>
            <w:vAlign w:val="center"/>
          </w:tcPr>
          <w:p w14:paraId="176C71D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东方证券</w:t>
            </w:r>
          </w:p>
        </w:tc>
      </w:tr>
      <w:tr w14:paraId="22020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9" w:type="pct"/>
            <w:vAlign w:val="center"/>
          </w:tcPr>
          <w:p w14:paraId="2C9DF9E2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泓德基金</w:t>
            </w:r>
          </w:p>
        </w:tc>
        <w:tc>
          <w:tcPr>
            <w:tcW w:w="1159" w:type="pct"/>
            <w:vAlign w:val="center"/>
          </w:tcPr>
          <w:p w14:paraId="10B3CA6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中信期货</w:t>
            </w:r>
          </w:p>
        </w:tc>
        <w:tc>
          <w:tcPr>
            <w:tcW w:w="1250" w:type="pct"/>
            <w:vAlign w:val="center"/>
          </w:tcPr>
          <w:p w14:paraId="49A0A4D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东北证券</w:t>
            </w:r>
          </w:p>
        </w:tc>
        <w:tc>
          <w:tcPr>
            <w:tcW w:w="1250" w:type="pct"/>
            <w:vAlign w:val="center"/>
          </w:tcPr>
          <w:p w14:paraId="4468B02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东方财富证券</w:t>
            </w:r>
          </w:p>
        </w:tc>
      </w:tr>
    </w:tbl>
    <w:p w14:paraId="17D41DD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3MmE1YjEyYjBjOWFhZGU4MGM3NTEyN2FkMzY2Y2UifQ=="/>
  </w:docVars>
  <w:rsids>
    <w:rsidRoot w:val="00FA2E3A"/>
    <w:rsid w:val="0000099D"/>
    <w:rsid w:val="000011B6"/>
    <w:rsid w:val="00001B8D"/>
    <w:rsid w:val="00002DC9"/>
    <w:rsid w:val="000030EC"/>
    <w:rsid w:val="000038D9"/>
    <w:rsid w:val="00004EEE"/>
    <w:rsid w:val="00007BB1"/>
    <w:rsid w:val="00007D82"/>
    <w:rsid w:val="000113CF"/>
    <w:rsid w:val="00011A2E"/>
    <w:rsid w:val="00011FA1"/>
    <w:rsid w:val="00011FE5"/>
    <w:rsid w:val="00012687"/>
    <w:rsid w:val="00012695"/>
    <w:rsid w:val="000151FA"/>
    <w:rsid w:val="00015942"/>
    <w:rsid w:val="0001799D"/>
    <w:rsid w:val="00020EE2"/>
    <w:rsid w:val="0002600E"/>
    <w:rsid w:val="00026017"/>
    <w:rsid w:val="000269A3"/>
    <w:rsid w:val="00026E05"/>
    <w:rsid w:val="000302CF"/>
    <w:rsid w:val="00030325"/>
    <w:rsid w:val="00033B7E"/>
    <w:rsid w:val="00034581"/>
    <w:rsid w:val="0003668C"/>
    <w:rsid w:val="0003698A"/>
    <w:rsid w:val="00036B9C"/>
    <w:rsid w:val="0003789B"/>
    <w:rsid w:val="000405D2"/>
    <w:rsid w:val="00040EC6"/>
    <w:rsid w:val="000413F6"/>
    <w:rsid w:val="0004144F"/>
    <w:rsid w:val="0004407D"/>
    <w:rsid w:val="000445AF"/>
    <w:rsid w:val="00044AD7"/>
    <w:rsid w:val="00044EE9"/>
    <w:rsid w:val="000451B3"/>
    <w:rsid w:val="0005079B"/>
    <w:rsid w:val="000518E5"/>
    <w:rsid w:val="0005228C"/>
    <w:rsid w:val="00052CF4"/>
    <w:rsid w:val="000542A7"/>
    <w:rsid w:val="00057E88"/>
    <w:rsid w:val="000604A0"/>
    <w:rsid w:val="000604BF"/>
    <w:rsid w:val="00060DDF"/>
    <w:rsid w:val="00061B62"/>
    <w:rsid w:val="00062EDD"/>
    <w:rsid w:val="00063C7E"/>
    <w:rsid w:val="0006434C"/>
    <w:rsid w:val="00064A8C"/>
    <w:rsid w:val="00064C57"/>
    <w:rsid w:val="00064F4E"/>
    <w:rsid w:val="000656AA"/>
    <w:rsid w:val="000658FD"/>
    <w:rsid w:val="000663EA"/>
    <w:rsid w:val="00066488"/>
    <w:rsid w:val="0006797A"/>
    <w:rsid w:val="00072332"/>
    <w:rsid w:val="00074964"/>
    <w:rsid w:val="00075FC2"/>
    <w:rsid w:val="00076428"/>
    <w:rsid w:val="0007726E"/>
    <w:rsid w:val="0008108C"/>
    <w:rsid w:val="00081095"/>
    <w:rsid w:val="00081A9A"/>
    <w:rsid w:val="00082DE0"/>
    <w:rsid w:val="00084A07"/>
    <w:rsid w:val="000859EE"/>
    <w:rsid w:val="00087523"/>
    <w:rsid w:val="000911B1"/>
    <w:rsid w:val="00094738"/>
    <w:rsid w:val="0009494D"/>
    <w:rsid w:val="00094BF2"/>
    <w:rsid w:val="00095421"/>
    <w:rsid w:val="00095A1A"/>
    <w:rsid w:val="000974F5"/>
    <w:rsid w:val="000A0D0A"/>
    <w:rsid w:val="000A323D"/>
    <w:rsid w:val="000A34F2"/>
    <w:rsid w:val="000A376C"/>
    <w:rsid w:val="000A4F81"/>
    <w:rsid w:val="000A5018"/>
    <w:rsid w:val="000A61B6"/>
    <w:rsid w:val="000B1A06"/>
    <w:rsid w:val="000B1E5B"/>
    <w:rsid w:val="000B2383"/>
    <w:rsid w:val="000B28C6"/>
    <w:rsid w:val="000B44D6"/>
    <w:rsid w:val="000B6A07"/>
    <w:rsid w:val="000C115C"/>
    <w:rsid w:val="000C1D60"/>
    <w:rsid w:val="000C2770"/>
    <w:rsid w:val="000C27AA"/>
    <w:rsid w:val="000C35BC"/>
    <w:rsid w:val="000C4766"/>
    <w:rsid w:val="000C490B"/>
    <w:rsid w:val="000C66AC"/>
    <w:rsid w:val="000C77CD"/>
    <w:rsid w:val="000C7AF5"/>
    <w:rsid w:val="000C7D4C"/>
    <w:rsid w:val="000C7ECB"/>
    <w:rsid w:val="000D00B0"/>
    <w:rsid w:val="000D019C"/>
    <w:rsid w:val="000D02B5"/>
    <w:rsid w:val="000D1B98"/>
    <w:rsid w:val="000D2061"/>
    <w:rsid w:val="000D66D1"/>
    <w:rsid w:val="000E0D74"/>
    <w:rsid w:val="000E19D6"/>
    <w:rsid w:val="000E21D6"/>
    <w:rsid w:val="000E2788"/>
    <w:rsid w:val="000E3444"/>
    <w:rsid w:val="000E4320"/>
    <w:rsid w:val="000E46A3"/>
    <w:rsid w:val="000E6141"/>
    <w:rsid w:val="000E6A72"/>
    <w:rsid w:val="000E7F64"/>
    <w:rsid w:val="000F0470"/>
    <w:rsid w:val="000F0933"/>
    <w:rsid w:val="000F12E7"/>
    <w:rsid w:val="000F23B5"/>
    <w:rsid w:val="000F2DF1"/>
    <w:rsid w:val="000F3457"/>
    <w:rsid w:val="000F7B15"/>
    <w:rsid w:val="001003CD"/>
    <w:rsid w:val="00100985"/>
    <w:rsid w:val="001009D6"/>
    <w:rsid w:val="00101750"/>
    <w:rsid w:val="00102DF3"/>
    <w:rsid w:val="00102E88"/>
    <w:rsid w:val="00102FBE"/>
    <w:rsid w:val="00106161"/>
    <w:rsid w:val="00110940"/>
    <w:rsid w:val="00111838"/>
    <w:rsid w:val="00111A9F"/>
    <w:rsid w:val="00112B75"/>
    <w:rsid w:val="001164F6"/>
    <w:rsid w:val="00116BFE"/>
    <w:rsid w:val="00116FF0"/>
    <w:rsid w:val="001170F8"/>
    <w:rsid w:val="00117894"/>
    <w:rsid w:val="00121FC1"/>
    <w:rsid w:val="00124DAD"/>
    <w:rsid w:val="00124DE0"/>
    <w:rsid w:val="00127C62"/>
    <w:rsid w:val="00127CFF"/>
    <w:rsid w:val="00130EFA"/>
    <w:rsid w:val="00131EA0"/>
    <w:rsid w:val="00133F65"/>
    <w:rsid w:val="001347B0"/>
    <w:rsid w:val="00135C04"/>
    <w:rsid w:val="00136558"/>
    <w:rsid w:val="001369A2"/>
    <w:rsid w:val="001369E5"/>
    <w:rsid w:val="00137E6C"/>
    <w:rsid w:val="00137EAA"/>
    <w:rsid w:val="00140E38"/>
    <w:rsid w:val="00141788"/>
    <w:rsid w:val="00142D1B"/>
    <w:rsid w:val="00143744"/>
    <w:rsid w:val="0014377E"/>
    <w:rsid w:val="0014431A"/>
    <w:rsid w:val="001447F2"/>
    <w:rsid w:val="00145400"/>
    <w:rsid w:val="0014654D"/>
    <w:rsid w:val="00146926"/>
    <w:rsid w:val="00146D68"/>
    <w:rsid w:val="001475E1"/>
    <w:rsid w:val="00147E19"/>
    <w:rsid w:val="00147FB0"/>
    <w:rsid w:val="00150EBF"/>
    <w:rsid w:val="00151551"/>
    <w:rsid w:val="001517CA"/>
    <w:rsid w:val="00151C76"/>
    <w:rsid w:val="00153698"/>
    <w:rsid w:val="00153AAB"/>
    <w:rsid w:val="00156BA4"/>
    <w:rsid w:val="001614A6"/>
    <w:rsid w:val="00163D57"/>
    <w:rsid w:val="0016413E"/>
    <w:rsid w:val="001660C1"/>
    <w:rsid w:val="00167AF5"/>
    <w:rsid w:val="00170F43"/>
    <w:rsid w:val="00171C4F"/>
    <w:rsid w:val="00172897"/>
    <w:rsid w:val="0017305C"/>
    <w:rsid w:val="0017423C"/>
    <w:rsid w:val="001760BB"/>
    <w:rsid w:val="001762DD"/>
    <w:rsid w:val="001766D7"/>
    <w:rsid w:val="001770C5"/>
    <w:rsid w:val="00177380"/>
    <w:rsid w:val="00180F4A"/>
    <w:rsid w:val="00185864"/>
    <w:rsid w:val="0019009D"/>
    <w:rsid w:val="001920D5"/>
    <w:rsid w:val="0019329E"/>
    <w:rsid w:val="00193923"/>
    <w:rsid w:val="00193D9D"/>
    <w:rsid w:val="001959B7"/>
    <w:rsid w:val="001959CE"/>
    <w:rsid w:val="00195B54"/>
    <w:rsid w:val="00197A03"/>
    <w:rsid w:val="00197E81"/>
    <w:rsid w:val="001A07E6"/>
    <w:rsid w:val="001A0899"/>
    <w:rsid w:val="001A408C"/>
    <w:rsid w:val="001A4B9C"/>
    <w:rsid w:val="001A4CA1"/>
    <w:rsid w:val="001A54A1"/>
    <w:rsid w:val="001A6D00"/>
    <w:rsid w:val="001B05E9"/>
    <w:rsid w:val="001B08F1"/>
    <w:rsid w:val="001B0B25"/>
    <w:rsid w:val="001B28A2"/>
    <w:rsid w:val="001B2F49"/>
    <w:rsid w:val="001B4BAE"/>
    <w:rsid w:val="001B4D1C"/>
    <w:rsid w:val="001B51FE"/>
    <w:rsid w:val="001B5580"/>
    <w:rsid w:val="001B5A6F"/>
    <w:rsid w:val="001B5DAB"/>
    <w:rsid w:val="001B6CBE"/>
    <w:rsid w:val="001C15A8"/>
    <w:rsid w:val="001C3916"/>
    <w:rsid w:val="001C3AEA"/>
    <w:rsid w:val="001C470F"/>
    <w:rsid w:val="001C5241"/>
    <w:rsid w:val="001C5BDC"/>
    <w:rsid w:val="001C73E9"/>
    <w:rsid w:val="001D0219"/>
    <w:rsid w:val="001D0D4A"/>
    <w:rsid w:val="001D13C4"/>
    <w:rsid w:val="001D2A57"/>
    <w:rsid w:val="001D4780"/>
    <w:rsid w:val="001D6245"/>
    <w:rsid w:val="001D7297"/>
    <w:rsid w:val="001E0B42"/>
    <w:rsid w:val="001E1F51"/>
    <w:rsid w:val="001E358D"/>
    <w:rsid w:val="001E3E1B"/>
    <w:rsid w:val="001E4083"/>
    <w:rsid w:val="001E4555"/>
    <w:rsid w:val="001E4979"/>
    <w:rsid w:val="001E50F9"/>
    <w:rsid w:val="001E7CF9"/>
    <w:rsid w:val="001F0296"/>
    <w:rsid w:val="001F08F3"/>
    <w:rsid w:val="001F1F7C"/>
    <w:rsid w:val="001F3F1D"/>
    <w:rsid w:val="001F4760"/>
    <w:rsid w:val="001F499A"/>
    <w:rsid w:val="001F4F5B"/>
    <w:rsid w:val="001F5624"/>
    <w:rsid w:val="001F5C56"/>
    <w:rsid w:val="001F6F2A"/>
    <w:rsid w:val="001F73FF"/>
    <w:rsid w:val="001F7E13"/>
    <w:rsid w:val="00202FB0"/>
    <w:rsid w:val="00203375"/>
    <w:rsid w:val="00203EDC"/>
    <w:rsid w:val="0020464D"/>
    <w:rsid w:val="00206016"/>
    <w:rsid w:val="002066A2"/>
    <w:rsid w:val="0020700F"/>
    <w:rsid w:val="002076F7"/>
    <w:rsid w:val="00207DB8"/>
    <w:rsid w:val="002100E3"/>
    <w:rsid w:val="002149F8"/>
    <w:rsid w:val="002153C4"/>
    <w:rsid w:val="00216D60"/>
    <w:rsid w:val="00220C01"/>
    <w:rsid w:val="00221534"/>
    <w:rsid w:val="00221C26"/>
    <w:rsid w:val="002222AB"/>
    <w:rsid w:val="0022415B"/>
    <w:rsid w:val="00224760"/>
    <w:rsid w:val="0022614A"/>
    <w:rsid w:val="00227609"/>
    <w:rsid w:val="00227E5F"/>
    <w:rsid w:val="00227E75"/>
    <w:rsid w:val="002311A5"/>
    <w:rsid w:val="002313D0"/>
    <w:rsid w:val="00231D25"/>
    <w:rsid w:val="002328A3"/>
    <w:rsid w:val="00232B11"/>
    <w:rsid w:val="00234669"/>
    <w:rsid w:val="00235194"/>
    <w:rsid w:val="00235FC7"/>
    <w:rsid w:val="002367AA"/>
    <w:rsid w:val="00240207"/>
    <w:rsid w:val="002426AE"/>
    <w:rsid w:val="0024359A"/>
    <w:rsid w:val="00245991"/>
    <w:rsid w:val="00245AC5"/>
    <w:rsid w:val="002461DD"/>
    <w:rsid w:val="0025003E"/>
    <w:rsid w:val="002502F4"/>
    <w:rsid w:val="00250C28"/>
    <w:rsid w:val="002517E4"/>
    <w:rsid w:val="002526B3"/>
    <w:rsid w:val="002534CC"/>
    <w:rsid w:val="0025394E"/>
    <w:rsid w:val="002542FB"/>
    <w:rsid w:val="0025493A"/>
    <w:rsid w:val="0025729E"/>
    <w:rsid w:val="00260363"/>
    <w:rsid w:val="00260DC5"/>
    <w:rsid w:val="00261A90"/>
    <w:rsid w:val="00261D35"/>
    <w:rsid w:val="002629CB"/>
    <w:rsid w:val="00262C34"/>
    <w:rsid w:val="00263C2C"/>
    <w:rsid w:val="002641F9"/>
    <w:rsid w:val="0027185D"/>
    <w:rsid w:val="0027246E"/>
    <w:rsid w:val="00273A32"/>
    <w:rsid w:val="0027437D"/>
    <w:rsid w:val="00274513"/>
    <w:rsid w:val="00275C0B"/>
    <w:rsid w:val="00276302"/>
    <w:rsid w:val="00276F7E"/>
    <w:rsid w:val="0027718C"/>
    <w:rsid w:val="00280766"/>
    <w:rsid w:val="00280A3E"/>
    <w:rsid w:val="002815ED"/>
    <w:rsid w:val="00282330"/>
    <w:rsid w:val="002829B2"/>
    <w:rsid w:val="00284CB9"/>
    <w:rsid w:val="0028536C"/>
    <w:rsid w:val="0028592B"/>
    <w:rsid w:val="00286632"/>
    <w:rsid w:val="0028789D"/>
    <w:rsid w:val="00287991"/>
    <w:rsid w:val="00287F6D"/>
    <w:rsid w:val="002900AD"/>
    <w:rsid w:val="00290F04"/>
    <w:rsid w:val="00292864"/>
    <w:rsid w:val="00293C78"/>
    <w:rsid w:val="002955D2"/>
    <w:rsid w:val="00296C9B"/>
    <w:rsid w:val="002A071F"/>
    <w:rsid w:val="002A293F"/>
    <w:rsid w:val="002A4FD6"/>
    <w:rsid w:val="002A532D"/>
    <w:rsid w:val="002A53FB"/>
    <w:rsid w:val="002A78AB"/>
    <w:rsid w:val="002B0F59"/>
    <w:rsid w:val="002B2D6B"/>
    <w:rsid w:val="002B4A47"/>
    <w:rsid w:val="002B4E33"/>
    <w:rsid w:val="002B4FD7"/>
    <w:rsid w:val="002B578F"/>
    <w:rsid w:val="002B5791"/>
    <w:rsid w:val="002C0892"/>
    <w:rsid w:val="002C0EDA"/>
    <w:rsid w:val="002C1D34"/>
    <w:rsid w:val="002C61B2"/>
    <w:rsid w:val="002C7F94"/>
    <w:rsid w:val="002D2C26"/>
    <w:rsid w:val="002D414F"/>
    <w:rsid w:val="002D5B38"/>
    <w:rsid w:val="002D5ECB"/>
    <w:rsid w:val="002D6499"/>
    <w:rsid w:val="002D715C"/>
    <w:rsid w:val="002D7853"/>
    <w:rsid w:val="002E020F"/>
    <w:rsid w:val="002E03FF"/>
    <w:rsid w:val="002E14F0"/>
    <w:rsid w:val="002E250B"/>
    <w:rsid w:val="002E4A70"/>
    <w:rsid w:val="002E6759"/>
    <w:rsid w:val="002E6CFD"/>
    <w:rsid w:val="002E6F1D"/>
    <w:rsid w:val="002E7318"/>
    <w:rsid w:val="002F0208"/>
    <w:rsid w:val="002F0356"/>
    <w:rsid w:val="002F2186"/>
    <w:rsid w:val="002F57CF"/>
    <w:rsid w:val="002F60BE"/>
    <w:rsid w:val="002F782E"/>
    <w:rsid w:val="00300416"/>
    <w:rsid w:val="00300FDE"/>
    <w:rsid w:val="003014B0"/>
    <w:rsid w:val="003029C6"/>
    <w:rsid w:val="00303154"/>
    <w:rsid w:val="003036D7"/>
    <w:rsid w:val="0030443A"/>
    <w:rsid w:val="00306231"/>
    <w:rsid w:val="00306D71"/>
    <w:rsid w:val="003078D1"/>
    <w:rsid w:val="00307DBB"/>
    <w:rsid w:val="00307F06"/>
    <w:rsid w:val="00312284"/>
    <w:rsid w:val="00314701"/>
    <w:rsid w:val="00314BD9"/>
    <w:rsid w:val="00314EC1"/>
    <w:rsid w:val="0031693C"/>
    <w:rsid w:val="00320966"/>
    <w:rsid w:val="00320E59"/>
    <w:rsid w:val="00323337"/>
    <w:rsid w:val="00324935"/>
    <w:rsid w:val="00326C65"/>
    <w:rsid w:val="00327A91"/>
    <w:rsid w:val="0033015A"/>
    <w:rsid w:val="0033024A"/>
    <w:rsid w:val="00333CA9"/>
    <w:rsid w:val="00335A6E"/>
    <w:rsid w:val="00335C7F"/>
    <w:rsid w:val="003370D7"/>
    <w:rsid w:val="0033714E"/>
    <w:rsid w:val="00337E2D"/>
    <w:rsid w:val="00340B29"/>
    <w:rsid w:val="00340E91"/>
    <w:rsid w:val="00341321"/>
    <w:rsid w:val="00342536"/>
    <w:rsid w:val="00342769"/>
    <w:rsid w:val="00342A5F"/>
    <w:rsid w:val="00343140"/>
    <w:rsid w:val="00346389"/>
    <w:rsid w:val="003465E7"/>
    <w:rsid w:val="00347F6B"/>
    <w:rsid w:val="00350117"/>
    <w:rsid w:val="00350A3B"/>
    <w:rsid w:val="0035166E"/>
    <w:rsid w:val="003532DF"/>
    <w:rsid w:val="003533D7"/>
    <w:rsid w:val="003540BB"/>
    <w:rsid w:val="00354255"/>
    <w:rsid w:val="003551CD"/>
    <w:rsid w:val="003602AF"/>
    <w:rsid w:val="0036412F"/>
    <w:rsid w:val="00365D58"/>
    <w:rsid w:val="00367697"/>
    <w:rsid w:val="00370448"/>
    <w:rsid w:val="003704A1"/>
    <w:rsid w:val="00372C27"/>
    <w:rsid w:val="00374883"/>
    <w:rsid w:val="0037554B"/>
    <w:rsid w:val="00375F6A"/>
    <w:rsid w:val="00376D12"/>
    <w:rsid w:val="003806AD"/>
    <w:rsid w:val="00380F2A"/>
    <w:rsid w:val="00381E3B"/>
    <w:rsid w:val="00381E3D"/>
    <w:rsid w:val="00383B14"/>
    <w:rsid w:val="00384821"/>
    <w:rsid w:val="00385ADC"/>
    <w:rsid w:val="00386DBD"/>
    <w:rsid w:val="00386DDD"/>
    <w:rsid w:val="00390015"/>
    <w:rsid w:val="003910DB"/>
    <w:rsid w:val="0039292A"/>
    <w:rsid w:val="003936D9"/>
    <w:rsid w:val="00393B16"/>
    <w:rsid w:val="00393F73"/>
    <w:rsid w:val="0039424D"/>
    <w:rsid w:val="0039592E"/>
    <w:rsid w:val="00396E3F"/>
    <w:rsid w:val="00397B7B"/>
    <w:rsid w:val="003A0068"/>
    <w:rsid w:val="003A0632"/>
    <w:rsid w:val="003A0B11"/>
    <w:rsid w:val="003A11A9"/>
    <w:rsid w:val="003A28B4"/>
    <w:rsid w:val="003A3CBA"/>
    <w:rsid w:val="003A424B"/>
    <w:rsid w:val="003A5388"/>
    <w:rsid w:val="003A60C7"/>
    <w:rsid w:val="003A6362"/>
    <w:rsid w:val="003A7B13"/>
    <w:rsid w:val="003A7B25"/>
    <w:rsid w:val="003B1178"/>
    <w:rsid w:val="003B1D02"/>
    <w:rsid w:val="003B1F80"/>
    <w:rsid w:val="003B4395"/>
    <w:rsid w:val="003B4A9F"/>
    <w:rsid w:val="003B59BA"/>
    <w:rsid w:val="003B5BF7"/>
    <w:rsid w:val="003B692C"/>
    <w:rsid w:val="003B7D40"/>
    <w:rsid w:val="003C1BA2"/>
    <w:rsid w:val="003C3892"/>
    <w:rsid w:val="003C4CAA"/>
    <w:rsid w:val="003C5AD7"/>
    <w:rsid w:val="003C5F4E"/>
    <w:rsid w:val="003C77B7"/>
    <w:rsid w:val="003C77D8"/>
    <w:rsid w:val="003D09AC"/>
    <w:rsid w:val="003D120E"/>
    <w:rsid w:val="003D19FD"/>
    <w:rsid w:val="003D1EBD"/>
    <w:rsid w:val="003D3A43"/>
    <w:rsid w:val="003D3DE0"/>
    <w:rsid w:val="003D3EC5"/>
    <w:rsid w:val="003D4373"/>
    <w:rsid w:val="003D4814"/>
    <w:rsid w:val="003D4929"/>
    <w:rsid w:val="003D68CE"/>
    <w:rsid w:val="003E20CB"/>
    <w:rsid w:val="003E45A2"/>
    <w:rsid w:val="003E5FEF"/>
    <w:rsid w:val="003E6132"/>
    <w:rsid w:val="003E7475"/>
    <w:rsid w:val="003E74B9"/>
    <w:rsid w:val="003F0249"/>
    <w:rsid w:val="003F07A1"/>
    <w:rsid w:val="003F1048"/>
    <w:rsid w:val="003F293B"/>
    <w:rsid w:val="003F2947"/>
    <w:rsid w:val="003F373B"/>
    <w:rsid w:val="003F3AA1"/>
    <w:rsid w:val="003F40E6"/>
    <w:rsid w:val="003F4B63"/>
    <w:rsid w:val="003F5C2A"/>
    <w:rsid w:val="003F6778"/>
    <w:rsid w:val="003F7369"/>
    <w:rsid w:val="00402D1D"/>
    <w:rsid w:val="0040375E"/>
    <w:rsid w:val="004048D8"/>
    <w:rsid w:val="00406299"/>
    <w:rsid w:val="00407265"/>
    <w:rsid w:val="00407322"/>
    <w:rsid w:val="0041038C"/>
    <w:rsid w:val="0041079A"/>
    <w:rsid w:val="00410EC3"/>
    <w:rsid w:val="0041267C"/>
    <w:rsid w:val="00412C3F"/>
    <w:rsid w:val="004139AB"/>
    <w:rsid w:val="00414136"/>
    <w:rsid w:val="00416802"/>
    <w:rsid w:val="004178C3"/>
    <w:rsid w:val="00421234"/>
    <w:rsid w:val="0042168A"/>
    <w:rsid w:val="0042615D"/>
    <w:rsid w:val="00426F8E"/>
    <w:rsid w:val="0042791F"/>
    <w:rsid w:val="00431189"/>
    <w:rsid w:val="004311BD"/>
    <w:rsid w:val="004324F3"/>
    <w:rsid w:val="00432798"/>
    <w:rsid w:val="0043366F"/>
    <w:rsid w:val="00434C72"/>
    <w:rsid w:val="004357DA"/>
    <w:rsid w:val="00435A62"/>
    <w:rsid w:val="00437C1A"/>
    <w:rsid w:val="004408DD"/>
    <w:rsid w:val="00441FB0"/>
    <w:rsid w:val="004423F0"/>
    <w:rsid w:val="00442CA6"/>
    <w:rsid w:val="00442D5B"/>
    <w:rsid w:val="00442ECB"/>
    <w:rsid w:val="0044309B"/>
    <w:rsid w:val="00443703"/>
    <w:rsid w:val="00443FE5"/>
    <w:rsid w:val="00444557"/>
    <w:rsid w:val="00444E2E"/>
    <w:rsid w:val="00445AD5"/>
    <w:rsid w:val="004479D0"/>
    <w:rsid w:val="00450BDC"/>
    <w:rsid w:val="00454656"/>
    <w:rsid w:val="0045532E"/>
    <w:rsid w:val="00455D59"/>
    <w:rsid w:val="004566E2"/>
    <w:rsid w:val="00456A0E"/>
    <w:rsid w:val="004606F3"/>
    <w:rsid w:val="00460DF4"/>
    <w:rsid w:val="00463A8B"/>
    <w:rsid w:val="00463EFE"/>
    <w:rsid w:val="00467E37"/>
    <w:rsid w:val="00474F94"/>
    <w:rsid w:val="00475243"/>
    <w:rsid w:val="00475BDF"/>
    <w:rsid w:val="00480E67"/>
    <w:rsid w:val="004832E9"/>
    <w:rsid w:val="00485242"/>
    <w:rsid w:val="00485CE9"/>
    <w:rsid w:val="004903D1"/>
    <w:rsid w:val="00490457"/>
    <w:rsid w:val="00491077"/>
    <w:rsid w:val="00491D67"/>
    <w:rsid w:val="004922CD"/>
    <w:rsid w:val="0049390B"/>
    <w:rsid w:val="00494648"/>
    <w:rsid w:val="00495744"/>
    <w:rsid w:val="0049593F"/>
    <w:rsid w:val="00495CEA"/>
    <w:rsid w:val="00496662"/>
    <w:rsid w:val="00497BD2"/>
    <w:rsid w:val="004A0785"/>
    <w:rsid w:val="004A0805"/>
    <w:rsid w:val="004A2ECE"/>
    <w:rsid w:val="004A489E"/>
    <w:rsid w:val="004A4FAA"/>
    <w:rsid w:val="004A612B"/>
    <w:rsid w:val="004A65C8"/>
    <w:rsid w:val="004A7A29"/>
    <w:rsid w:val="004A7FBB"/>
    <w:rsid w:val="004B136E"/>
    <w:rsid w:val="004B166B"/>
    <w:rsid w:val="004B2DFF"/>
    <w:rsid w:val="004B42CE"/>
    <w:rsid w:val="004B5857"/>
    <w:rsid w:val="004B5999"/>
    <w:rsid w:val="004B77F2"/>
    <w:rsid w:val="004B7A64"/>
    <w:rsid w:val="004B7BCB"/>
    <w:rsid w:val="004C3AF1"/>
    <w:rsid w:val="004C5C0D"/>
    <w:rsid w:val="004C6305"/>
    <w:rsid w:val="004C7841"/>
    <w:rsid w:val="004D0210"/>
    <w:rsid w:val="004D0772"/>
    <w:rsid w:val="004D080F"/>
    <w:rsid w:val="004D20CB"/>
    <w:rsid w:val="004D2407"/>
    <w:rsid w:val="004D2CB7"/>
    <w:rsid w:val="004D42E1"/>
    <w:rsid w:val="004D4EAC"/>
    <w:rsid w:val="004D582F"/>
    <w:rsid w:val="004D5B77"/>
    <w:rsid w:val="004D7943"/>
    <w:rsid w:val="004E0F6A"/>
    <w:rsid w:val="004E1842"/>
    <w:rsid w:val="004E19F5"/>
    <w:rsid w:val="004E1B73"/>
    <w:rsid w:val="004E2297"/>
    <w:rsid w:val="004E2716"/>
    <w:rsid w:val="004E2779"/>
    <w:rsid w:val="004E2787"/>
    <w:rsid w:val="004E3A63"/>
    <w:rsid w:val="004E3B45"/>
    <w:rsid w:val="004E4234"/>
    <w:rsid w:val="004E7125"/>
    <w:rsid w:val="004F080A"/>
    <w:rsid w:val="004F293A"/>
    <w:rsid w:val="004F5507"/>
    <w:rsid w:val="004F568F"/>
    <w:rsid w:val="004F5AA4"/>
    <w:rsid w:val="004F5B0E"/>
    <w:rsid w:val="004F5E64"/>
    <w:rsid w:val="004F6683"/>
    <w:rsid w:val="004F7AAA"/>
    <w:rsid w:val="005008DF"/>
    <w:rsid w:val="00500D0E"/>
    <w:rsid w:val="0050116F"/>
    <w:rsid w:val="00502A4C"/>
    <w:rsid w:val="00502B6D"/>
    <w:rsid w:val="00502C2E"/>
    <w:rsid w:val="00502F55"/>
    <w:rsid w:val="00505C42"/>
    <w:rsid w:val="00507717"/>
    <w:rsid w:val="00510C99"/>
    <w:rsid w:val="00511261"/>
    <w:rsid w:val="005112E4"/>
    <w:rsid w:val="00511C95"/>
    <w:rsid w:val="00512965"/>
    <w:rsid w:val="0051357D"/>
    <w:rsid w:val="00515562"/>
    <w:rsid w:val="00515963"/>
    <w:rsid w:val="00515B7A"/>
    <w:rsid w:val="0052202D"/>
    <w:rsid w:val="00522A8D"/>
    <w:rsid w:val="00522F4C"/>
    <w:rsid w:val="00523285"/>
    <w:rsid w:val="00523FB2"/>
    <w:rsid w:val="005243D4"/>
    <w:rsid w:val="00524F7C"/>
    <w:rsid w:val="005250B4"/>
    <w:rsid w:val="005260E1"/>
    <w:rsid w:val="005279A0"/>
    <w:rsid w:val="00531804"/>
    <w:rsid w:val="00531E5A"/>
    <w:rsid w:val="00532D5E"/>
    <w:rsid w:val="00536014"/>
    <w:rsid w:val="005366DC"/>
    <w:rsid w:val="0053689C"/>
    <w:rsid w:val="0053765C"/>
    <w:rsid w:val="00540F5E"/>
    <w:rsid w:val="005418F7"/>
    <w:rsid w:val="0054296C"/>
    <w:rsid w:val="0054365A"/>
    <w:rsid w:val="00544A40"/>
    <w:rsid w:val="005458A3"/>
    <w:rsid w:val="00546C0A"/>
    <w:rsid w:val="00547F08"/>
    <w:rsid w:val="00550A02"/>
    <w:rsid w:val="00551445"/>
    <w:rsid w:val="00552788"/>
    <w:rsid w:val="005527F6"/>
    <w:rsid w:val="00552B52"/>
    <w:rsid w:val="0055348E"/>
    <w:rsid w:val="00554F9F"/>
    <w:rsid w:val="005565A4"/>
    <w:rsid w:val="005567FF"/>
    <w:rsid w:val="00557E6A"/>
    <w:rsid w:val="005631F4"/>
    <w:rsid w:val="005652FF"/>
    <w:rsid w:val="005653EA"/>
    <w:rsid w:val="00567E3C"/>
    <w:rsid w:val="00570824"/>
    <w:rsid w:val="00570F08"/>
    <w:rsid w:val="00571E40"/>
    <w:rsid w:val="005732AB"/>
    <w:rsid w:val="00573467"/>
    <w:rsid w:val="00573681"/>
    <w:rsid w:val="00573F25"/>
    <w:rsid w:val="005743CB"/>
    <w:rsid w:val="0057636C"/>
    <w:rsid w:val="005768C6"/>
    <w:rsid w:val="00576ECE"/>
    <w:rsid w:val="00577E6B"/>
    <w:rsid w:val="005820A0"/>
    <w:rsid w:val="0058225F"/>
    <w:rsid w:val="00582585"/>
    <w:rsid w:val="005846A0"/>
    <w:rsid w:val="005853C3"/>
    <w:rsid w:val="005861F0"/>
    <w:rsid w:val="00586A1A"/>
    <w:rsid w:val="00586A46"/>
    <w:rsid w:val="00591C8E"/>
    <w:rsid w:val="00591D44"/>
    <w:rsid w:val="00592727"/>
    <w:rsid w:val="00592AB8"/>
    <w:rsid w:val="00593400"/>
    <w:rsid w:val="00594CF8"/>
    <w:rsid w:val="00595B18"/>
    <w:rsid w:val="005971D8"/>
    <w:rsid w:val="005A07BC"/>
    <w:rsid w:val="005A07FB"/>
    <w:rsid w:val="005A1174"/>
    <w:rsid w:val="005A2EDB"/>
    <w:rsid w:val="005A424E"/>
    <w:rsid w:val="005A517C"/>
    <w:rsid w:val="005A52E5"/>
    <w:rsid w:val="005A55F7"/>
    <w:rsid w:val="005A5E0E"/>
    <w:rsid w:val="005A63A9"/>
    <w:rsid w:val="005A664F"/>
    <w:rsid w:val="005B01A4"/>
    <w:rsid w:val="005B11C8"/>
    <w:rsid w:val="005B19DB"/>
    <w:rsid w:val="005B28F5"/>
    <w:rsid w:val="005B3D7A"/>
    <w:rsid w:val="005B453C"/>
    <w:rsid w:val="005B4671"/>
    <w:rsid w:val="005B4BFE"/>
    <w:rsid w:val="005B4E06"/>
    <w:rsid w:val="005B6004"/>
    <w:rsid w:val="005B65BF"/>
    <w:rsid w:val="005B67F9"/>
    <w:rsid w:val="005B6B2B"/>
    <w:rsid w:val="005C0A37"/>
    <w:rsid w:val="005C1369"/>
    <w:rsid w:val="005C4921"/>
    <w:rsid w:val="005C4F32"/>
    <w:rsid w:val="005C5AB6"/>
    <w:rsid w:val="005D0AA1"/>
    <w:rsid w:val="005D17B3"/>
    <w:rsid w:val="005D386C"/>
    <w:rsid w:val="005D45C1"/>
    <w:rsid w:val="005D683A"/>
    <w:rsid w:val="005E1686"/>
    <w:rsid w:val="005E4067"/>
    <w:rsid w:val="005E52FF"/>
    <w:rsid w:val="005E74A9"/>
    <w:rsid w:val="005E7BF3"/>
    <w:rsid w:val="005F17D1"/>
    <w:rsid w:val="005F289C"/>
    <w:rsid w:val="005F4199"/>
    <w:rsid w:val="005F564C"/>
    <w:rsid w:val="005F61E0"/>
    <w:rsid w:val="005F75DD"/>
    <w:rsid w:val="006001FD"/>
    <w:rsid w:val="00601B64"/>
    <w:rsid w:val="00606B0E"/>
    <w:rsid w:val="006070E7"/>
    <w:rsid w:val="006126AF"/>
    <w:rsid w:val="006129FD"/>
    <w:rsid w:val="00613FB9"/>
    <w:rsid w:val="00614061"/>
    <w:rsid w:val="00614D23"/>
    <w:rsid w:val="006204E4"/>
    <w:rsid w:val="006214E9"/>
    <w:rsid w:val="00621779"/>
    <w:rsid w:val="00622815"/>
    <w:rsid w:val="00622D1A"/>
    <w:rsid w:val="0062592C"/>
    <w:rsid w:val="00626B1E"/>
    <w:rsid w:val="00627681"/>
    <w:rsid w:val="00627D4F"/>
    <w:rsid w:val="00630E1B"/>
    <w:rsid w:val="0063136C"/>
    <w:rsid w:val="00632825"/>
    <w:rsid w:val="00632E71"/>
    <w:rsid w:val="00633216"/>
    <w:rsid w:val="006340EA"/>
    <w:rsid w:val="00635E47"/>
    <w:rsid w:val="00636374"/>
    <w:rsid w:val="006369BC"/>
    <w:rsid w:val="00640E8B"/>
    <w:rsid w:val="0064623F"/>
    <w:rsid w:val="00646B7F"/>
    <w:rsid w:val="006474A2"/>
    <w:rsid w:val="0065171F"/>
    <w:rsid w:val="00651ACF"/>
    <w:rsid w:val="00652BE3"/>
    <w:rsid w:val="006537DA"/>
    <w:rsid w:val="006549EC"/>
    <w:rsid w:val="00654B80"/>
    <w:rsid w:val="006562B5"/>
    <w:rsid w:val="00656E07"/>
    <w:rsid w:val="00663B68"/>
    <w:rsid w:val="00664548"/>
    <w:rsid w:val="00665ECD"/>
    <w:rsid w:val="00666527"/>
    <w:rsid w:val="00666C96"/>
    <w:rsid w:val="00667B16"/>
    <w:rsid w:val="0067019D"/>
    <w:rsid w:val="0067020F"/>
    <w:rsid w:val="00672341"/>
    <w:rsid w:val="0067302D"/>
    <w:rsid w:val="00673483"/>
    <w:rsid w:val="006742E3"/>
    <w:rsid w:val="0068088D"/>
    <w:rsid w:val="00680FF1"/>
    <w:rsid w:val="006820F0"/>
    <w:rsid w:val="0068487B"/>
    <w:rsid w:val="0068597F"/>
    <w:rsid w:val="0068635A"/>
    <w:rsid w:val="00686F71"/>
    <w:rsid w:val="006874C9"/>
    <w:rsid w:val="00696533"/>
    <w:rsid w:val="006972E2"/>
    <w:rsid w:val="006A008C"/>
    <w:rsid w:val="006A1378"/>
    <w:rsid w:val="006A13AE"/>
    <w:rsid w:val="006A2B23"/>
    <w:rsid w:val="006A3C84"/>
    <w:rsid w:val="006A4B7C"/>
    <w:rsid w:val="006A4DDF"/>
    <w:rsid w:val="006A5CC1"/>
    <w:rsid w:val="006A7ED1"/>
    <w:rsid w:val="006B009C"/>
    <w:rsid w:val="006B095E"/>
    <w:rsid w:val="006B1653"/>
    <w:rsid w:val="006B17E2"/>
    <w:rsid w:val="006B1830"/>
    <w:rsid w:val="006B47EE"/>
    <w:rsid w:val="006B48CA"/>
    <w:rsid w:val="006B5323"/>
    <w:rsid w:val="006B5C08"/>
    <w:rsid w:val="006B71A1"/>
    <w:rsid w:val="006B798A"/>
    <w:rsid w:val="006C15C6"/>
    <w:rsid w:val="006C262C"/>
    <w:rsid w:val="006C4E31"/>
    <w:rsid w:val="006C5B15"/>
    <w:rsid w:val="006C6FCF"/>
    <w:rsid w:val="006C7377"/>
    <w:rsid w:val="006D33E3"/>
    <w:rsid w:val="006D585D"/>
    <w:rsid w:val="006D697A"/>
    <w:rsid w:val="006E0071"/>
    <w:rsid w:val="006E0BE7"/>
    <w:rsid w:val="006E0DF5"/>
    <w:rsid w:val="006E1A20"/>
    <w:rsid w:val="006E4728"/>
    <w:rsid w:val="006E6F3A"/>
    <w:rsid w:val="006E7623"/>
    <w:rsid w:val="006F1A8C"/>
    <w:rsid w:val="006F2271"/>
    <w:rsid w:val="006F38D4"/>
    <w:rsid w:val="006F41D4"/>
    <w:rsid w:val="006F4768"/>
    <w:rsid w:val="006F5905"/>
    <w:rsid w:val="0070122B"/>
    <w:rsid w:val="00702921"/>
    <w:rsid w:val="00702A40"/>
    <w:rsid w:val="00703AC1"/>
    <w:rsid w:val="007045FF"/>
    <w:rsid w:val="00710254"/>
    <w:rsid w:val="007103DE"/>
    <w:rsid w:val="007142EF"/>
    <w:rsid w:val="007143D1"/>
    <w:rsid w:val="0071443E"/>
    <w:rsid w:val="00715C72"/>
    <w:rsid w:val="00717A87"/>
    <w:rsid w:val="0072187C"/>
    <w:rsid w:val="007225C2"/>
    <w:rsid w:val="007228F2"/>
    <w:rsid w:val="00723049"/>
    <w:rsid w:val="0072353F"/>
    <w:rsid w:val="007240AE"/>
    <w:rsid w:val="007250D7"/>
    <w:rsid w:val="0072520F"/>
    <w:rsid w:val="007262CC"/>
    <w:rsid w:val="00727689"/>
    <w:rsid w:val="007315B5"/>
    <w:rsid w:val="0073169B"/>
    <w:rsid w:val="00731CC6"/>
    <w:rsid w:val="007333C7"/>
    <w:rsid w:val="00733915"/>
    <w:rsid w:val="007339BC"/>
    <w:rsid w:val="007341E7"/>
    <w:rsid w:val="00734B70"/>
    <w:rsid w:val="00735742"/>
    <w:rsid w:val="007375EE"/>
    <w:rsid w:val="00742BF1"/>
    <w:rsid w:val="00743706"/>
    <w:rsid w:val="00743A5E"/>
    <w:rsid w:val="00745150"/>
    <w:rsid w:val="00745BBF"/>
    <w:rsid w:val="0074696B"/>
    <w:rsid w:val="00746F35"/>
    <w:rsid w:val="007508D2"/>
    <w:rsid w:val="007517A5"/>
    <w:rsid w:val="00751FF0"/>
    <w:rsid w:val="00752250"/>
    <w:rsid w:val="00752FEC"/>
    <w:rsid w:val="0075403E"/>
    <w:rsid w:val="00754F7E"/>
    <w:rsid w:val="007554D3"/>
    <w:rsid w:val="007638A4"/>
    <w:rsid w:val="00763E6F"/>
    <w:rsid w:val="00766C1A"/>
    <w:rsid w:val="00767398"/>
    <w:rsid w:val="0077074C"/>
    <w:rsid w:val="00773EEB"/>
    <w:rsid w:val="00774D21"/>
    <w:rsid w:val="007750B6"/>
    <w:rsid w:val="007760E8"/>
    <w:rsid w:val="00780704"/>
    <w:rsid w:val="00780DA5"/>
    <w:rsid w:val="00781A8A"/>
    <w:rsid w:val="007829CB"/>
    <w:rsid w:val="00783363"/>
    <w:rsid w:val="007834D8"/>
    <w:rsid w:val="00785B29"/>
    <w:rsid w:val="00785FCC"/>
    <w:rsid w:val="0078689E"/>
    <w:rsid w:val="00790E2B"/>
    <w:rsid w:val="00791D18"/>
    <w:rsid w:val="00793085"/>
    <w:rsid w:val="00793EEF"/>
    <w:rsid w:val="00794F8D"/>
    <w:rsid w:val="00797271"/>
    <w:rsid w:val="007A1B6C"/>
    <w:rsid w:val="007A2349"/>
    <w:rsid w:val="007A35FC"/>
    <w:rsid w:val="007A4CB8"/>
    <w:rsid w:val="007A6DF4"/>
    <w:rsid w:val="007A70A9"/>
    <w:rsid w:val="007B675E"/>
    <w:rsid w:val="007B762A"/>
    <w:rsid w:val="007B794C"/>
    <w:rsid w:val="007B7961"/>
    <w:rsid w:val="007B7CE6"/>
    <w:rsid w:val="007C14F3"/>
    <w:rsid w:val="007C3727"/>
    <w:rsid w:val="007C523B"/>
    <w:rsid w:val="007C67C1"/>
    <w:rsid w:val="007C701E"/>
    <w:rsid w:val="007C79CC"/>
    <w:rsid w:val="007D0860"/>
    <w:rsid w:val="007D0E1A"/>
    <w:rsid w:val="007D2AE5"/>
    <w:rsid w:val="007D3B5A"/>
    <w:rsid w:val="007D3CE8"/>
    <w:rsid w:val="007D4D27"/>
    <w:rsid w:val="007D51C7"/>
    <w:rsid w:val="007D699D"/>
    <w:rsid w:val="007D6FA3"/>
    <w:rsid w:val="007D769C"/>
    <w:rsid w:val="007D7CC3"/>
    <w:rsid w:val="007E097E"/>
    <w:rsid w:val="007E0A19"/>
    <w:rsid w:val="007E0A94"/>
    <w:rsid w:val="007E2788"/>
    <w:rsid w:val="007E30F2"/>
    <w:rsid w:val="007E3BB6"/>
    <w:rsid w:val="007E47F4"/>
    <w:rsid w:val="007E598D"/>
    <w:rsid w:val="007E5D4D"/>
    <w:rsid w:val="007E679D"/>
    <w:rsid w:val="007E6EA5"/>
    <w:rsid w:val="007F0472"/>
    <w:rsid w:val="007F04DC"/>
    <w:rsid w:val="007F0DCE"/>
    <w:rsid w:val="007F3D06"/>
    <w:rsid w:val="007F5421"/>
    <w:rsid w:val="007F54EF"/>
    <w:rsid w:val="007F58D5"/>
    <w:rsid w:val="007F5ADB"/>
    <w:rsid w:val="00800F3B"/>
    <w:rsid w:val="0080116A"/>
    <w:rsid w:val="00801F3D"/>
    <w:rsid w:val="00801FDD"/>
    <w:rsid w:val="00806BE4"/>
    <w:rsid w:val="008077A5"/>
    <w:rsid w:val="00807AEB"/>
    <w:rsid w:val="00807BB4"/>
    <w:rsid w:val="00807D02"/>
    <w:rsid w:val="00807E25"/>
    <w:rsid w:val="008101FA"/>
    <w:rsid w:val="00810431"/>
    <w:rsid w:val="00812099"/>
    <w:rsid w:val="00812C38"/>
    <w:rsid w:val="008131C2"/>
    <w:rsid w:val="00813A92"/>
    <w:rsid w:val="00814113"/>
    <w:rsid w:val="00814876"/>
    <w:rsid w:val="00820091"/>
    <w:rsid w:val="008200A0"/>
    <w:rsid w:val="00820612"/>
    <w:rsid w:val="008209E1"/>
    <w:rsid w:val="00821404"/>
    <w:rsid w:val="00822E61"/>
    <w:rsid w:val="0082691B"/>
    <w:rsid w:val="00826B77"/>
    <w:rsid w:val="00826E04"/>
    <w:rsid w:val="00826E8E"/>
    <w:rsid w:val="0082746C"/>
    <w:rsid w:val="00830288"/>
    <w:rsid w:val="0083205D"/>
    <w:rsid w:val="00832359"/>
    <w:rsid w:val="00832FBA"/>
    <w:rsid w:val="0083334B"/>
    <w:rsid w:val="00833383"/>
    <w:rsid w:val="008355F8"/>
    <w:rsid w:val="00835E19"/>
    <w:rsid w:val="00835EC0"/>
    <w:rsid w:val="00836437"/>
    <w:rsid w:val="0084016F"/>
    <w:rsid w:val="00840908"/>
    <w:rsid w:val="00841658"/>
    <w:rsid w:val="00841C34"/>
    <w:rsid w:val="0084375D"/>
    <w:rsid w:val="00844261"/>
    <w:rsid w:val="008443C7"/>
    <w:rsid w:val="00846D31"/>
    <w:rsid w:val="008473A2"/>
    <w:rsid w:val="00850002"/>
    <w:rsid w:val="0085080D"/>
    <w:rsid w:val="00851669"/>
    <w:rsid w:val="00851EA3"/>
    <w:rsid w:val="00852172"/>
    <w:rsid w:val="00852D73"/>
    <w:rsid w:val="008530F3"/>
    <w:rsid w:val="00854AF9"/>
    <w:rsid w:val="00855D9E"/>
    <w:rsid w:val="008570F2"/>
    <w:rsid w:val="00861CD7"/>
    <w:rsid w:val="0086230A"/>
    <w:rsid w:val="008625C8"/>
    <w:rsid w:val="00862C49"/>
    <w:rsid w:val="00864311"/>
    <w:rsid w:val="00865925"/>
    <w:rsid w:val="0087008B"/>
    <w:rsid w:val="00870514"/>
    <w:rsid w:val="00873162"/>
    <w:rsid w:val="00875060"/>
    <w:rsid w:val="0087620F"/>
    <w:rsid w:val="008775B4"/>
    <w:rsid w:val="00877C2B"/>
    <w:rsid w:val="00877ED7"/>
    <w:rsid w:val="00880355"/>
    <w:rsid w:val="00886EF0"/>
    <w:rsid w:val="00887839"/>
    <w:rsid w:val="00887D33"/>
    <w:rsid w:val="00891AF3"/>
    <w:rsid w:val="0089257C"/>
    <w:rsid w:val="0089335D"/>
    <w:rsid w:val="00893AAE"/>
    <w:rsid w:val="008943A8"/>
    <w:rsid w:val="008949E0"/>
    <w:rsid w:val="008951D9"/>
    <w:rsid w:val="0089572F"/>
    <w:rsid w:val="008970B4"/>
    <w:rsid w:val="008A0610"/>
    <w:rsid w:val="008A0802"/>
    <w:rsid w:val="008A0EB5"/>
    <w:rsid w:val="008A1910"/>
    <w:rsid w:val="008A207E"/>
    <w:rsid w:val="008A3DF5"/>
    <w:rsid w:val="008A4F1F"/>
    <w:rsid w:val="008A5D37"/>
    <w:rsid w:val="008A63C9"/>
    <w:rsid w:val="008A65A4"/>
    <w:rsid w:val="008A71F1"/>
    <w:rsid w:val="008A7678"/>
    <w:rsid w:val="008B0A23"/>
    <w:rsid w:val="008B2698"/>
    <w:rsid w:val="008B2B9B"/>
    <w:rsid w:val="008B2FD7"/>
    <w:rsid w:val="008B34F8"/>
    <w:rsid w:val="008B6189"/>
    <w:rsid w:val="008B7DF6"/>
    <w:rsid w:val="008C0E12"/>
    <w:rsid w:val="008C134A"/>
    <w:rsid w:val="008C1E0B"/>
    <w:rsid w:val="008C22A7"/>
    <w:rsid w:val="008C2ED6"/>
    <w:rsid w:val="008C6B68"/>
    <w:rsid w:val="008C71D8"/>
    <w:rsid w:val="008D16AD"/>
    <w:rsid w:val="008D364D"/>
    <w:rsid w:val="008D42B2"/>
    <w:rsid w:val="008D4FFD"/>
    <w:rsid w:val="008D549D"/>
    <w:rsid w:val="008D59A4"/>
    <w:rsid w:val="008D5CCE"/>
    <w:rsid w:val="008D6D9C"/>
    <w:rsid w:val="008D70F1"/>
    <w:rsid w:val="008E12A1"/>
    <w:rsid w:val="008E2C3B"/>
    <w:rsid w:val="008E2E31"/>
    <w:rsid w:val="008E3113"/>
    <w:rsid w:val="008E4AD5"/>
    <w:rsid w:val="008E55DE"/>
    <w:rsid w:val="008E6F06"/>
    <w:rsid w:val="008E7F5C"/>
    <w:rsid w:val="008F22FF"/>
    <w:rsid w:val="008F2988"/>
    <w:rsid w:val="008F44A2"/>
    <w:rsid w:val="008F5BDB"/>
    <w:rsid w:val="008F6C8B"/>
    <w:rsid w:val="008F79C0"/>
    <w:rsid w:val="00901018"/>
    <w:rsid w:val="00903404"/>
    <w:rsid w:val="0090455B"/>
    <w:rsid w:val="00905C18"/>
    <w:rsid w:val="009061BD"/>
    <w:rsid w:val="009064F6"/>
    <w:rsid w:val="0090677D"/>
    <w:rsid w:val="009072BD"/>
    <w:rsid w:val="00907B4A"/>
    <w:rsid w:val="00907D70"/>
    <w:rsid w:val="00910336"/>
    <w:rsid w:val="0091042C"/>
    <w:rsid w:val="00910442"/>
    <w:rsid w:val="0091189D"/>
    <w:rsid w:val="00912CC5"/>
    <w:rsid w:val="0091376A"/>
    <w:rsid w:val="00914F16"/>
    <w:rsid w:val="00915B40"/>
    <w:rsid w:val="009171F4"/>
    <w:rsid w:val="009201EB"/>
    <w:rsid w:val="0092107C"/>
    <w:rsid w:val="009218FF"/>
    <w:rsid w:val="00921C9E"/>
    <w:rsid w:val="009220C1"/>
    <w:rsid w:val="00923010"/>
    <w:rsid w:val="009238DE"/>
    <w:rsid w:val="009246B7"/>
    <w:rsid w:val="00925E91"/>
    <w:rsid w:val="00925EE6"/>
    <w:rsid w:val="009314BC"/>
    <w:rsid w:val="0093153E"/>
    <w:rsid w:val="00931C8B"/>
    <w:rsid w:val="00935FE4"/>
    <w:rsid w:val="009362D8"/>
    <w:rsid w:val="00937CB1"/>
    <w:rsid w:val="009427CF"/>
    <w:rsid w:val="00942B75"/>
    <w:rsid w:val="009436F2"/>
    <w:rsid w:val="0094568A"/>
    <w:rsid w:val="0094678B"/>
    <w:rsid w:val="00946C9A"/>
    <w:rsid w:val="00947AB4"/>
    <w:rsid w:val="00950725"/>
    <w:rsid w:val="00954A26"/>
    <w:rsid w:val="00954DF7"/>
    <w:rsid w:val="009553CB"/>
    <w:rsid w:val="00957600"/>
    <w:rsid w:val="00957955"/>
    <w:rsid w:val="00957A1B"/>
    <w:rsid w:val="00962B91"/>
    <w:rsid w:val="0096489D"/>
    <w:rsid w:val="0096647B"/>
    <w:rsid w:val="009664AF"/>
    <w:rsid w:val="009677BF"/>
    <w:rsid w:val="009709F1"/>
    <w:rsid w:val="00971545"/>
    <w:rsid w:val="0097216B"/>
    <w:rsid w:val="009738C8"/>
    <w:rsid w:val="00973D0D"/>
    <w:rsid w:val="00974281"/>
    <w:rsid w:val="009746A4"/>
    <w:rsid w:val="009748AC"/>
    <w:rsid w:val="00974913"/>
    <w:rsid w:val="00977FF5"/>
    <w:rsid w:val="00980F3B"/>
    <w:rsid w:val="00980F8E"/>
    <w:rsid w:val="00981867"/>
    <w:rsid w:val="00981E00"/>
    <w:rsid w:val="009824CC"/>
    <w:rsid w:val="009840B0"/>
    <w:rsid w:val="0098685F"/>
    <w:rsid w:val="00987876"/>
    <w:rsid w:val="00991681"/>
    <w:rsid w:val="0099432E"/>
    <w:rsid w:val="00995EF9"/>
    <w:rsid w:val="00996443"/>
    <w:rsid w:val="009A023D"/>
    <w:rsid w:val="009A1618"/>
    <w:rsid w:val="009A1A26"/>
    <w:rsid w:val="009A1F63"/>
    <w:rsid w:val="009A2018"/>
    <w:rsid w:val="009A210D"/>
    <w:rsid w:val="009A2B1A"/>
    <w:rsid w:val="009A2D46"/>
    <w:rsid w:val="009A478C"/>
    <w:rsid w:val="009A4E0F"/>
    <w:rsid w:val="009A77CB"/>
    <w:rsid w:val="009B34A7"/>
    <w:rsid w:val="009B4D09"/>
    <w:rsid w:val="009B551D"/>
    <w:rsid w:val="009B5B06"/>
    <w:rsid w:val="009B6109"/>
    <w:rsid w:val="009B61B4"/>
    <w:rsid w:val="009B7380"/>
    <w:rsid w:val="009C0CBA"/>
    <w:rsid w:val="009C135A"/>
    <w:rsid w:val="009C1BDB"/>
    <w:rsid w:val="009C2D0B"/>
    <w:rsid w:val="009C331F"/>
    <w:rsid w:val="009C353D"/>
    <w:rsid w:val="009C37C5"/>
    <w:rsid w:val="009C42A5"/>
    <w:rsid w:val="009C4B02"/>
    <w:rsid w:val="009C6401"/>
    <w:rsid w:val="009C6F18"/>
    <w:rsid w:val="009D04E1"/>
    <w:rsid w:val="009D04EE"/>
    <w:rsid w:val="009D0998"/>
    <w:rsid w:val="009D0F7B"/>
    <w:rsid w:val="009D10AA"/>
    <w:rsid w:val="009D31EA"/>
    <w:rsid w:val="009D4ABC"/>
    <w:rsid w:val="009D55E8"/>
    <w:rsid w:val="009D5DF1"/>
    <w:rsid w:val="009E18AC"/>
    <w:rsid w:val="009E3727"/>
    <w:rsid w:val="009E3B85"/>
    <w:rsid w:val="009E6198"/>
    <w:rsid w:val="009F08DF"/>
    <w:rsid w:val="009F0D67"/>
    <w:rsid w:val="009F2D25"/>
    <w:rsid w:val="009F2DB1"/>
    <w:rsid w:val="009F3770"/>
    <w:rsid w:val="009F40BD"/>
    <w:rsid w:val="009F4F6C"/>
    <w:rsid w:val="009F57D5"/>
    <w:rsid w:val="009F7DF1"/>
    <w:rsid w:val="00A00154"/>
    <w:rsid w:val="00A017A5"/>
    <w:rsid w:val="00A02D7B"/>
    <w:rsid w:val="00A02EC7"/>
    <w:rsid w:val="00A03CA2"/>
    <w:rsid w:val="00A03E3E"/>
    <w:rsid w:val="00A04B88"/>
    <w:rsid w:val="00A04E1E"/>
    <w:rsid w:val="00A04E78"/>
    <w:rsid w:val="00A06BDA"/>
    <w:rsid w:val="00A07502"/>
    <w:rsid w:val="00A079F4"/>
    <w:rsid w:val="00A11103"/>
    <w:rsid w:val="00A11934"/>
    <w:rsid w:val="00A13212"/>
    <w:rsid w:val="00A13293"/>
    <w:rsid w:val="00A152B2"/>
    <w:rsid w:val="00A15331"/>
    <w:rsid w:val="00A16423"/>
    <w:rsid w:val="00A1719D"/>
    <w:rsid w:val="00A179F4"/>
    <w:rsid w:val="00A17BF0"/>
    <w:rsid w:val="00A20B3C"/>
    <w:rsid w:val="00A21255"/>
    <w:rsid w:val="00A215FE"/>
    <w:rsid w:val="00A24ADD"/>
    <w:rsid w:val="00A31892"/>
    <w:rsid w:val="00A3225C"/>
    <w:rsid w:val="00A33BAD"/>
    <w:rsid w:val="00A35170"/>
    <w:rsid w:val="00A36905"/>
    <w:rsid w:val="00A36D00"/>
    <w:rsid w:val="00A43B59"/>
    <w:rsid w:val="00A44D59"/>
    <w:rsid w:val="00A44E88"/>
    <w:rsid w:val="00A45F91"/>
    <w:rsid w:val="00A46CC6"/>
    <w:rsid w:val="00A47C6F"/>
    <w:rsid w:val="00A5101A"/>
    <w:rsid w:val="00A5114D"/>
    <w:rsid w:val="00A51410"/>
    <w:rsid w:val="00A52B12"/>
    <w:rsid w:val="00A54431"/>
    <w:rsid w:val="00A56C27"/>
    <w:rsid w:val="00A570B1"/>
    <w:rsid w:val="00A57E26"/>
    <w:rsid w:val="00A620B7"/>
    <w:rsid w:val="00A62BFA"/>
    <w:rsid w:val="00A6344F"/>
    <w:rsid w:val="00A6718F"/>
    <w:rsid w:val="00A704F0"/>
    <w:rsid w:val="00A713B4"/>
    <w:rsid w:val="00A72A20"/>
    <w:rsid w:val="00A7312A"/>
    <w:rsid w:val="00A7391E"/>
    <w:rsid w:val="00A74DC4"/>
    <w:rsid w:val="00A769CB"/>
    <w:rsid w:val="00A76FD8"/>
    <w:rsid w:val="00A772C9"/>
    <w:rsid w:val="00A77492"/>
    <w:rsid w:val="00A77639"/>
    <w:rsid w:val="00A77AD3"/>
    <w:rsid w:val="00A8140B"/>
    <w:rsid w:val="00A81EF7"/>
    <w:rsid w:val="00A85173"/>
    <w:rsid w:val="00A901B3"/>
    <w:rsid w:val="00A908D8"/>
    <w:rsid w:val="00A90997"/>
    <w:rsid w:val="00A91177"/>
    <w:rsid w:val="00A93564"/>
    <w:rsid w:val="00A93A0A"/>
    <w:rsid w:val="00A94AA5"/>
    <w:rsid w:val="00A9622B"/>
    <w:rsid w:val="00AA09E8"/>
    <w:rsid w:val="00AA106D"/>
    <w:rsid w:val="00AA1827"/>
    <w:rsid w:val="00AA2720"/>
    <w:rsid w:val="00AA375B"/>
    <w:rsid w:val="00AA3F47"/>
    <w:rsid w:val="00AA4158"/>
    <w:rsid w:val="00AA470C"/>
    <w:rsid w:val="00AA6650"/>
    <w:rsid w:val="00AA6C11"/>
    <w:rsid w:val="00AA7179"/>
    <w:rsid w:val="00AB04FE"/>
    <w:rsid w:val="00AB058C"/>
    <w:rsid w:val="00AB1939"/>
    <w:rsid w:val="00AB1FC8"/>
    <w:rsid w:val="00AB2FC6"/>
    <w:rsid w:val="00AB4025"/>
    <w:rsid w:val="00AB4E0D"/>
    <w:rsid w:val="00AB617A"/>
    <w:rsid w:val="00AB66C3"/>
    <w:rsid w:val="00AB75D1"/>
    <w:rsid w:val="00AB7D63"/>
    <w:rsid w:val="00AC00CD"/>
    <w:rsid w:val="00AC04FD"/>
    <w:rsid w:val="00AC0EC5"/>
    <w:rsid w:val="00AC1AD6"/>
    <w:rsid w:val="00AC2858"/>
    <w:rsid w:val="00AC3A68"/>
    <w:rsid w:val="00AC4721"/>
    <w:rsid w:val="00AC4DE7"/>
    <w:rsid w:val="00AC6E6A"/>
    <w:rsid w:val="00AC7BE4"/>
    <w:rsid w:val="00AD0731"/>
    <w:rsid w:val="00AD097E"/>
    <w:rsid w:val="00AD3872"/>
    <w:rsid w:val="00AD45B0"/>
    <w:rsid w:val="00AD4E4B"/>
    <w:rsid w:val="00AD53E0"/>
    <w:rsid w:val="00AD6755"/>
    <w:rsid w:val="00AD72B3"/>
    <w:rsid w:val="00AD7E4D"/>
    <w:rsid w:val="00AD7FEF"/>
    <w:rsid w:val="00AE0257"/>
    <w:rsid w:val="00AE05D7"/>
    <w:rsid w:val="00AE0796"/>
    <w:rsid w:val="00AE38FD"/>
    <w:rsid w:val="00AE3D74"/>
    <w:rsid w:val="00AE50E3"/>
    <w:rsid w:val="00AE7382"/>
    <w:rsid w:val="00AE7B60"/>
    <w:rsid w:val="00AF1003"/>
    <w:rsid w:val="00AF34A6"/>
    <w:rsid w:val="00AF39D0"/>
    <w:rsid w:val="00AF3FD9"/>
    <w:rsid w:val="00AF5320"/>
    <w:rsid w:val="00AF58D9"/>
    <w:rsid w:val="00AF6D08"/>
    <w:rsid w:val="00AF6FE5"/>
    <w:rsid w:val="00AF77D5"/>
    <w:rsid w:val="00B0090D"/>
    <w:rsid w:val="00B01B7C"/>
    <w:rsid w:val="00B030F3"/>
    <w:rsid w:val="00B04DC1"/>
    <w:rsid w:val="00B073D1"/>
    <w:rsid w:val="00B0763E"/>
    <w:rsid w:val="00B1000D"/>
    <w:rsid w:val="00B12523"/>
    <w:rsid w:val="00B133DE"/>
    <w:rsid w:val="00B134B2"/>
    <w:rsid w:val="00B14742"/>
    <w:rsid w:val="00B17373"/>
    <w:rsid w:val="00B17C1B"/>
    <w:rsid w:val="00B17D9B"/>
    <w:rsid w:val="00B218C4"/>
    <w:rsid w:val="00B2237B"/>
    <w:rsid w:val="00B2387D"/>
    <w:rsid w:val="00B2414E"/>
    <w:rsid w:val="00B26315"/>
    <w:rsid w:val="00B26B8B"/>
    <w:rsid w:val="00B304CF"/>
    <w:rsid w:val="00B3091D"/>
    <w:rsid w:val="00B31A7D"/>
    <w:rsid w:val="00B327AA"/>
    <w:rsid w:val="00B3566C"/>
    <w:rsid w:val="00B35AD9"/>
    <w:rsid w:val="00B36BB5"/>
    <w:rsid w:val="00B3721C"/>
    <w:rsid w:val="00B3767E"/>
    <w:rsid w:val="00B42E92"/>
    <w:rsid w:val="00B43786"/>
    <w:rsid w:val="00B43BE6"/>
    <w:rsid w:val="00B44197"/>
    <w:rsid w:val="00B44CEE"/>
    <w:rsid w:val="00B44F1A"/>
    <w:rsid w:val="00B44F4C"/>
    <w:rsid w:val="00B4575B"/>
    <w:rsid w:val="00B466DD"/>
    <w:rsid w:val="00B47A6D"/>
    <w:rsid w:val="00B47FFC"/>
    <w:rsid w:val="00B50466"/>
    <w:rsid w:val="00B52816"/>
    <w:rsid w:val="00B54427"/>
    <w:rsid w:val="00B5470B"/>
    <w:rsid w:val="00B55062"/>
    <w:rsid w:val="00B55D98"/>
    <w:rsid w:val="00B61874"/>
    <w:rsid w:val="00B61F67"/>
    <w:rsid w:val="00B646B6"/>
    <w:rsid w:val="00B64F28"/>
    <w:rsid w:val="00B65207"/>
    <w:rsid w:val="00B65EEF"/>
    <w:rsid w:val="00B664CC"/>
    <w:rsid w:val="00B66DDD"/>
    <w:rsid w:val="00B66F22"/>
    <w:rsid w:val="00B7066C"/>
    <w:rsid w:val="00B72087"/>
    <w:rsid w:val="00B72A47"/>
    <w:rsid w:val="00B74720"/>
    <w:rsid w:val="00B75108"/>
    <w:rsid w:val="00B75360"/>
    <w:rsid w:val="00B764C0"/>
    <w:rsid w:val="00B765AF"/>
    <w:rsid w:val="00B770CB"/>
    <w:rsid w:val="00B771D1"/>
    <w:rsid w:val="00B7773E"/>
    <w:rsid w:val="00B7779B"/>
    <w:rsid w:val="00B80B80"/>
    <w:rsid w:val="00B8236C"/>
    <w:rsid w:val="00B82517"/>
    <w:rsid w:val="00B85C0A"/>
    <w:rsid w:val="00B86314"/>
    <w:rsid w:val="00B90719"/>
    <w:rsid w:val="00B91066"/>
    <w:rsid w:val="00B93787"/>
    <w:rsid w:val="00B942C2"/>
    <w:rsid w:val="00B96ABF"/>
    <w:rsid w:val="00BA0630"/>
    <w:rsid w:val="00BA11F3"/>
    <w:rsid w:val="00BA1BD2"/>
    <w:rsid w:val="00BA1DC0"/>
    <w:rsid w:val="00BA1FAA"/>
    <w:rsid w:val="00BA2517"/>
    <w:rsid w:val="00BA2EEC"/>
    <w:rsid w:val="00BA4D2B"/>
    <w:rsid w:val="00BA7570"/>
    <w:rsid w:val="00BB0D62"/>
    <w:rsid w:val="00BB0DD7"/>
    <w:rsid w:val="00BB1490"/>
    <w:rsid w:val="00BB47B4"/>
    <w:rsid w:val="00BB4BC0"/>
    <w:rsid w:val="00BB51CC"/>
    <w:rsid w:val="00BB6EA5"/>
    <w:rsid w:val="00BB6F06"/>
    <w:rsid w:val="00BB6FFF"/>
    <w:rsid w:val="00BB7DD8"/>
    <w:rsid w:val="00BB7E59"/>
    <w:rsid w:val="00BC0672"/>
    <w:rsid w:val="00BC098E"/>
    <w:rsid w:val="00BC0C4F"/>
    <w:rsid w:val="00BC130B"/>
    <w:rsid w:val="00BC2427"/>
    <w:rsid w:val="00BC2A18"/>
    <w:rsid w:val="00BC4882"/>
    <w:rsid w:val="00BC5517"/>
    <w:rsid w:val="00BC5E25"/>
    <w:rsid w:val="00BC6435"/>
    <w:rsid w:val="00BC6735"/>
    <w:rsid w:val="00BD170B"/>
    <w:rsid w:val="00BD317A"/>
    <w:rsid w:val="00BD4D3F"/>
    <w:rsid w:val="00BD4FBE"/>
    <w:rsid w:val="00BD67E4"/>
    <w:rsid w:val="00BD6EC3"/>
    <w:rsid w:val="00BD70B1"/>
    <w:rsid w:val="00BD716E"/>
    <w:rsid w:val="00BD7178"/>
    <w:rsid w:val="00BD75FF"/>
    <w:rsid w:val="00BD7F70"/>
    <w:rsid w:val="00BE0971"/>
    <w:rsid w:val="00BE14C7"/>
    <w:rsid w:val="00BE1897"/>
    <w:rsid w:val="00BE3C8A"/>
    <w:rsid w:val="00BE4CB7"/>
    <w:rsid w:val="00BE5428"/>
    <w:rsid w:val="00BE5732"/>
    <w:rsid w:val="00BE617C"/>
    <w:rsid w:val="00BE6B96"/>
    <w:rsid w:val="00BF01FB"/>
    <w:rsid w:val="00BF1BF5"/>
    <w:rsid w:val="00BF1DC3"/>
    <w:rsid w:val="00BF2930"/>
    <w:rsid w:val="00BF6941"/>
    <w:rsid w:val="00C00D80"/>
    <w:rsid w:val="00C01CA4"/>
    <w:rsid w:val="00C02627"/>
    <w:rsid w:val="00C027FF"/>
    <w:rsid w:val="00C044D0"/>
    <w:rsid w:val="00C04C78"/>
    <w:rsid w:val="00C04EBB"/>
    <w:rsid w:val="00C07266"/>
    <w:rsid w:val="00C07877"/>
    <w:rsid w:val="00C123E4"/>
    <w:rsid w:val="00C12D2B"/>
    <w:rsid w:val="00C14B87"/>
    <w:rsid w:val="00C17808"/>
    <w:rsid w:val="00C21F93"/>
    <w:rsid w:val="00C221F8"/>
    <w:rsid w:val="00C223F0"/>
    <w:rsid w:val="00C228B3"/>
    <w:rsid w:val="00C23DED"/>
    <w:rsid w:val="00C245EF"/>
    <w:rsid w:val="00C2788E"/>
    <w:rsid w:val="00C27DF3"/>
    <w:rsid w:val="00C31133"/>
    <w:rsid w:val="00C35DB0"/>
    <w:rsid w:val="00C3640D"/>
    <w:rsid w:val="00C36816"/>
    <w:rsid w:val="00C3718D"/>
    <w:rsid w:val="00C40D75"/>
    <w:rsid w:val="00C410B3"/>
    <w:rsid w:val="00C41258"/>
    <w:rsid w:val="00C41605"/>
    <w:rsid w:val="00C41F12"/>
    <w:rsid w:val="00C42C61"/>
    <w:rsid w:val="00C4391B"/>
    <w:rsid w:val="00C43A9C"/>
    <w:rsid w:val="00C44677"/>
    <w:rsid w:val="00C44FB8"/>
    <w:rsid w:val="00C452C5"/>
    <w:rsid w:val="00C45E4C"/>
    <w:rsid w:val="00C470A2"/>
    <w:rsid w:val="00C50EF0"/>
    <w:rsid w:val="00C51533"/>
    <w:rsid w:val="00C51603"/>
    <w:rsid w:val="00C5293A"/>
    <w:rsid w:val="00C52C0B"/>
    <w:rsid w:val="00C52C43"/>
    <w:rsid w:val="00C53D22"/>
    <w:rsid w:val="00C57271"/>
    <w:rsid w:val="00C61509"/>
    <w:rsid w:val="00C615FC"/>
    <w:rsid w:val="00C62A8F"/>
    <w:rsid w:val="00C63127"/>
    <w:rsid w:val="00C63707"/>
    <w:rsid w:val="00C63A79"/>
    <w:rsid w:val="00C63B65"/>
    <w:rsid w:val="00C64E64"/>
    <w:rsid w:val="00C65869"/>
    <w:rsid w:val="00C66930"/>
    <w:rsid w:val="00C70CE7"/>
    <w:rsid w:val="00C72B6D"/>
    <w:rsid w:val="00C740B5"/>
    <w:rsid w:val="00C74F96"/>
    <w:rsid w:val="00C754A1"/>
    <w:rsid w:val="00C77147"/>
    <w:rsid w:val="00C77C49"/>
    <w:rsid w:val="00C81511"/>
    <w:rsid w:val="00C82533"/>
    <w:rsid w:val="00C83FE3"/>
    <w:rsid w:val="00C843A1"/>
    <w:rsid w:val="00C86877"/>
    <w:rsid w:val="00C9058D"/>
    <w:rsid w:val="00C915D4"/>
    <w:rsid w:val="00C91E35"/>
    <w:rsid w:val="00C92464"/>
    <w:rsid w:val="00C943B7"/>
    <w:rsid w:val="00C9471B"/>
    <w:rsid w:val="00C95578"/>
    <w:rsid w:val="00C95683"/>
    <w:rsid w:val="00C96B6A"/>
    <w:rsid w:val="00C976DA"/>
    <w:rsid w:val="00C97BB7"/>
    <w:rsid w:val="00CA48FB"/>
    <w:rsid w:val="00CA4E1D"/>
    <w:rsid w:val="00CA6822"/>
    <w:rsid w:val="00CA6BCB"/>
    <w:rsid w:val="00CA73F5"/>
    <w:rsid w:val="00CA7C0D"/>
    <w:rsid w:val="00CA7C11"/>
    <w:rsid w:val="00CA7C41"/>
    <w:rsid w:val="00CA7ED3"/>
    <w:rsid w:val="00CB1E9D"/>
    <w:rsid w:val="00CB25D8"/>
    <w:rsid w:val="00CB2B1E"/>
    <w:rsid w:val="00CB2E78"/>
    <w:rsid w:val="00CB4312"/>
    <w:rsid w:val="00CB4D89"/>
    <w:rsid w:val="00CB5A98"/>
    <w:rsid w:val="00CB600F"/>
    <w:rsid w:val="00CB6308"/>
    <w:rsid w:val="00CB6E74"/>
    <w:rsid w:val="00CB6E91"/>
    <w:rsid w:val="00CB6F8B"/>
    <w:rsid w:val="00CC0919"/>
    <w:rsid w:val="00CC103F"/>
    <w:rsid w:val="00CC330F"/>
    <w:rsid w:val="00CC439D"/>
    <w:rsid w:val="00CC6EB0"/>
    <w:rsid w:val="00CC6F78"/>
    <w:rsid w:val="00CC72A0"/>
    <w:rsid w:val="00CC74FE"/>
    <w:rsid w:val="00CD06DB"/>
    <w:rsid w:val="00CD12B1"/>
    <w:rsid w:val="00CD1393"/>
    <w:rsid w:val="00CD2C53"/>
    <w:rsid w:val="00CD352A"/>
    <w:rsid w:val="00CD3B15"/>
    <w:rsid w:val="00CD3D7C"/>
    <w:rsid w:val="00CD46A8"/>
    <w:rsid w:val="00CD4F68"/>
    <w:rsid w:val="00CE010C"/>
    <w:rsid w:val="00CE106C"/>
    <w:rsid w:val="00CE1756"/>
    <w:rsid w:val="00CE2729"/>
    <w:rsid w:val="00CE27E5"/>
    <w:rsid w:val="00CE3ECD"/>
    <w:rsid w:val="00CE4D62"/>
    <w:rsid w:val="00CE6473"/>
    <w:rsid w:val="00CE6602"/>
    <w:rsid w:val="00CE6977"/>
    <w:rsid w:val="00CE7810"/>
    <w:rsid w:val="00CF087D"/>
    <w:rsid w:val="00CF134A"/>
    <w:rsid w:val="00CF2917"/>
    <w:rsid w:val="00CF2E4D"/>
    <w:rsid w:val="00CF37DF"/>
    <w:rsid w:val="00CF42B9"/>
    <w:rsid w:val="00CF60E5"/>
    <w:rsid w:val="00CF6573"/>
    <w:rsid w:val="00CF7E31"/>
    <w:rsid w:val="00D02318"/>
    <w:rsid w:val="00D04F0F"/>
    <w:rsid w:val="00D053EA"/>
    <w:rsid w:val="00D06844"/>
    <w:rsid w:val="00D0750E"/>
    <w:rsid w:val="00D12D14"/>
    <w:rsid w:val="00D12F7F"/>
    <w:rsid w:val="00D14ECB"/>
    <w:rsid w:val="00D1638F"/>
    <w:rsid w:val="00D1645B"/>
    <w:rsid w:val="00D21837"/>
    <w:rsid w:val="00D23399"/>
    <w:rsid w:val="00D23720"/>
    <w:rsid w:val="00D24A99"/>
    <w:rsid w:val="00D26F65"/>
    <w:rsid w:val="00D27B58"/>
    <w:rsid w:val="00D309D4"/>
    <w:rsid w:val="00D33259"/>
    <w:rsid w:val="00D33C5C"/>
    <w:rsid w:val="00D374E6"/>
    <w:rsid w:val="00D409DA"/>
    <w:rsid w:val="00D41905"/>
    <w:rsid w:val="00D43C1D"/>
    <w:rsid w:val="00D43F4F"/>
    <w:rsid w:val="00D4445F"/>
    <w:rsid w:val="00D44E21"/>
    <w:rsid w:val="00D45D0F"/>
    <w:rsid w:val="00D45F4C"/>
    <w:rsid w:val="00D46440"/>
    <w:rsid w:val="00D467D8"/>
    <w:rsid w:val="00D47B98"/>
    <w:rsid w:val="00D523AF"/>
    <w:rsid w:val="00D52FCE"/>
    <w:rsid w:val="00D53EC7"/>
    <w:rsid w:val="00D547AF"/>
    <w:rsid w:val="00D54BBA"/>
    <w:rsid w:val="00D553AE"/>
    <w:rsid w:val="00D55554"/>
    <w:rsid w:val="00D556B0"/>
    <w:rsid w:val="00D5576D"/>
    <w:rsid w:val="00D558B7"/>
    <w:rsid w:val="00D559B2"/>
    <w:rsid w:val="00D56F6B"/>
    <w:rsid w:val="00D57EE9"/>
    <w:rsid w:val="00D62117"/>
    <w:rsid w:val="00D621D0"/>
    <w:rsid w:val="00D67782"/>
    <w:rsid w:val="00D71026"/>
    <w:rsid w:val="00D7115B"/>
    <w:rsid w:val="00D711AF"/>
    <w:rsid w:val="00D71871"/>
    <w:rsid w:val="00D72511"/>
    <w:rsid w:val="00D727EE"/>
    <w:rsid w:val="00D72F14"/>
    <w:rsid w:val="00D74BC8"/>
    <w:rsid w:val="00D75164"/>
    <w:rsid w:val="00D75653"/>
    <w:rsid w:val="00D75EB4"/>
    <w:rsid w:val="00D77A3C"/>
    <w:rsid w:val="00D805F2"/>
    <w:rsid w:val="00D80C30"/>
    <w:rsid w:val="00D81245"/>
    <w:rsid w:val="00D81529"/>
    <w:rsid w:val="00D81F5C"/>
    <w:rsid w:val="00D82F80"/>
    <w:rsid w:val="00D836EA"/>
    <w:rsid w:val="00D83889"/>
    <w:rsid w:val="00D83BF9"/>
    <w:rsid w:val="00D83FA7"/>
    <w:rsid w:val="00D84E26"/>
    <w:rsid w:val="00D84E38"/>
    <w:rsid w:val="00D852B2"/>
    <w:rsid w:val="00D85581"/>
    <w:rsid w:val="00D85CDB"/>
    <w:rsid w:val="00D868F9"/>
    <w:rsid w:val="00D903AB"/>
    <w:rsid w:val="00D90818"/>
    <w:rsid w:val="00D90B14"/>
    <w:rsid w:val="00D90DBA"/>
    <w:rsid w:val="00D9439B"/>
    <w:rsid w:val="00D96D9F"/>
    <w:rsid w:val="00DA02B4"/>
    <w:rsid w:val="00DA135F"/>
    <w:rsid w:val="00DA245E"/>
    <w:rsid w:val="00DA27DD"/>
    <w:rsid w:val="00DA400D"/>
    <w:rsid w:val="00DA648C"/>
    <w:rsid w:val="00DA7051"/>
    <w:rsid w:val="00DB1CE1"/>
    <w:rsid w:val="00DB5B0A"/>
    <w:rsid w:val="00DB64A5"/>
    <w:rsid w:val="00DB6B04"/>
    <w:rsid w:val="00DC0E73"/>
    <w:rsid w:val="00DC16BB"/>
    <w:rsid w:val="00DC2327"/>
    <w:rsid w:val="00DC2DE3"/>
    <w:rsid w:val="00DC32AA"/>
    <w:rsid w:val="00DC35DD"/>
    <w:rsid w:val="00DC395B"/>
    <w:rsid w:val="00DC3BB9"/>
    <w:rsid w:val="00DC4156"/>
    <w:rsid w:val="00DC43A3"/>
    <w:rsid w:val="00DC4494"/>
    <w:rsid w:val="00DC5C75"/>
    <w:rsid w:val="00DC69A0"/>
    <w:rsid w:val="00DC7844"/>
    <w:rsid w:val="00DD37E6"/>
    <w:rsid w:val="00DD37F1"/>
    <w:rsid w:val="00DD3F37"/>
    <w:rsid w:val="00DD66BA"/>
    <w:rsid w:val="00DD7C90"/>
    <w:rsid w:val="00DE069A"/>
    <w:rsid w:val="00DE0F49"/>
    <w:rsid w:val="00DE1635"/>
    <w:rsid w:val="00DE1CCE"/>
    <w:rsid w:val="00DE29ED"/>
    <w:rsid w:val="00DE2B1E"/>
    <w:rsid w:val="00DE4D81"/>
    <w:rsid w:val="00DE6A70"/>
    <w:rsid w:val="00DE774C"/>
    <w:rsid w:val="00DE7BE6"/>
    <w:rsid w:val="00DF0B3A"/>
    <w:rsid w:val="00DF1963"/>
    <w:rsid w:val="00DF269B"/>
    <w:rsid w:val="00DF36AF"/>
    <w:rsid w:val="00DF50AA"/>
    <w:rsid w:val="00DF6BFD"/>
    <w:rsid w:val="00DF7798"/>
    <w:rsid w:val="00DF7D6F"/>
    <w:rsid w:val="00DF7E05"/>
    <w:rsid w:val="00E00937"/>
    <w:rsid w:val="00E01420"/>
    <w:rsid w:val="00E01E49"/>
    <w:rsid w:val="00E02077"/>
    <w:rsid w:val="00E0233A"/>
    <w:rsid w:val="00E027F3"/>
    <w:rsid w:val="00E03775"/>
    <w:rsid w:val="00E03A09"/>
    <w:rsid w:val="00E04371"/>
    <w:rsid w:val="00E04B22"/>
    <w:rsid w:val="00E055F7"/>
    <w:rsid w:val="00E05DDA"/>
    <w:rsid w:val="00E05E2D"/>
    <w:rsid w:val="00E06687"/>
    <w:rsid w:val="00E06ECB"/>
    <w:rsid w:val="00E073A5"/>
    <w:rsid w:val="00E07CEA"/>
    <w:rsid w:val="00E11F55"/>
    <w:rsid w:val="00E12065"/>
    <w:rsid w:val="00E12C00"/>
    <w:rsid w:val="00E1522C"/>
    <w:rsid w:val="00E1621E"/>
    <w:rsid w:val="00E16D25"/>
    <w:rsid w:val="00E20938"/>
    <w:rsid w:val="00E20FA0"/>
    <w:rsid w:val="00E2276E"/>
    <w:rsid w:val="00E24A6A"/>
    <w:rsid w:val="00E25EA6"/>
    <w:rsid w:val="00E30F49"/>
    <w:rsid w:val="00E31230"/>
    <w:rsid w:val="00E31601"/>
    <w:rsid w:val="00E33B48"/>
    <w:rsid w:val="00E34520"/>
    <w:rsid w:val="00E34CDD"/>
    <w:rsid w:val="00E34E49"/>
    <w:rsid w:val="00E35FF7"/>
    <w:rsid w:val="00E3607F"/>
    <w:rsid w:val="00E36578"/>
    <w:rsid w:val="00E40A02"/>
    <w:rsid w:val="00E40E16"/>
    <w:rsid w:val="00E41E16"/>
    <w:rsid w:val="00E425D0"/>
    <w:rsid w:val="00E431CD"/>
    <w:rsid w:val="00E43537"/>
    <w:rsid w:val="00E43653"/>
    <w:rsid w:val="00E4389C"/>
    <w:rsid w:val="00E43AEC"/>
    <w:rsid w:val="00E43FC2"/>
    <w:rsid w:val="00E44EC0"/>
    <w:rsid w:val="00E4671B"/>
    <w:rsid w:val="00E47603"/>
    <w:rsid w:val="00E51F44"/>
    <w:rsid w:val="00E51F60"/>
    <w:rsid w:val="00E52126"/>
    <w:rsid w:val="00E529F4"/>
    <w:rsid w:val="00E5395B"/>
    <w:rsid w:val="00E54838"/>
    <w:rsid w:val="00E55BBE"/>
    <w:rsid w:val="00E56B6E"/>
    <w:rsid w:val="00E56E2F"/>
    <w:rsid w:val="00E60DD6"/>
    <w:rsid w:val="00E655B0"/>
    <w:rsid w:val="00E65AA9"/>
    <w:rsid w:val="00E679E0"/>
    <w:rsid w:val="00E7023E"/>
    <w:rsid w:val="00E7068B"/>
    <w:rsid w:val="00E74E4D"/>
    <w:rsid w:val="00E750E9"/>
    <w:rsid w:val="00E75DA3"/>
    <w:rsid w:val="00E75E6B"/>
    <w:rsid w:val="00E76756"/>
    <w:rsid w:val="00E767B1"/>
    <w:rsid w:val="00E7774B"/>
    <w:rsid w:val="00E777C2"/>
    <w:rsid w:val="00E8005A"/>
    <w:rsid w:val="00E80797"/>
    <w:rsid w:val="00E81343"/>
    <w:rsid w:val="00E822AD"/>
    <w:rsid w:val="00E823C4"/>
    <w:rsid w:val="00E84166"/>
    <w:rsid w:val="00E84D39"/>
    <w:rsid w:val="00E84E70"/>
    <w:rsid w:val="00E868F2"/>
    <w:rsid w:val="00E872EA"/>
    <w:rsid w:val="00E909DA"/>
    <w:rsid w:val="00E92D57"/>
    <w:rsid w:val="00E93F91"/>
    <w:rsid w:val="00E94046"/>
    <w:rsid w:val="00E9455C"/>
    <w:rsid w:val="00E96B05"/>
    <w:rsid w:val="00E978F6"/>
    <w:rsid w:val="00EA09B5"/>
    <w:rsid w:val="00EA0EF6"/>
    <w:rsid w:val="00EA1183"/>
    <w:rsid w:val="00EA1C8F"/>
    <w:rsid w:val="00EA205C"/>
    <w:rsid w:val="00EA2267"/>
    <w:rsid w:val="00EA286E"/>
    <w:rsid w:val="00EA288D"/>
    <w:rsid w:val="00EA4532"/>
    <w:rsid w:val="00EA7512"/>
    <w:rsid w:val="00EA7E01"/>
    <w:rsid w:val="00EB3FAB"/>
    <w:rsid w:val="00EB7E60"/>
    <w:rsid w:val="00EC2E4F"/>
    <w:rsid w:val="00EC30D3"/>
    <w:rsid w:val="00EC3F83"/>
    <w:rsid w:val="00EC58D4"/>
    <w:rsid w:val="00EC5921"/>
    <w:rsid w:val="00EC7E9C"/>
    <w:rsid w:val="00ED7366"/>
    <w:rsid w:val="00EE1585"/>
    <w:rsid w:val="00EE235F"/>
    <w:rsid w:val="00EE2D19"/>
    <w:rsid w:val="00EE5B71"/>
    <w:rsid w:val="00EE664C"/>
    <w:rsid w:val="00EE6C5A"/>
    <w:rsid w:val="00EF1798"/>
    <w:rsid w:val="00EF2520"/>
    <w:rsid w:val="00EF2E94"/>
    <w:rsid w:val="00EF53A1"/>
    <w:rsid w:val="00EF5D7E"/>
    <w:rsid w:val="00EF5F2D"/>
    <w:rsid w:val="00EF6389"/>
    <w:rsid w:val="00EF674E"/>
    <w:rsid w:val="00EF77E1"/>
    <w:rsid w:val="00F004EE"/>
    <w:rsid w:val="00F007AD"/>
    <w:rsid w:val="00F021A1"/>
    <w:rsid w:val="00F02572"/>
    <w:rsid w:val="00F02A57"/>
    <w:rsid w:val="00F02F94"/>
    <w:rsid w:val="00F02FDA"/>
    <w:rsid w:val="00F05203"/>
    <w:rsid w:val="00F067D2"/>
    <w:rsid w:val="00F06C17"/>
    <w:rsid w:val="00F070B0"/>
    <w:rsid w:val="00F07F41"/>
    <w:rsid w:val="00F10272"/>
    <w:rsid w:val="00F10809"/>
    <w:rsid w:val="00F10F06"/>
    <w:rsid w:val="00F1171C"/>
    <w:rsid w:val="00F138DB"/>
    <w:rsid w:val="00F15F2D"/>
    <w:rsid w:val="00F170BE"/>
    <w:rsid w:val="00F17434"/>
    <w:rsid w:val="00F20810"/>
    <w:rsid w:val="00F20A00"/>
    <w:rsid w:val="00F20B25"/>
    <w:rsid w:val="00F20E72"/>
    <w:rsid w:val="00F21C49"/>
    <w:rsid w:val="00F21F52"/>
    <w:rsid w:val="00F22519"/>
    <w:rsid w:val="00F240AC"/>
    <w:rsid w:val="00F26ADA"/>
    <w:rsid w:val="00F26BE3"/>
    <w:rsid w:val="00F3106F"/>
    <w:rsid w:val="00F32234"/>
    <w:rsid w:val="00F3231C"/>
    <w:rsid w:val="00F3248E"/>
    <w:rsid w:val="00F3282C"/>
    <w:rsid w:val="00F32C05"/>
    <w:rsid w:val="00F33166"/>
    <w:rsid w:val="00F33D03"/>
    <w:rsid w:val="00F37395"/>
    <w:rsid w:val="00F40A5A"/>
    <w:rsid w:val="00F40C7C"/>
    <w:rsid w:val="00F414EE"/>
    <w:rsid w:val="00F415C9"/>
    <w:rsid w:val="00F41E39"/>
    <w:rsid w:val="00F42563"/>
    <w:rsid w:val="00F4368E"/>
    <w:rsid w:val="00F451C7"/>
    <w:rsid w:val="00F45223"/>
    <w:rsid w:val="00F454C9"/>
    <w:rsid w:val="00F45D5B"/>
    <w:rsid w:val="00F462AC"/>
    <w:rsid w:val="00F470F3"/>
    <w:rsid w:val="00F472C5"/>
    <w:rsid w:val="00F47709"/>
    <w:rsid w:val="00F47888"/>
    <w:rsid w:val="00F50493"/>
    <w:rsid w:val="00F5285A"/>
    <w:rsid w:val="00F53094"/>
    <w:rsid w:val="00F530C5"/>
    <w:rsid w:val="00F5427E"/>
    <w:rsid w:val="00F5571C"/>
    <w:rsid w:val="00F5576E"/>
    <w:rsid w:val="00F55F4B"/>
    <w:rsid w:val="00F5658C"/>
    <w:rsid w:val="00F56DE3"/>
    <w:rsid w:val="00F63734"/>
    <w:rsid w:val="00F6424D"/>
    <w:rsid w:val="00F649B1"/>
    <w:rsid w:val="00F6556E"/>
    <w:rsid w:val="00F66817"/>
    <w:rsid w:val="00F66A64"/>
    <w:rsid w:val="00F718A6"/>
    <w:rsid w:val="00F718C5"/>
    <w:rsid w:val="00F72D38"/>
    <w:rsid w:val="00F73023"/>
    <w:rsid w:val="00F73935"/>
    <w:rsid w:val="00F75065"/>
    <w:rsid w:val="00F755A4"/>
    <w:rsid w:val="00F76183"/>
    <w:rsid w:val="00F76ED7"/>
    <w:rsid w:val="00F77914"/>
    <w:rsid w:val="00F77A26"/>
    <w:rsid w:val="00F77B79"/>
    <w:rsid w:val="00F80A92"/>
    <w:rsid w:val="00F830D5"/>
    <w:rsid w:val="00F83D1C"/>
    <w:rsid w:val="00F843CF"/>
    <w:rsid w:val="00F847A1"/>
    <w:rsid w:val="00F8565E"/>
    <w:rsid w:val="00F87811"/>
    <w:rsid w:val="00F92604"/>
    <w:rsid w:val="00F93E16"/>
    <w:rsid w:val="00F948B5"/>
    <w:rsid w:val="00F960B7"/>
    <w:rsid w:val="00F96A44"/>
    <w:rsid w:val="00F97E1C"/>
    <w:rsid w:val="00FA0453"/>
    <w:rsid w:val="00FA1AFE"/>
    <w:rsid w:val="00FA1C54"/>
    <w:rsid w:val="00FA1DEE"/>
    <w:rsid w:val="00FA2E3A"/>
    <w:rsid w:val="00FA2EE7"/>
    <w:rsid w:val="00FA3382"/>
    <w:rsid w:val="00FA398F"/>
    <w:rsid w:val="00FA5EB0"/>
    <w:rsid w:val="00FA65BD"/>
    <w:rsid w:val="00FB0A52"/>
    <w:rsid w:val="00FB0F61"/>
    <w:rsid w:val="00FB1548"/>
    <w:rsid w:val="00FB1DFE"/>
    <w:rsid w:val="00FB2332"/>
    <w:rsid w:val="00FB2831"/>
    <w:rsid w:val="00FB30C8"/>
    <w:rsid w:val="00FB34B6"/>
    <w:rsid w:val="00FB43AF"/>
    <w:rsid w:val="00FB6958"/>
    <w:rsid w:val="00FB7A77"/>
    <w:rsid w:val="00FC0651"/>
    <w:rsid w:val="00FC4D19"/>
    <w:rsid w:val="00FC5C7E"/>
    <w:rsid w:val="00FC7150"/>
    <w:rsid w:val="00FD032E"/>
    <w:rsid w:val="00FD1315"/>
    <w:rsid w:val="00FD1958"/>
    <w:rsid w:val="00FD3A83"/>
    <w:rsid w:val="00FD3C59"/>
    <w:rsid w:val="00FD3CD9"/>
    <w:rsid w:val="00FD4A7B"/>
    <w:rsid w:val="00FD4FF9"/>
    <w:rsid w:val="00FD5418"/>
    <w:rsid w:val="00FD5749"/>
    <w:rsid w:val="00FD5EE0"/>
    <w:rsid w:val="00FD65C8"/>
    <w:rsid w:val="00FD6D8E"/>
    <w:rsid w:val="00FD79D8"/>
    <w:rsid w:val="00FE0A55"/>
    <w:rsid w:val="00FE2100"/>
    <w:rsid w:val="00FE21F6"/>
    <w:rsid w:val="00FE2D07"/>
    <w:rsid w:val="00FE3BD7"/>
    <w:rsid w:val="00FE3C00"/>
    <w:rsid w:val="00FE4F0A"/>
    <w:rsid w:val="00FE5B55"/>
    <w:rsid w:val="00FE63A9"/>
    <w:rsid w:val="00FE7190"/>
    <w:rsid w:val="00FF0AD5"/>
    <w:rsid w:val="00FF165A"/>
    <w:rsid w:val="00FF1EB5"/>
    <w:rsid w:val="00FF20B2"/>
    <w:rsid w:val="00FF2814"/>
    <w:rsid w:val="00FF2F64"/>
    <w:rsid w:val="00FF48BB"/>
    <w:rsid w:val="00FF4AF7"/>
    <w:rsid w:val="00FF4B3E"/>
    <w:rsid w:val="00FF5EA0"/>
    <w:rsid w:val="00FF68A6"/>
    <w:rsid w:val="00FF7C5F"/>
    <w:rsid w:val="01D31020"/>
    <w:rsid w:val="032C4E8C"/>
    <w:rsid w:val="03C9092D"/>
    <w:rsid w:val="04C3537C"/>
    <w:rsid w:val="04FE4606"/>
    <w:rsid w:val="05094D59"/>
    <w:rsid w:val="05B44CC5"/>
    <w:rsid w:val="0671705A"/>
    <w:rsid w:val="077706A0"/>
    <w:rsid w:val="08145C61"/>
    <w:rsid w:val="08564759"/>
    <w:rsid w:val="08613C2C"/>
    <w:rsid w:val="09C83435"/>
    <w:rsid w:val="0A206DCD"/>
    <w:rsid w:val="0A3E7253"/>
    <w:rsid w:val="0A886720"/>
    <w:rsid w:val="0B723658"/>
    <w:rsid w:val="0C0E1C48"/>
    <w:rsid w:val="0C2D757F"/>
    <w:rsid w:val="0C670CE3"/>
    <w:rsid w:val="0C9B098C"/>
    <w:rsid w:val="0D645222"/>
    <w:rsid w:val="0D8458C4"/>
    <w:rsid w:val="0E4532A6"/>
    <w:rsid w:val="10801DFD"/>
    <w:rsid w:val="11851C0B"/>
    <w:rsid w:val="122C785E"/>
    <w:rsid w:val="12C50511"/>
    <w:rsid w:val="12C7072D"/>
    <w:rsid w:val="13CC58CF"/>
    <w:rsid w:val="13D4209D"/>
    <w:rsid w:val="13FF5CA5"/>
    <w:rsid w:val="14BB2B94"/>
    <w:rsid w:val="14C111AC"/>
    <w:rsid w:val="14DB226E"/>
    <w:rsid w:val="165737E1"/>
    <w:rsid w:val="167504A0"/>
    <w:rsid w:val="18F51424"/>
    <w:rsid w:val="190E75F6"/>
    <w:rsid w:val="19CC03D7"/>
    <w:rsid w:val="1C183DA8"/>
    <w:rsid w:val="1D3C5874"/>
    <w:rsid w:val="1E51534F"/>
    <w:rsid w:val="1ED57D2E"/>
    <w:rsid w:val="1EFF2FFD"/>
    <w:rsid w:val="1FDC50EC"/>
    <w:rsid w:val="201C373B"/>
    <w:rsid w:val="20760BD2"/>
    <w:rsid w:val="208445F3"/>
    <w:rsid w:val="21C30312"/>
    <w:rsid w:val="22FB413B"/>
    <w:rsid w:val="26F02A30"/>
    <w:rsid w:val="2916341D"/>
    <w:rsid w:val="2ADC2444"/>
    <w:rsid w:val="2B354556"/>
    <w:rsid w:val="2B395AE8"/>
    <w:rsid w:val="2B536BAA"/>
    <w:rsid w:val="2B7866C6"/>
    <w:rsid w:val="2C057779"/>
    <w:rsid w:val="2DFF6B75"/>
    <w:rsid w:val="2E494294"/>
    <w:rsid w:val="2F241340"/>
    <w:rsid w:val="312B1A2F"/>
    <w:rsid w:val="313E1763"/>
    <w:rsid w:val="33A61841"/>
    <w:rsid w:val="34AE217C"/>
    <w:rsid w:val="356C2617"/>
    <w:rsid w:val="36B67FED"/>
    <w:rsid w:val="36DE33AE"/>
    <w:rsid w:val="37BF1123"/>
    <w:rsid w:val="393F076E"/>
    <w:rsid w:val="3949339B"/>
    <w:rsid w:val="39C3314D"/>
    <w:rsid w:val="3B3911ED"/>
    <w:rsid w:val="3B702E61"/>
    <w:rsid w:val="3B954675"/>
    <w:rsid w:val="3EDA1B65"/>
    <w:rsid w:val="41267E64"/>
    <w:rsid w:val="41611F67"/>
    <w:rsid w:val="41D41C6F"/>
    <w:rsid w:val="41EC520B"/>
    <w:rsid w:val="420C31B7"/>
    <w:rsid w:val="425C413F"/>
    <w:rsid w:val="42905B96"/>
    <w:rsid w:val="433F136A"/>
    <w:rsid w:val="434214ED"/>
    <w:rsid w:val="46DA3884"/>
    <w:rsid w:val="47AD0F98"/>
    <w:rsid w:val="47D76015"/>
    <w:rsid w:val="484511D1"/>
    <w:rsid w:val="48961A2D"/>
    <w:rsid w:val="48E22EC4"/>
    <w:rsid w:val="49641B2B"/>
    <w:rsid w:val="4A3B288C"/>
    <w:rsid w:val="4A8F2BD7"/>
    <w:rsid w:val="4BDB2578"/>
    <w:rsid w:val="4C6A56AA"/>
    <w:rsid w:val="4C786019"/>
    <w:rsid w:val="4D9D385D"/>
    <w:rsid w:val="4E013DEC"/>
    <w:rsid w:val="4E4D7031"/>
    <w:rsid w:val="4EEE4370"/>
    <w:rsid w:val="50772144"/>
    <w:rsid w:val="51031C29"/>
    <w:rsid w:val="515661FD"/>
    <w:rsid w:val="520E6AD8"/>
    <w:rsid w:val="52C13B4A"/>
    <w:rsid w:val="52EE62C0"/>
    <w:rsid w:val="53D8114B"/>
    <w:rsid w:val="549239F0"/>
    <w:rsid w:val="56A45C5C"/>
    <w:rsid w:val="57572CCF"/>
    <w:rsid w:val="577D2735"/>
    <w:rsid w:val="5851771E"/>
    <w:rsid w:val="58EF1411"/>
    <w:rsid w:val="59BC506B"/>
    <w:rsid w:val="5C2313D1"/>
    <w:rsid w:val="5D4B5084"/>
    <w:rsid w:val="5D79574D"/>
    <w:rsid w:val="5DBB5D65"/>
    <w:rsid w:val="5DC82230"/>
    <w:rsid w:val="5E20206C"/>
    <w:rsid w:val="5E7B7BDF"/>
    <w:rsid w:val="5E9F1969"/>
    <w:rsid w:val="5F131BD1"/>
    <w:rsid w:val="5F34237C"/>
    <w:rsid w:val="603D5158"/>
    <w:rsid w:val="62C4181C"/>
    <w:rsid w:val="62E47B0C"/>
    <w:rsid w:val="63894210"/>
    <w:rsid w:val="64526CF8"/>
    <w:rsid w:val="647E189B"/>
    <w:rsid w:val="654803DD"/>
    <w:rsid w:val="664D15BB"/>
    <w:rsid w:val="69407A67"/>
    <w:rsid w:val="6AA67D9D"/>
    <w:rsid w:val="6B080110"/>
    <w:rsid w:val="6B6A0DCB"/>
    <w:rsid w:val="6BEE37AA"/>
    <w:rsid w:val="6C111246"/>
    <w:rsid w:val="6C1A5E21"/>
    <w:rsid w:val="6C77379F"/>
    <w:rsid w:val="6CA976D1"/>
    <w:rsid w:val="6CFB1AEA"/>
    <w:rsid w:val="6E166FE8"/>
    <w:rsid w:val="6E182D60"/>
    <w:rsid w:val="6E250FD9"/>
    <w:rsid w:val="6ED20E41"/>
    <w:rsid w:val="6F4D6A39"/>
    <w:rsid w:val="6F525DFE"/>
    <w:rsid w:val="704C0A9F"/>
    <w:rsid w:val="74A964C0"/>
    <w:rsid w:val="75874327"/>
    <w:rsid w:val="75B0387E"/>
    <w:rsid w:val="77422BFC"/>
    <w:rsid w:val="77935205"/>
    <w:rsid w:val="79CD2C51"/>
    <w:rsid w:val="7A2D1941"/>
    <w:rsid w:val="7C0D1A2A"/>
    <w:rsid w:val="7C2E72A1"/>
    <w:rsid w:val="7D324C54"/>
    <w:rsid w:val="7DAE6060"/>
    <w:rsid w:val="7DC205F3"/>
    <w:rsid w:val="7DCE343B"/>
    <w:rsid w:val="7DE721C3"/>
    <w:rsid w:val="7EBC14E6"/>
    <w:rsid w:val="7FC4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4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4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7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annotation subject"/>
    <w:basedOn w:val="6"/>
    <w:next w:val="6"/>
    <w:link w:val="25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FollowedHyperlink"/>
    <w:basedOn w:val="14"/>
    <w:semiHidden/>
    <w:unhideWhenUsed/>
    <w:qFormat/>
    <w:uiPriority w:val="99"/>
    <w:rPr>
      <w:color w:val="954F72"/>
      <w:u w:val="single"/>
    </w:rPr>
  </w:style>
  <w:style w:type="character" w:styleId="17">
    <w:name w:val="Hyperlink"/>
    <w:basedOn w:val="14"/>
    <w:semiHidden/>
    <w:unhideWhenUsed/>
    <w:qFormat/>
    <w:uiPriority w:val="99"/>
    <w:rPr>
      <w:color w:val="0563C1"/>
      <w:u w:val="single"/>
    </w:rPr>
  </w:style>
  <w:style w:type="character" w:styleId="18">
    <w:name w:val="annotation reference"/>
    <w:basedOn w:val="14"/>
    <w:semiHidden/>
    <w:unhideWhenUsed/>
    <w:qFormat/>
    <w:uiPriority w:val="99"/>
    <w:rPr>
      <w:sz w:val="21"/>
      <w:szCs w:val="21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table" w:customStyle="1" w:styleId="20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批注框文本 字符"/>
    <w:basedOn w:val="14"/>
    <w:link w:val="7"/>
    <w:semiHidden/>
    <w:qFormat/>
    <w:uiPriority w:val="99"/>
    <w:rPr>
      <w:sz w:val="18"/>
      <w:szCs w:val="18"/>
    </w:rPr>
  </w:style>
  <w:style w:type="character" w:customStyle="1" w:styleId="22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23">
    <w:name w:val="页脚 字符"/>
    <w:basedOn w:val="14"/>
    <w:link w:val="8"/>
    <w:qFormat/>
    <w:uiPriority w:val="99"/>
    <w:rPr>
      <w:sz w:val="18"/>
      <w:szCs w:val="18"/>
    </w:rPr>
  </w:style>
  <w:style w:type="character" w:customStyle="1" w:styleId="24">
    <w:name w:val="批注文字 字符"/>
    <w:basedOn w:val="14"/>
    <w:link w:val="6"/>
    <w:semiHidden/>
    <w:qFormat/>
    <w:uiPriority w:val="99"/>
  </w:style>
  <w:style w:type="character" w:customStyle="1" w:styleId="25">
    <w:name w:val="批注主题 字符"/>
    <w:basedOn w:val="24"/>
    <w:link w:val="11"/>
    <w:semiHidden/>
    <w:qFormat/>
    <w:uiPriority w:val="99"/>
    <w:rPr>
      <w:b/>
      <w:bCs/>
    </w:rPr>
  </w:style>
  <w:style w:type="character" w:customStyle="1" w:styleId="26">
    <w:name w:val="005正文 Char"/>
    <w:link w:val="27"/>
    <w:qFormat/>
    <w:uiPriority w:val="0"/>
    <w:rPr>
      <w:rFonts w:eastAsia="宋体"/>
    </w:rPr>
  </w:style>
  <w:style w:type="paragraph" w:customStyle="1" w:styleId="27">
    <w:name w:val="005正文"/>
    <w:link w:val="26"/>
    <w:qFormat/>
    <w:uiPriority w:val="0"/>
    <w:pPr>
      <w:widowControl w:val="0"/>
      <w:spacing w:before="50" w:beforeLines="50" w:line="360" w:lineRule="auto"/>
      <w:ind w:firstLine="200" w:firstLineChars="20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paragraph" w:customStyle="1" w:styleId="28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3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31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8"/>
      <w:szCs w:val="28"/>
    </w:rPr>
  </w:style>
  <w:style w:type="paragraph" w:customStyle="1" w:styleId="32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3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7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0"/>
      <w:szCs w:val="20"/>
    </w:rPr>
  </w:style>
  <w:style w:type="paragraph" w:customStyle="1" w:styleId="38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0"/>
      <w:szCs w:val="20"/>
    </w:rPr>
  </w:style>
  <w:style w:type="paragraph" w:customStyle="1" w:styleId="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eastAsia="楷体" w:cs="楷体" w:hAnsiTheme="minorHAnsi"/>
      <w:color w:val="000000"/>
      <w:sz w:val="24"/>
      <w:szCs w:val="24"/>
      <w:lang w:val="en-US" w:eastAsia="zh-CN" w:bidi="ar-SA"/>
    </w:rPr>
  </w:style>
  <w:style w:type="paragraph" w:customStyle="1" w:styleId="40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1">
    <w:name w:val="标题 1 字符"/>
    <w:basedOn w:val="14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42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  <w14:ligatures w14:val="standardContextual"/>
    </w:rPr>
  </w:style>
  <w:style w:type="character" w:customStyle="1" w:styleId="43">
    <w:name w:val="标题 3 字符"/>
    <w:basedOn w:val="14"/>
    <w:link w:val="4"/>
    <w:semiHidden/>
    <w:qFormat/>
    <w:uiPriority w:val="9"/>
    <w:rPr>
      <w:rFonts w:asciiTheme="minorHAnsi" w:hAnsiTheme="minorHAnsi" w:eastAsiaTheme="minorEastAsia" w:cstheme="min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E4C74-3C28-44B1-B017-31356678A0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QN</Company>
  <Pages>4</Pages>
  <Words>1841</Words>
  <Characters>2041</Characters>
  <Lines>88</Lines>
  <Paragraphs>106</Paragraphs>
  <TotalTime>25</TotalTime>
  <ScaleCrop>false</ScaleCrop>
  <LinksUpToDate>false</LinksUpToDate>
  <CharactersWithSpaces>2125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2026-04-15T05:53:00Z</dcterms:created>
  <dc:creator>HYC_财务部_任艺男</dc:creator>
  <cp:lastModifiedBy>段越</cp:lastModifiedBy>
  <cp:lastPrinted>2021-07-02T01:50:00Z</cp:lastPrinted>
  <dcterms:modified xsi:type="dcterms:W3CDTF">2026-08-23T13:01:17Z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6D236051425441448BCE060147C28270_13</vt:lpwstr>
  </property>
  <property fmtid="{D5CDD505-2E9C-101B-9397-08002B2CF9AE}" pid="4" name="KSOTemplateDocerSaveRecord">
    <vt:lpwstr>eyJoZGlkIjoiYTRhZjliNjIyNTBlOGEyMzVlZDM5Y2VlZmNjY2Y5MDUiLCJ1c2VySWQiOiIzMzM5NTIyMjYifQ==</vt:lpwstr>
  </property>
</Properties>
</file>