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ECEFB">
      <w:pPr>
        <w:spacing w:before="120" w:beforeLines="50" w:after="120" w:afterLines="50" w:line="360" w:lineRule="auto"/>
        <w:jc w:val="right"/>
        <w:rPr>
          <w:rFonts w:hint="eastAsia" w:ascii="宋体" w:hAnsi="宋体" w:eastAsia="宋体"/>
          <w:bCs/>
          <w:iCs/>
          <w:color w:val="000000"/>
          <w:sz w:val="24"/>
          <w:szCs w:val="24"/>
          <w:lang w:eastAsia="zh-CN"/>
        </w:rPr>
      </w:pPr>
      <w:r>
        <w:rPr>
          <w:rFonts w:ascii="宋体" w:hAnsi="宋体" w:eastAsia="宋体"/>
          <w:bCs/>
          <w:iCs/>
          <w:color w:val="000000"/>
          <w:sz w:val="24"/>
          <w:szCs w:val="24"/>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6350</wp:posOffset>
            </wp:positionV>
            <wp:extent cx="1127125" cy="23495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27125" cy="234950"/>
                    </a:xfrm>
                    <a:prstGeom prst="rect">
                      <a:avLst/>
                    </a:prstGeom>
                    <a:noFill/>
                    <a:ln>
                      <a:noFill/>
                    </a:ln>
                  </pic:spPr>
                </pic:pic>
              </a:graphicData>
            </a:graphic>
          </wp:anchor>
        </w:drawing>
      </w:r>
      <w:r>
        <w:rPr>
          <w:rFonts w:hint="eastAsia" w:ascii="宋体" w:hAnsi="宋体" w:eastAsia="宋体"/>
          <w:bCs/>
          <w:iCs/>
          <w:color w:val="000000"/>
          <w:sz w:val="24"/>
          <w:szCs w:val="24"/>
          <w:lang w:eastAsia="zh-CN"/>
        </w:rPr>
        <w:t>证券代码：</w:t>
      </w:r>
      <w:r>
        <w:rPr>
          <w:rFonts w:ascii="宋体" w:hAnsi="宋体" w:eastAsia="宋体"/>
          <w:bCs/>
          <w:iCs/>
          <w:color w:val="000000"/>
          <w:sz w:val="24"/>
          <w:szCs w:val="24"/>
          <w:lang w:eastAsia="zh-CN"/>
        </w:rPr>
        <w:t>688239</w:t>
      </w:r>
      <w:r>
        <w:rPr>
          <w:rFonts w:hint="eastAsia" w:ascii="宋体" w:hAnsi="宋体" w:eastAsia="宋体"/>
          <w:bCs/>
          <w:iCs/>
          <w:color w:val="000000"/>
          <w:sz w:val="24"/>
          <w:szCs w:val="24"/>
          <w:lang w:eastAsia="zh-CN"/>
        </w:rPr>
        <w:t xml:space="preserve">             证券简称：航宇科技</w:t>
      </w:r>
    </w:p>
    <w:p w14:paraId="2BA73E30">
      <w:pPr>
        <w:spacing w:before="120" w:beforeLines="50" w:after="120" w:afterLines="50" w:line="360" w:lineRule="auto"/>
        <w:rPr>
          <w:rFonts w:hint="eastAsia" w:ascii="宋体" w:hAnsi="宋体" w:eastAsia="宋体"/>
          <w:bCs/>
          <w:iCs/>
          <w:color w:val="000000"/>
          <w:sz w:val="24"/>
          <w:szCs w:val="24"/>
          <w:lang w:eastAsia="zh-CN"/>
        </w:rPr>
      </w:pPr>
    </w:p>
    <w:p w14:paraId="4A098A75">
      <w:pPr>
        <w:tabs>
          <w:tab w:val="center" w:pos="4535"/>
          <w:tab w:val="right" w:pos="9070"/>
        </w:tabs>
        <w:spacing w:before="120" w:beforeLines="50" w:after="120" w:afterLines="50" w:line="360" w:lineRule="auto"/>
        <w:ind w:firstLine="482"/>
        <w:rPr>
          <w:rFonts w:hint="eastAsia" w:ascii="宋体" w:hAnsi="宋体" w:eastAsia="宋体"/>
          <w:b/>
          <w:bCs/>
          <w:iCs/>
          <w:color w:val="000000"/>
          <w:sz w:val="24"/>
          <w:szCs w:val="24"/>
          <w:lang w:eastAsia="zh-CN"/>
        </w:rPr>
      </w:pPr>
      <w:r>
        <w:rPr>
          <w:rFonts w:ascii="宋体" w:hAnsi="宋体" w:eastAsia="宋体"/>
          <w:b/>
          <w:bCs/>
          <w:iCs/>
          <w:color w:val="000000"/>
          <w:sz w:val="24"/>
          <w:szCs w:val="24"/>
          <w:lang w:eastAsia="zh-CN"/>
        </w:rPr>
        <w:tab/>
      </w:r>
      <w:r>
        <w:rPr>
          <w:rFonts w:hint="eastAsia" w:ascii="宋体" w:hAnsi="宋体" w:eastAsia="宋体"/>
          <w:b/>
          <w:bCs/>
          <w:iCs/>
          <w:color w:val="000000"/>
          <w:sz w:val="24"/>
          <w:szCs w:val="24"/>
          <w:lang w:eastAsia="zh-CN"/>
        </w:rPr>
        <w:t>投资者关系活动记录表</w:t>
      </w:r>
      <w:r>
        <w:rPr>
          <w:rFonts w:ascii="宋体" w:hAnsi="宋体" w:eastAsia="宋体"/>
          <w:b/>
          <w:bCs/>
          <w:iCs/>
          <w:color w:val="000000"/>
          <w:sz w:val="24"/>
          <w:szCs w:val="24"/>
          <w:lang w:eastAsia="zh-CN"/>
        </w:rPr>
        <w:tab/>
      </w:r>
    </w:p>
    <w:p w14:paraId="6B118E3B">
      <w:pPr>
        <w:spacing w:before="120" w:beforeLines="50" w:after="120" w:afterLines="50" w:line="360" w:lineRule="auto"/>
        <w:jc w:val="right"/>
        <w:rPr>
          <w:rFonts w:hint="eastAsia" w:ascii="宋体" w:hAnsi="宋体" w:eastAsia="宋体"/>
          <w:bCs/>
          <w:iCs/>
          <w:color w:val="000000"/>
          <w:sz w:val="24"/>
          <w:szCs w:val="24"/>
          <w:lang w:eastAsia="zh-CN"/>
        </w:rPr>
      </w:pP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8226"/>
      </w:tblGrid>
      <w:tr w14:paraId="1318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14:paraId="1B8A6492">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rPr>
            </w:pPr>
            <w:r>
              <w:rPr>
                <w:rFonts w:hint="eastAsia" w:asciiTheme="majorEastAsia" w:hAnsiTheme="majorEastAsia" w:eastAsiaTheme="majorEastAsia" w:cstheme="majorEastAsia"/>
                <w:bCs/>
                <w:iCs/>
                <w:color w:val="000000"/>
                <w:sz w:val="24"/>
                <w:szCs w:val="24"/>
              </w:rPr>
              <w:t>投资者</w:t>
            </w:r>
          </w:p>
          <w:p w14:paraId="274107B0">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rPr>
            </w:pPr>
            <w:r>
              <w:rPr>
                <w:rFonts w:hint="eastAsia" w:asciiTheme="majorEastAsia" w:hAnsiTheme="majorEastAsia" w:eastAsiaTheme="majorEastAsia" w:cstheme="majorEastAsia"/>
                <w:bCs/>
                <w:iCs/>
                <w:color w:val="000000"/>
                <w:sz w:val="24"/>
                <w:szCs w:val="24"/>
              </w:rPr>
              <w:t>关系活动类别</w:t>
            </w:r>
          </w:p>
        </w:tc>
        <w:tc>
          <w:tcPr>
            <w:tcW w:w="8226" w:type="dxa"/>
            <w:tcBorders>
              <w:top w:val="single" w:color="auto" w:sz="4" w:space="0"/>
              <w:left w:val="single" w:color="auto" w:sz="4" w:space="0"/>
              <w:bottom w:val="single" w:color="auto" w:sz="4" w:space="0"/>
              <w:right w:val="single" w:color="auto" w:sz="4" w:space="0"/>
            </w:tcBorders>
          </w:tcPr>
          <w:p w14:paraId="04D0ABD4">
            <w:pPr>
              <w:adjustRightInd w:val="0"/>
              <w:snapToGrid w:val="0"/>
              <w:spacing w:before="120" w:beforeLines="50" w:after="120" w:afterLines="50" w:line="360" w:lineRule="auto"/>
              <w:ind w:firstLine="480" w:firstLineChars="200"/>
              <w:rPr>
                <w:rFonts w:hint="eastAsia" w:asciiTheme="majorEastAsia" w:hAnsiTheme="majorEastAsia" w:eastAsiaTheme="majorEastAsia" w:cstheme="majorEastAsia"/>
                <w:color w:val="000000"/>
                <w:sz w:val="24"/>
                <w:szCs w:val="24"/>
                <w:lang w:eastAsia="zh-CN"/>
              </w:rPr>
            </w:pPr>
            <w:r>
              <w:rPr>
                <w:rFonts w:hint="eastAsia" w:asciiTheme="majorEastAsia" w:hAnsiTheme="majorEastAsia" w:eastAsiaTheme="majorEastAsia" w:cstheme="majorEastAsia"/>
                <w:color w:val="000000"/>
                <w:sz w:val="24"/>
                <w:szCs w:val="24"/>
                <w:lang w:eastAsia="zh-CN"/>
              </w:rPr>
              <w:t>□特定对象调研      □分析师会议</w:t>
            </w:r>
          </w:p>
          <w:p w14:paraId="545CA308">
            <w:pPr>
              <w:adjustRightInd w:val="0"/>
              <w:snapToGrid w:val="0"/>
              <w:spacing w:before="120" w:beforeLines="50" w:after="120" w:afterLines="50" w:line="360" w:lineRule="auto"/>
              <w:ind w:firstLine="480" w:firstLineChars="200"/>
              <w:rPr>
                <w:rFonts w:hint="eastAsia" w:asciiTheme="majorEastAsia" w:hAnsiTheme="majorEastAsia" w:eastAsiaTheme="majorEastAsia" w:cstheme="majorEastAsia"/>
                <w:color w:val="000000"/>
                <w:sz w:val="24"/>
                <w:szCs w:val="24"/>
                <w:lang w:eastAsia="zh-CN"/>
              </w:rPr>
            </w:pPr>
            <w:r>
              <w:rPr>
                <w:rFonts w:hint="eastAsia" w:asciiTheme="majorEastAsia" w:hAnsiTheme="majorEastAsia" w:eastAsiaTheme="majorEastAsia" w:cstheme="majorEastAsia"/>
                <w:color w:val="000000"/>
                <w:sz w:val="24"/>
                <w:szCs w:val="24"/>
                <w:lang w:eastAsia="zh-CN"/>
              </w:rPr>
              <w:t>□媒体采访          ☑业绩说明会</w:t>
            </w:r>
          </w:p>
          <w:p w14:paraId="00E73A89">
            <w:pPr>
              <w:adjustRightInd w:val="0"/>
              <w:snapToGrid w:val="0"/>
              <w:spacing w:before="120" w:beforeLines="50" w:after="120" w:afterLines="50" w:line="360" w:lineRule="auto"/>
              <w:ind w:firstLine="480" w:firstLineChars="200"/>
              <w:rPr>
                <w:rFonts w:hint="eastAsia" w:asciiTheme="majorEastAsia" w:hAnsiTheme="majorEastAsia" w:eastAsiaTheme="majorEastAsia" w:cstheme="majorEastAsia"/>
                <w:color w:val="000000"/>
                <w:sz w:val="24"/>
                <w:szCs w:val="24"/>
                <w:lang w:eastAsia="zh-CN"/>
              </w:rPr>
            </w:pPr>
            <w:r>
              <w:rPr>
                <w:rFonts w:hint="eastAsia" w:asciiTheme="majorEastAsia" w:hAnsiTheme="majorEastAsia" w:eastAsiaTheme="majorEastAsia" w:cstheme="majorEastAsia"/>
                <w:color w:val="000000"/>
                <w:sz w:val="24"/>
                <w:szCs w:val="24"/>
                <w:lang w:eastAsia="zh-CN"/>
              </w:rPr>
              <w:t>□新闻发布会        □路演活动</w:t>
            </w:r>
          </w:p>
          <w:p w14:paraId="41BD37F7">
            <w:pPr>
              <w:adjustRightInd w:val="0"/>
              <w:snapToGrid w:val="0"/>
              <w:spacing w:before="120" w:beforeLines="50" w:after="120" w:afterLines="50" w:line="360" w:lineRule="auto"/>
              <w:ind w:firstLine="480" w:firstLineChars="200"/>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color w:val="000000"/>
                <w:sz w:val="24"/>
                <w:szCs w:val="24"/>
                <w:lang w:eastAsia="zh-CN"/>
              </w:rPr>
              <w:t>□现场参观          □其他（包含但不限于电话接待）</w:t>
            </w:r>
          </w:p>
        </w:tc>
      </w:tr>
      <w:tr w14:paraId="6552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14:paraId="3C6148DB">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参加单位名称及</w:t>
            </w:r>
          </w:p>
          <w:p w14:paraId="7B34C874">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人员姓名</w:t>
            </w:r>
          </w:p>
        </w:tc>
        <w:tc>
          <w:tcPr>
            <w:tcW w:w="8226" w:type="dxa"/>
            <w:tcBorders>
              <w:top w:val="single" w:color="auto" w:sz="4" w:space="0"/>
              <w:left w:val="single" w:color="auto" w:sz="4" w:space="0"/>
              <w:bottom w:val="single" w:color="auto" w:sz="4" w:space="0"/>
              <w:right w:val="single" w:color="auto" w:sz="4" w:space="0"/>
            </w:tcBorders>
            <w:vAlign w:val="center"/>
          </w:tcPr>
          <w:p w14:paraId="32FB149C">
            <w:pPr>
              <w:widowControl/>
              <w:rPr>
                <w:rFonts w:hint="eastAsia" w:asciiTheme="majorEastAsia" w:hAnsiTheme="majorEastAsia" w:eastAsiaTheme="majorEastAsia" w:cstheme="majorEastAsia"/>
                <w:b/>
                <w:bCs/>
                <w:sz w:val="24"/>
                <w:szCs w:val="24"/>
                <w:lang w:eastAsia="zh-CN"/>
              </w:rPr>
            </w:pPr>
            <w:r>
              <w:rPr>
                <w:rFonts w:hint="eastAsia" w:ascii="仿宋_GB2312" w:hAnsi="仿宋_GB2312" w:eastAsia="仿宋_GB2312" w:cs="仿宋_GB2312"/>
                <w:sz w:val="21"/>
                <w:lang w:eastAsia="zh-CN"/>
              </w:rPr>
              <w:t>循远资产、上海信托、银河基金、中金资管、红思客、长城基金、第一创业证券、上海常春藤、太平资产、中银基金、前海开源基金、海富通基金、霸菱Barings、南方基金、永赢基金、珞珈方圆、中信金融资产、翎展基金、高毅资产、红塔红土基金、汇丰晋信基金、宁银理财、高腾海外、中盛投资、西部证券、华润元大基金、正源信毅、鸿途基金、中泓汇富、开源证券、创金合信、国投证券、工银瑞信、东方国际、中泰证券、狮城产业、正圆投资、财通基金、海运通、华宝基金、众惠相互、国寿养老、恒健控股、国联安基金、长江资管、建信理财、圆信永丰基金、东证融汇、嘉实基金、国信证券、东方阿尔法基金、太平养老、国信资管、火线资本、华泰证券、星石投资、富国基金、国金证券、纽富斯、昆仑信托、中邮基金、兴全基金、中国财险、摩根士丹利基金、禾永投资、长信基金、东方财富证券、广发证券、国泰君安资管、国泰海通证券、长盛基金、尚诚资产、华泰证券资管、景和资产、浙商证券、博衍基金、国泰基金、交银施罗德基金、华创证券、长江证券、东方证券、申九资产、美银证券、方正证券、中信证券、温氏集团、杰富瑞、华鑫证券、伊诺尔实业、百年保险资管、惠升基金、兴业证券、招商基金、财通证券、中邮证券、信达证券、申万宏源证券、川发证券、国海证券、天风证券、汇添富基金、永瑞基金、Aspex、Dymon Asia Capital、Goldman Sachs Asset Management、Hel Ved Capital Management、Morgan Stanley Investment Management、Nan Fung Trinity、Pleiad Investment Advisors、Point72 Asset Management、Schonfeld Strategic Advisors、ACG MANAGEMENT PTE. LTD.</w:t>
            </w:r>
          </w:p>
        </w:tc>
      </w:tr>
      <w:tr w14:paraId="0384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8" w:type="dxa"/>
            <w:tcBorders>
              <w:top w:val="single" w:color="auto" w:sz="4" w:space="0"/>
              <w:left w:val="single" w:color="auto" w:sz="4" w:space="0"/>
              <w:bottom w:val="single" w:color="auto" w:sz="4" w:space="0"/>
              <w:right w:val="single" w:color="auto" w:sz="4" w:space="0"/>
            </w:tcBorders>
            <w:vAlign w:val="center"/>
          </w:tcPr>
          <w:p w14:paraId="26E94EFE">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rPr>
            </w:pPr>
            <w:r>
              <w:rPr>
                <w:rFonts w:hint="eastAsia" w:asciiTheme="majorEastAsia" w:hAnsiTheme="majorEastAsia" w:eastAsiaTheme="majorEastAsia" w:cstheme="majorEastAsia"/>
                <w:bCs/>
                <w:iCs/>
                <w:color w:val="000000"/>
                <w:sz w:val="24"/>
                <w:szCs w:val="24"/>
              </w:rPr>
              <w:t>日 期</w:t>
            </w:r>
          </w:p>
        </w:tc>
        <w:tc>
          <w:tcPr>
            <w:tcW w:w="8226" w:type="dxa"/>
            <w:tcBorders>
              <w:top w:val="single" w:color="auto" w:sz="4" w:space="0"/>
              <w:left w:val="single" w:color="auto" w:sz="4" w:space="0"/>
              <w:bottom w:val="single" w:color="auto" w:sz="4" w:space="0"/>
              <w:right w:val="single" w:color="auto" w:sz="4" w:space="0"/>
            </w:tcBorders>
          </w:tcPr>
          <w:p w14:paraId="5F881B19">
            <w:pPr>
              <w:spacing w:before="120" w:beforeLines="50" w:after="120" w:afterLines="50" w:line="360" w:lineRule="auto"/>
              <w:rPr>
                <w:rFonts w:hint="eastAsia" w:asciiTheme="majorEastAsia" w:hAnsiTheme="majorEastAsia" w:eastAsiaTheme="majorEastAsia" w:cstheme="majorEastAsia"/>
                <w:bCs/>
                <w:iCs/>
                <w:color w:val="000000"/>
                <w:sz w:val="24"/>
                <w:szCs w:val="24"/>
                <w:lang w:eastAsia="zh-CN"/>
              </w:rPr>
            </w:pPr>
            <w:r>
              <w:rPr>
                <w:rFonts w:hint="eastAsia" w:ascii="仿宋_GB2312" w:hAnsi="仿宋_GB2312" w:eastAsia="仿宋_GB2312" w:cs="仿宋_GB2312"/>
                <w:sz w:val="21"/>
                <w:lang w:eastAsia="zh-CN"/>
              </w:rPr>
              <w:t>2026年8月24日-25日</w:t>
            </w:r>
          </w:p>
        </w:tc>
      </w:tr>
      <w:tr w14:paraId="701C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8" w:type="dxa"/>
            <w:tcBorders>
              <w:top w:val="single" w:color="auto" w:sz="4" w:space="0"/>
              <w:left w:val="single" w:color="auto" w:sz="4" w:space="0"/>
              <w:bottom w:val="single" w:color="auto" w:sz="4" w:space="0"/>
              <w:right w:val="single" w:color="auto" w:sz="4" w:space="0"/>
            </w:tcBorders>
            <w:vAlign w:val="center"/>
          </w:tcPr>
          <w:p w14:paraId="09E6F6A9">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rPr>
            </w:pPr>
            <w:r>
              <w:rPr>
                <w:rFonts w:hint="eastAsia" w:asciiTheme="majorEastAsia" w:hAnsiTheme="majorEastAsia" w:eastAsiaTheme="majorEastAsia" w:cstheme="majorEastAsia"/>
                <w:bCs/>
                <w:iCs/>
                <w:color w:val="000000"/>
                <w:sz w:val="24"/>
                <w:szCs w:val="24"/>
              </w:rPr>
              <w:t>地 点</w:t>
            </w:r>
          </w:p>
        </w:tc>
        <w:tc>
          <w:tcPr>
            <w:tcW w:w="8226" w:type="dxa"/>
            <w:tcBorders>
              <w:top w:val="single" w:color="auto" w:sz="4" w:space="0"/>
              <w:left w:val="single" w:color="auto" w:sz="4" w:space="0"/>
              <w:bottom w:val="single" w:color="auto" w:sz="4" w:space="0"/>
              <w:right w:val="single" w:color="auto" w:sz="4" w:space="0"/>
            </w:tcBorders>
            <w:vAlign w:val="center"/>
          </w:tcPr>
          <w:p w14:paraId="7C915FFF">
            <w:pPr>
              <w:spacing w:line="360" w:lineRule="auto"/>
              <w:rPr>
                <w:rFonts w:hint="eastAsia" w:asciiTheme="majorEastAsia" w:hAnsiTheme="majorEastAsia" w:eastAsiaTheme="majorEastAsia" w:cstheme="majorEastAsia"/>
                <w:sz w:val="24"/>
                <w:szCs w:val="24"/>
                <w:lang w:eastAsia="zh-CN"/>
              </w:rPr>
            </w:pPr>
            <w:r>
              <w:rPr>
                <w:rFonts w:hint="eastAsia" w:ascii="仿宋_GB2312" w:hAnsi="仿宋_GB2312" w:eastAsia="仿宋_GB2312" w:cs="仿宋_GB2312"/>
                <w:sz w:val="21"/>
                <w:lang w:eastAsia="zh-CN"/>
              </w:rPr>
              <w:t xml:space="preserve">线上 </w:t>
            </w:r>
          </w:p>
        </w:tc>
      </w:tr>
      <w:tr w14:paraId="3437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14:paraId="18F58026">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 xml:space="preserve"> </w:t>
            </w:r>
          </w:p>
        </w:tc>
        <w:tc>
          <w:tcPr>
            <w:tcW w:w="8226" w:type="dxa"/>
            <w:tcBorders>
              <w:top w:val="single" w:color="auto" w:sz="4" w:space="0"/>
              <w:left w:val="single" w:color="auto" w:sz="4" w:space="0"/>
              <w:bottom w:val="single" w:color="auto" w:sz="4" w:space="0"/>
              <w:right w:val="single" w:color="auto" w:sz="4" w:space="0"/>
            </w:tcBorders>
            <w:vAlign w:val="center"/>
          </w:tcPr>
          <w:p w14:paraId="1D41EEB9">
            <w:pPr>
              <w:spacing w:before="120" w:beforeLines="50" w:after="120" w:afterLines="50" w:line="360" w:lineRule="auto"/>
              <w:rPr>
                <w:rFonts w:hint="eastAsia" w:ascii="仿宋_GB2312" w:hAnsi="仿宋_GB2312" w:eastAsia="仿宋_GB2312" w:cs="仿宋_GB2312"/>
                <w:sz w:val="21"/>
                <w:lang w:eastAsia="zh-CN"/>
              </w:rPr>
            </w:pPr>
            <w:r>
              <w:rPr>
                <w:rFonts w:hint="eastAsia" w:ascii="仿宋_GB2312" w:hAnsi="仿宋_GB2312" w:eastAsia="仿宋_GB2312" w:cs="仿宋_GB2312"/>
                <w:sz w:val="21"/>
                <w:lang w:eastAsia="zh-CN"/>
              </w:rPr>
              <w:t>董事会秘书 张诗扬</w:t>
            </w:r>
          </w:p>
          <w:p w14:paraId="056FFC89">
            <w:pPr>
              <w:spacing w:before="120" w:beforeLines="50" w:after="120" w:afterLines="50" w:line="360" w:lineRule="auto"/>
              <w:rPr>
                <w:rFonts w:hint="eastAsia" w:asciiTheme="majorEastAsia" w:hAnsiTheme="majorEastAsia" w:eastAsiaTheme="majorEastAsia" w:cstheme="majorEastAsia"/>
                <w:sz w:val="24"/>
                <w:szCs w:val="24"/>
                <w:lang w:eastAsia="zh-CN"/>
              </w:rPr>
            </w:pPr>
            <w:r>
              <w:rPr>
                <w:rFonts w:hint="eastAsia" w:ascii="仿宋_GB2312" w:hAnsi="仿宋_GB2312" w:eastAsia="仿宋_GB2312" w:cs="仿宋_GB2312"/>
                <w:sz w:val="21"/>
                <w:lang w:eastAsia="zh-CN"/>
              </w:rPr>
              <w:t>投资者关系总监  徐旸慜</w:t>
            </w:r>
          </w:p>
        </w:tc>
      </w:tr>
      <w:tr w14:paraId="37BD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8" w:type="dxa"/>
            <w:tcBorders>
              <w:top w:val="single" w:color="auto" w:sz="4" w:space="0"/>
              <w:left w:val="single" w:color="auto" w:sz="4" w:space="0"/>
              <w:bottom w:val="single" w:color="auto" w:sz="4" w:space="0"/>
              <w:right w:val="single" w:color="auto" w:sz="4" w:space="0"/>
            </w:tcBorders>
            <w:vAlign w:val="center"/>
          </w:tcPr>
          <w:p w14:paraId="5D7E6F8E">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p>
          <w:p w14:paraId="568A76F9">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投资者关系活动主要内容记录</w:t>
            </w:r>
          </w:p>
          <w:p w14:paraId="190306E0">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p>
        </w:tc>
        <w:tc>
          <w:tcPr>
            <w:tcW w:w="8226" w:type="dxa"/>
            <w:tcBorders>
              <w:top w:val="single" w:color="auto" w:sz="4" w:space="0"/>
              <w:left w:val="single" w:color="auto" w:sz="4" w:space="0"/>
              <w:bottom w:val="single" w:color="auto" w:sz="4" w:space="0"/>
              <w:right w:val="single" w:color="auto" w:sz="4" w:space="0"/>
            </w:tcBorders>
          </w:tcPr>
          <w:p w14:paraId="242B7FBE">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2026年上半年整体经营情况介绍</w:t>
            </w:r>
          </w:p>
          <w:p w14:paraId="54754C4E">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2026年上半年，全球航空航天产业景气度持续上行，受益于AI算力基础设施扩容对配套分布式及调峰电源的强劲拉动，全球燃气轮机市场需求迎来确定性爆发。公司紧抓“两机”产业发展机遇，全面深化国际化战略，报告期内整体经营业绩实现稳健高速增长。上半年公司实现营业收入11.96亿元，同比增长30.87%；实现归属上市公司股东净利润1.17亿元，同比增长29.68%，若剔除该非经营性汇兑波动影响，主营业务的实际盈利增速更为强劲。同时，受益于高附加值海外业务放量及产品结构优化，公司综合毛利率提升至27.92%，同比增加1.30个百分点；</w:t>
            </w:r>
          </w:p>
          <w:p w14:paraId="32FD2AF9">
            <w:pPr>
              <w:rPr>
                <w:rFonts w:hint="eastAsia" w:ascii="仿宋_GB2312" w:hAnsi="仿宋_GB2312" w:eastAsia="仿宋_GB2312" w:cs="仿宋_GB2312"/>
                <w:sz w:val="21"/>
                <w:lang w:eastAsia="zh-CN"/>
              </w:rPr>
            </w:pPr>
          </w:p>
          <w:p w14:paraId="356655BE">
            <w:pPr>
              <w:rPr>
                <w:rFonts w:hint="eastAsia" w:ascii="仿宋_GB2312" w:hAnsi="仿宋_GB2312" w:eastAsia="仿宋_GB2312" w:cs="仿宋_GB2312"/>
                <w:sz w:val="21"/>
                <w:lang w:eastAsia="zh-CN"/>
              </w:rPr>
            </w:pPr>
            <w:r>
              <w:rPr>
                <w:rFonts w:hint="eastAsia" w:ascii="仿宋_GB2312" w:hAnsi="仿宋_GB2312" w:eastAsia="仿宋_GB2312" w:cs="仿宋_GB2312"/>
                <w:sz w:val="21"/>
                <w:lang w:eastAsia="zh-CN"/>
              </w:rPr>
              <w:t>在业务拓展方面，公司国际化战略成果显著，海外业务已成为拉动公司成长的主导引擎。上半年公司实现境外营收6.45亿元，同比增长57.89%，占总营收比重进一步提升至53.92%。在燃气轮机领域，公司成功落地贝克休斯长期合作订单，并持续深化与GEV、西门子等全球龙头的战略合作，随着认证产品型号扩容以及更受海外客户青睐的一体化交付模式推进，全球供应链渗透率不断加深。在商用航空发动机领域，公司成功签约国际客户的高端转动件长期供货协议，实现了从机匣静止件向高壁垒、高价值量转动件的战略升级。</w:t>
            </w:r>
          </w:p>
          <w:p w14:paraId="57B26C0D">
            <w:pPr>
              <w:rPr>
                <w:rFonts w:hint="eastAsia" w:ascii="仿宋_GB2312" w:hAnsi="仿宋_GB2312" w:eastAsia="仿宋_GB2312" w:cs="仿宋_GB2312"/>
                <w:sz w:val="21"/>
                <w:lang w:eastAsia="zh-CN"/>
              </w:rPr>
            </w:pPr>
          </w:p>
          <w:p w14:paraId="33D050A0">
            <w:pPr>
              <w:rPr>
                <w:rFonts w:hint="eastAsia" w:ascii="仿宋_GB2312" w:hAnsi="仿宋_GB2312" w:eastAsia="仿宋_GB2312" w:cs="仿宋_GB2312"/>
                <w:sz w:val="21"/>
                <w:lang w:eastAsia="zh-CN"/>
              </w:rPr>
            </w:pPr>
            <w:r>
              <w:rPr>
                <w:rFonts w:hint="eastAsia" w:ascii="仿宋_GB2312" w:hAnsi="仿宋_GB2312" w:eastAsia="仿宋_GB2312" w:cs="仿宋_GB2312"/>
                <w:sz w:val="21"/>
                <w:lang w:eastAsia="zh-CN"/>
              </w:rPr>
              <w:t>在手订单方面，充足的订单储备与前瞻性的产能建设为公司中长期高增长提供了强力保障。截至上半年末，公司合计在手订单达88.76亿元，同比增长48.73%，其中已下单采购金额为35.15亿元，长协预估订单达53.61亿元，新增预测长协主要来自燃气轮机领域，有效锁定了未来3至5年的业务成长。</w:t>
            </w:r>
          </w:p>
          <w:p w14:paraId="59B1D13B">
            <w:pPr>
              <w:rPr>
                <w:rFonts w:hint="eastAsia" w:ascii="仿宋_GB2312" w:hAnsi="仿宋_GB2312" w:eastAsia="仿宋_GB2312" w:cs="仿宋_GB2312"/>
                <w:b/>
                <w:sz w:val="21"/>
                <w:lang w:eastAsia="zh-CN"/>
              </w:rPr>
            </w:pPr>
          </w:p>
          <w:p w14:paraId="6D7FDB95">
            <w:pPr>
              <w:numPr>
                <w:ilvl w:val="0"/>
                <w:numId w:val="2"/>
              </w:numPr>
              <w:rPr>
                <w:rFonts w:hint="eastAsia" w:ascii="仿宋_GB2312" w:hAnsi="仿宋_GB2312" w:eastAsia="仿宋_GB2312" w:cs="仿宋_GB2312"/>
                <w:b/>
                <w:sz w:val="21"/>
                <w:lang w:eastAsia="zh-CN"/>
              </w:rPr>
            </w:pPr>
            <w:r>
              <w:rPr>
                <w:rFonts w:ascii="仿宋_GB2312" w:hAnsi="仿宋_GB2312" w:eastAsia="仿宋_GB2312" w:cs="仿宋_GB2312"/>
                <w:b/>
                <w:sz w:val="21"/>
                <w:lang w:eastAsia="zh-CN"/>
              </w:rPr>
              <w:t>海外航空发动机锻件的市场空间如何？核心的行业驱动因素有哪些？</w:t>
            </w:r>
          </w:p>
          <w:p w14:paraId="40C383BF">
            <w:pPr>
              <w:rPr>
                <w:rFonts w:hint="eastAsia" w:ascii="仿宋_GB2312" w:hAnsi="仿宋_GB2312" w:eastAsia="仿宋_GB2312" w:cs="仿宋_GB2312"/>
                <w:bCs/>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hint="eastAsia" w:ascii="仿宋_GB2312" w:hAnsi="仿宋_GB2312" w:eastAsia="仿宋_GB2312" w:cs="仿宋_GB2312"/>
                <w:bCs/>
                <w:sz w:val="21"/>
                <w:lang w:eastAsia="zh-CN"/>
              </w:rPr>
              <w:t>全球商用航空市场正处于长周期的复苏与强劲扩张阶段。受制于老旧机型替换需求以及核心厂商单通道窄体客机的产能瓶颈，航空发动机产业链正迎来极高的确定性景气度。从下游最新动态来看，截至2026年上半年末，空客商用飞机的在手积压订单已高达9,222架，这一规模相当于其未来约10年的排产产能；目前空客与波音两大巨头的合并积压订单总量已超过14,400架。在发动机主机厂方面，GE Aerospace在2026年一季度实现了总订单87%的激增，其商用航空服务积压订单规模已达到1,700亿美元。</w:t>
            </w:r>
          </w:p>
          <w:p w14:paraId="139C35A7">
            <w:pPr>
              <w:rPr>
                <w:rFonts w:hint="eastAsia" w:ascii="仿宋_GB2312" w:hAnsi="仿宋_GB2312" w:eastAsia="仿宋_GB2312" w:cs="仿宋_GB2312"/>
                <w:bCs/>
                <w:sz w:val="21"/>
                <w:lang w:eastAsia="zh-CN"/>
              </w:rPr>
            </w:pPr>
          </w:p>
          <w:p w14:paraId="4D84F1A4">
            <w:pPr>
              <w:rPr>
                <w:rFonts w:hint="eastAsia" w:ascii="仿宋_GB2312" w:hAnsi="仿宋_GB2312" w:eastAsia="仿宋_GB2312" w:cs="仿宋_GB2312"/>
                <w:bCs/>
                <w:sz w:val="21"/>
                <w:lang w:eastAsia="zh-CN"/>
              </w:rPr>
            </w:pPr>
            <w:r>
              <w:rPr>
                <w:rFonts w:hint="eastAsia" w:ascii="仿宋_GB2312" w:hAnsi="仿宋_GB2312" w:eastAsia="仿宋_GB2312" w:cs="仿宋_GB2312"/>
                <w:bCs/>
                <w:sz w:val="21"/>
                <w:lang w:eastAsia="zh-CN"/>
              </w:rPr>
              <w:t>下游主机厂商庞大且能见度极高的长周期积压订单，为上游高壁垒核心部件（航空发动机锻件）提供了坚实的存量与增量需求底座。公司凭借成熟的难变形金属材料成型及精密环形锻件制造工艺，已成功卡位国际头部商用航空发动机供应链体系。伴随海外客户长协的逐步落地及批产交付，这一确定性极强的增量市场将为公司带来广阔的业绩增长空间。</w:t>
            </w:r>
          </w:p>
          <w:p w14:paraId="2074CD5D">
            <w:pPr>
              <w:rPr>
                <w:rFonts w:hint="eastAsia" w:ascii="仿宋_GB2312" w:hAnsi="仿宋_GB2312" w:eastAsia="仿宋_GB2312" w:cs="仿宋_GB2312"/>
                <w:b/>
                <w:sz w:val="21"/>
                <w:lang w:eastAsia="zh-CN"/>
              </w:rPr>
            </w:pPr>
          </w:p>
          <w:p w14:paraId="0037061C">
            <w:pPr>
              <w:numPr>
                <w:ilvl w:val="0"/>
                <w:numId w:val="2"/>
              </w:numPr>
              <w:rPr>
                <w:rFonts w:hint="eastAsia" w:ascii="仿宋_GB2312" w:hAnsi="仿宋_GB2312" w:eastAsia="仿宋_GB2312" w:cs="仿宋_GB2312"/>
                <w:b/>
                <w:sz w:val="21"/>
                <w:lang w:eastAsia="zh-CN"/>
              </w:rPr>
            </w:pPr>
            <w:r>
              <w:rPr>
                <w:rFonts w:ascii="仿宋_GB2312" w:hAnsi="仿宋_GB2312" w:eastAsia="仿宋_GB2312" w:cs="仿宋_GB2312"/>
                <w:b/>
                <w:sz w:val="21"/>
                <w:lang w:eastAsia="zh-CN"/>
              </w:rPr>
              <w:t>海外燃气轮机锻件的市场空间如何？公司在这一领域面临怎样的机遇？</w:t>
            </w:r>
          </w:p>
          <w:p w14:paraId="114D2CED">
            <w:pPr>
              <w:rPr>
                <w:rFonts w:hint="eastAsia" w:ascii="仿宋_GB2312" w:hAnsi="仿宋_GB2312" w:eastAsia="仿宋_GB2312" w:cs="仿宋_GB2312"/>
                <w:bCs/>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bCs/>
                <w:sz w:val="21"/>
                <w:lang w:eastAsia="zh-CN"/>
              </w:rPr>
              <w:t>海外</w:t>
            </w:r>
            <w:r>
              <w:rPr>
                <w:rFonts w:ascii="仿宋_GB2312" w:hAnsi="仿宋_GB2312" w:eastAsia="仿宋_GB2312" w:cs="仿宋_GB2312"/>
                <w:bCs/>
                <w:sz w:val="21"/>
                <w:lang w:eastAsia="zh-CN"/>
              </w:rPr>
              <w:t xml:space="preserve">燃气轮机的市场需求主要受欧美地区老旧电力基础设施替换、全球低碳“煤改气”转型，以及近年来人工智能与大型数据中心建设带来的分布式电力及调峰需求所驱动。下游核心主机厂商的在手订单数据直接反映了行业的景气度，截至2026年二季度末， GE Vernova的燃气轮机设备在手订单及排产保留协议已达116GW，交货排期已延伸至下一阶段；西门子能源的确定性积压订单也处于历史高位。下游主机厂庞大的积压订单为公司关键锻件产品的持续交付提供了坚实基础。  </w:t>
            </w:r>
          </w:p>
          <w:p w14:paraId="43E29701">
            <w:pPr>
              <w:rPr>
                <w:rFonts w:hint="eastAsia" w:ascii="仿宋_GB2312" w:hAnsi="仿宋_GB2312" w:eastAsia="仿宋_GB2312" w:cs="仿宋_GB2312"/>
                <w:bCs/>
                <w:sz w:val="21"/>
                <w:lang w:eastAsia="zh-CN"/>
              </w:rPr>
            </w:pPr>
          </w:p>
          <w:p w14:paraId="0557B1ED">
            <w:pPr>
              <w:rPr>
                <w:rFonts w:hint="eastAsia" w:ascii="仿宋_GB2312" w:hAnsi="仿宋_GB2312" w:eastAsia="仿宋_GB2312" w:cs="仿宋_GB2312"/>
                <w:bCs/>
                <w:sz w:val="21"/>
                <w:lang w:eastAsia="zh-CN"/>
              </w:rPr>
            </w:pPr>
            <w:r>
              <w:rPr>
                <w:rFonts w:ascii="仿宋_GB2312" w:hAnsi="仿宋_GB2312" w:eastAsia="仿宋_GB2312" w:cs="仿宋_GB2312"/>
                <w:bCs/>
                <w:sz w:val="21"/>
                <w:lang w:eastAsia="zh-CN"/>
              </w:rPr>
              <w:t>在燃气轮机细分领域中，航改燃（航空衍生型燃气轮机）因具备启停灵活、模块化安装等技术特征，能够高效匹配电网深度调峰及数据中心独立电源的建设需求，当前相关设备的采购需求呈现稳步上升态势。从终端市场最新商业动态来看，GE Vernova在2026年二季度单季</w:t>
            </w:r>
            <w:r>
              <w:rPr>
                <w:rFonts w:hint="eastAsia" w:ascii="仿宋_GB2312" w:hAnsi="仿宋_GB2312" w:eastAsia="仿宋_GB2312" w:cs="仿宋_GB2312"/>
                <w:bCs/>
                <w:sz w:val="21"/>
                <w:lang w:eastAsia="zh-CN"/>
              </w:rPr>
              <w:t>获得</w:t>
            </w:r>
            <w:r>
              <w:rPr>
                <w:rFonts w:ascii="仿宋_GB2312" w:hAnsi="仿宋_GB2312" w:eastAsia="仿宋_GB2312" w:cs="仿宋_GB2312"/>
                <w:bCs/>
                <w:sz w:val="21"/>
                <w:lang w:eastAsia="zh-CN"/>
              </w:rPr>
              <w:t xml:space="preserve">61台航改燃机组订单，且其今年上半年来自数据中心相关的新增订单已超过50亿美元；同时，另一大核心客户贝克休斯亦在持续推进其航改燃机组（如LM2500、LM9000等型号）的商业交付，并明确预期在2025至2027年间获取约30亿美元的数据中心相关订单。下游客户在航改燃及数据中心领域获取的实质性订单，直接带动了上游核心锻件采购需求的增加。  </w:t>
            </w:r>
          </w:p>
          <w:p w14:paraId="2143D97E">
            <w:pPr>
              <w:rPr>
                <w:rFonts w:hint="eastAsia" w:ascii="仿宋_GB2312" w:hAnsi="仿宋_GB2312" w:eastAsia="仿宋_GB2312" w:cs="仿宋_GB2312"/>
                <w:bCs/>
                <w:sz w:val="21"/>
                <w:lang w:eastAsia="zh-CN"/>
              </w:rPr>
            </w:pPr>
          </w:p>
          <w:p w14:paraId="05865652">
            <w:pPr>
              <w:rPr>
                <w:rFonts w:hint="eastAsia" w:ascii="仿宋_GB2312" w:hAnsi="仿宋_GB2312" w:eastAsia="仿宋_GB2312" w:cs="仿宋_GB2312"/>
                <w:bCs/>
                <w:sz w:val="21"/>
                <w:lang w:eastAsia="zh-CN"/>
              </w:rPr>
            </w:pPr>
            <w:r>
              <w:rPr>
                <w:rFonts w:ascii="仿宋_GB2312" w:hAnsi="仿宋_GB2312" w:eastAsia="仿宋_GB2312" w:cs="仿宋_GB2312"/>
                <w:bCs/>
                <w:sz w:val="21"/>
                <w:lang w:eastAsia="zh-CN"/>
              </w:rPr>
              <w:t>在客户与市场拓展方面，公司坚持深耕存量与突破增量并举的经营策略。一方面，公司持续深化与</w:t>
            </w:r>
            <w:r>
              <w:rPr>
                <w:rFonts w:hint="eastAsia" w:ascii="仿宋_GB2312" w:hAnsi="仿宋_GB2312" w:eastAsia="仿宋_GB2312" w:cs="仿宋_GB2312"/>
                <w:bCs/>
                <w:sz w:val="21"/>
                <w:lang w:eastAsia="zh-CN"/>
              </w:rPr>
              <w:t>贝克休斯</w:t>
            </w:r>
            <w:r>
              <w:rPr>
                <w:rFonts w:ascii="仿宋_GB2312" w:hAnsi="仿宋_GB2312" w:eastAsia="仿宋_GB2312" w:cs="仿宋_GB2312"/>
                <w:bCs/>
                <w:sz w:val="21"/>
                <w:lang w:eastAsia="zh-CN"/>
              </w:rPr>
              <w:t>、GE Vernova等现有核心客户的战略合作，充分受益于客户饱满的排产计划以及海外市场对高附加值</w:t>
            </w:r>
            <w:r>
              <w:rPr>
                <w:rFonts w:hint="eastAsia" w:ascii="仿宋_GB2312" w:hAnsi="仿宋_GB2312" w:eastAsia="仿宋_GB2312" w:cs="仿宋_GB2312"/>
                <w:bCs/>
                <w:sz w:val="21"/>
                <w:lang w:eastAsia="zh-CN"/>
              </w:rPr>
              <w:t>一体化</w:t>
            </w:r>
            <w:r>
              <w:rPr>
                <w:rFonts w:ascii="仿宋_GB2312" w:hAnsi="仿宋_GB2312" w:eastAsia="仿宋_GB2312" w:cs="仿宋_GB2312"/>
                <w:bCs/>
                <w:sz w:val="21"/>
                <w:lang w:eastAsia="zh-CN"/>
              </w:rPr>
              <w:t>交付模式的需求。另一方面，针对海外航改燃及重型燃机市场的增量空间</w:t>
            </w:r>
            <w:r>
              <w:rPr>
                <w:rFonts w:hint="eastAsia" w:ascii="仿宋_GB2312" w:hAnsi="仿宋_GB2312" w:eastAsia="仿宋_GB2312" w:cs="仿宋_GB2312"/>
                <w:bCs/>
                <w:sz w:val="21"/>
                <w:lang w:eastAsia="zh-CN"/>
              </w:rPr>
              <w:t>与维修后市场</w:t>
            </w:r>
            <w:r>
              <w:rPr>
                <w:rFonts w:ascii="仿宋_GB2312" w:hAnsi="仿宋_GB2312" w:eastAsia="仿宋_GB2312" w:cs="仿宋_GB2312"/>
                <w:bCs/>
                <w:sz w:val="21"/>
                <w:lang w:eastAsia="zh-CN"/>
              </w:rPr>
              <w:t>，公司正积极与海外其他潜在主流燃机</w:t>
            </w:r>
            <w:r>
              <w:rPr>
                <w:rFonts w:hint="eastAsia" w:ascii="仿宋_GB2312" w:hAnsi="仿宋_GB2312" w:eastAsia="仿宋_GB2312" w:cs="仿宋_GB2312"/>
                <w:bCs/>
                <w:sz w:val="21"/>
                <w:lang w:eastAsia="zh-CN"/>
              </w:rPr>
              <w:t>制造商/维修商</w:t>
            </w:r>
            <w:r>
              <w:rPr>
                <w:rFonts w:ascii="仿宋_GB2312" w:hAnsi="仿宋_GB2312" w:eastAsia="仿宋_GB2312" w:cs="仿宋_GB2312"/>
                <w:bCs/>
                <w:sz w:val="21"/>
                <w:lang w:eastAsia="zh-CN"/>
              </w:rPr>
              <w:t>展开前期产品技术交流，相关新客户的拓展及认证工作正按既定规划有序推进。未来，公司将继续依托在</w:t>
            </w:r>
            <w:r>
              <w:rPr>
                <w:rFonts w:hint="eastAsia" w:ascii="仿宋_GB2312" w:hAnsi="仿宋_GB2312" w:eastAsia="仿宋_GB2312" w:cs="仿宋_GB2312"/>
                <w:bCs/>
                <w:sz w:val="21"/>
                <w:lang w:eastAsia="zh-CN"/>
              </w:rPr>
              <w:t>“两机”</w:t>
            </w:r>
            <w:r>
              <w:rPr>
                <w:rFonts w:ascii="仿宋_GB2312" w:hAnsi="仿宋_GB2312" w:eastAsia="仿宋_GB2312" w:cs="仿宋_GB2312"/>
                <w:bCs/>
                <w:sz w:val="21"/>
                <w:lang w:eastAsia="zh-CN"/>
              </w:rPr>
              <w:t>领域</w:t>
            </w:r>
            <w:r>
              <w:rPr>
                <w:rFonts w:hint="eastAsia" w:ascii="仿宋_GB2312" w:hAnsi="仿宋_GB2312" w:eastAsia="仿宋_GB2312" w:cs="仿宋_GB2312"/>
                <w:bCs/>
                <w:sz w:val="21"/>
                <w:lang w:eastAsia="zh-CN"/>
              </w:rPr>
              <w:t>零部件</w:t>
            </w:r>
            <w:r>
              <w:rPr>
                <w:rFonts w:ascii="仿宋_GB2312" w:hAnsi="仿宋_GB2312" w:eastAsia="仿宋_GB2312" w:cs="仿宋_GB2312"/>
                <w:bCs/>
                <w:sz w:val="21"/>
                <w:lang w:eastAsia="zh-CN"/>
              </w:rPr>
              <w:t>的技术积累，稳步提升在海外燃气轮机供应链中的供货份额。</w:t>
            </w:r>
          </w:p>
          <w:p w14:paraId="759EE679">
            <w:pPr>
              <w:rPr>
                <w:rFonts w:hint="eastAsia" w:ascii="仿宋_GB2312" w:hAnsi="仿宋_GB2312" w:eastAsia="仿宋_GB2312" w:cs="仿宋_GB2312"/>
                <w:b/>
                <w:sz w:val="21"/>
                <w:lang w:eastAsia="zh-CN"/>
              </w:rPr>
            </w:pPr>
          </w:p>
          <w:p w14:paraId="15B4ACBD">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国内商用发动机上半年体量如何？有无标志性进展？</w:t>
            </w:r>
          </w:p>
          <w:p w14:paraId="4F537C24">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ascii="仿宋_GB2312" w:hAnsi="仿宋_GB2312" w:eastAsia="仿宋_GB2312" w:cs="仿宋_GB2312"/>
                <w:sz w:val="21"/>
                <w:lang w:eastAsia="zh-CN"/>
              </w:rPr>
              <w:t>上半年，国内商用发动机业务保持了稳健增长，交付量有所提升。随着国内商发</w:t>
            </w:r>
            <w:r>
              <w:rPr>
                <w:rFonts w:hint="eastAsia" w:ascii="仿宋_GB2312" w:hAnsi="仿宋_GB2312" w:eastAsia="仿宋_GB2312" w:cs="仿宋_GB2312"/>
                <w:sz w:val="21"/>
                <w:lang w:eastAsia="zh-CN"/>
              </w:rPr>
              <w:t>长江系列的研制加快</w:t>
            </w:r>
            <w:r>
              <w:rPr>
                <w:rFonts w:ascii="仿宋_GB2312" w:hAnsi="仿宋_GB2312" w:eastAsia="仿宋_GB2312" w:cs="仿宋_GB2312"/>
                <w:sz w:val="21"/>
                <w:lang w:eastAsia="zh-CN"/>
              </w:rPr>
              <w:t>，预计将对公司的收入规模及盈利能力产生积极的增厚作用。公司作为国内商发的主要供应商及主研制单位之一，维持了良好的市场份额。</w:t>
            </w:r>
          </w:p>
          <w:p w14:paraId="087A54C2">
            <w:pPr>
              <w:rPr>
                <w:rFonts w:hint="eastAsia" w:ascii="仿宋_GB2312" w:hAnsi="仿宋_GB2312" w:eastAsia="仿宋_GB2312" w:cs="仿宋_GB2312"/>
                <w:b/>
                <w:sz w:val="21"/>
                <w:lang w:eastAsia="zh-CN"/>
              </w:rPr>
            </w:pPr>
          </w:p>
          <w:p w14:paraId="58123AF7">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海外业务毛利率与国内相比差异多大？</w:t>
            </w:r>
          </w:p>
          <w:p w14:paraId="4E6D012D">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ascii="仿宋_GB2312" w:hAnsi="仿宋_GB2312" w:eastAsia="仿宋_GB2312" w:cs="仿宋_GB2312"/>
                <w:sz w:val="21"/>
                <w:lang w:eastAsia="zh-CN"/>
              </w:rPr>
              <w:t>上半年，公司整体毛利率较去年同期提升约1.3个百分点。按区域划分，境内业务毛利率保持在30%以上，境外业务毛利率约在26%左右。尽管当前海外业务毛利率较境内业务略低，但海外市场拓展迅速，整体增速显著高于国内</w:t>
            </w:r>
            <w:r>
              <w:rPr>
                <w:rFonts w:hint="eastAsia" w:ascii="仿宋_GB2312" w:hAnsi="仿宋_GB2312" w:eastAsia="仿宋_GB2312" w:cs="仿宋_GB2312"/>
                <w:sz w:val="21"/>
                <w:lang w:eastAsia="zh-CN"/>
              </w:rPr>
              <w:t>,未来规模化效应将更明显</w:t>
            </w:r>
            <w:r>
              <w:rPr>
                <w:rFonts w:ascii="仿宋_GB2312" w:hAnsi="仿宋_GB2312" w:eastAsia="仿宋_GB2312" w:cs="仿宋_GB2312"/>
                <w:sz w:val="21"/>
                <w:lang w:eastAsia="zh-CN"/>
              </w:rPr>
              <w:t>。</w:t>
            </w:r>
          </w:p>
          <w:p w14:paraId="46D30752">
            <w:pPr>
              <w:rPr>
                <w:rFonts w:hint="eastAsia" w:ascii="仿宋_GB2312" w:hAnsi="仿宋_GB2312" w:eastAsia="仿宋_GB2312" w:cs="仿宋_GB2312"/>
                <w:sz w:val="21"/>
                <w:lang w:eastAsia="zh-CN"/>
              </w:rPr>
            </w:pPr>
          </w:p>
          <w:p w14:paraId="5540622E">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在手订单接近90亿元、同比增长50%，主要构成是什么？</w:t>
            </w:r>
          </w:p>
          <w:p w14:paraId="220371E1">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ascii="仿宋_GB2312" w:hAnsi="仿宋_GB2312" w:eastAsia="仿宋_GB2312" w:cs="仿宋_GB2312"/>
                <w:sz w:val="21"/>
                <w:lang w:eastAsia="zh-CN"/>
              </w:rPr>
              <w:t>截至上半年，公司</w:t>
            </w:r>
            <w:r>
              <w:rPr>
                <w:rFonts w:hint="eastAsia" w:ascii="仿宋_GB2312" w:hAnsi="仿宋_GB2312" w:eastAsia="仿宋_GB2312" w:cs="仿宋_GB2312"/>
                <w:sz w:val="21"/>
                <w:lang w:eastAsia="zh-CN"/>
              </w:rPr>
              <w:t>实际收到的客户订单与长协预测订单合计约88.76亿</w:t>
            </w:r>
            <w:r>
              <w:rPr>
                <w:rFonts w:ascii="仿宋_GB2312" w:hAnsi="仿宋_GB2312" w:eastAsia="仿宋_GB2312" w:cs="仿宋_GB2312"/>
                <w:sz w:val="21"/>
                <w:lang w:eastAsia="zh-CN"/>
              </w:rPr>
              <w:t>元，其中</w:t>
            </w:r>
            <w:r>
              <w:rPr>
                <w:rFonts w:hint="eastAsia" w:ascii="仿宋_GB2312" w:hAnsi="仿宋_GB2312" w:eastAsia="仿宋_GB2312" w:cs="仿宋_GB2312"/>
                <w:sz w:val="21"/>
                <w:lang w:eastAsia="zh-CN"/>
              </w:rPr>
              <w:t>大部分仍为航空发动机业务订单。但报告期内</w:t>
            </w:r>
            <w:r>
              <w:rPr>
                <w:rFonts w:ascii="仿宋_GB2312" w:hAnsi="仿宋_GB2312" w:eastAsia="仿宋_GB2312" w:cs="仿宋_GB2312"/>
                <w:sz w:val="21"/>
                <w:lang w:eastAsia="zh-CN"/>
              </w:rPr>
              <w:t>新增的长协</w:t>
            </w:r>
            <w:r>
              <w:rPr>
                <w:rFonts w:hint="eastAsia" w:ascii="仿宋_GB2312" w:hAnsi="仿宋_GB2312" w:eastAsia="仿宋_GB2312" w:cs="仿宋_GB2312"/>
                <w:sz w:val="21"/>
                <w:lang w:eastAsia="zh-CN"/>
              </w:rPr>
              <w:t>预测</w:t>
            </w:r>
            <w:r>
              <w:rPr>
                <w:rFonts w:ascii="仿宋_GB2312" w:hAnsi="仿宋_GB2312" w:eastAsia="仿宋_GB2312" w:cs="仿宋_GB2312"/>
                <w:sz w:val="21"/>
                <w:lang w:eastAsia="zh-CN"/>
              </w:rPr>
              <w:t>订单主要来源于</w:t>
            </w:r>
            <w:r>
              <w:rPr>
                <w:rFonts w:hint="eastAsia" w:ascii="仿宋_GB2312" w:hAnsi="仿宋_GB2312" w:eastAsia="仿宋_GB2312" w:cs="仿宋_GB2312"/>
                <w:sz w:val="21"/>
                <w:lang w:eastAsia="zh-CN"/>
              </w:rPr>
              <w:t>海外</w:t>
            </w:r>
            <w:r>
              <w:rPr>
                <w:rFonts w:ascii="仿宋_GB2312" w:hAnsi="仿宋_GB2312" w:eastAsia="仿宋_GB2312" w:cs="仿宋_GB2312"/>
                <w:sz w:val="21"/>
                <w:lang w:eastAsia="zh-CN"/>
              </w:rPr>
              <w:t>燃气轮机业务。展望下半年，燃气轮机订单有望维持良好增长态势，海外商用发动机订单亦具备突破潜力，公司总体订单规模有望迈上新台阶。</w:t>
            </w:r>
          </w:p>
          <w:p w14:paraId="79347F2E">
            <w:pPr>
              <w:rPr>
                <w:rFonts w:hint="eastAsia" w:ascii="仿宋_GB2312" w:hAnsi="仿宋_GB2312" w:eastAsia="仿宋_GB2312" w:cs="仿宋_GB2312"/>
                <w:sz w:val="21"/>
                <w:lang w:eastAsia="zh-CN"/>
              </w:rPr>
            </w:pPr>
          </w:p>
          <w:p w14:paraId="6DFFFB9F">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在手订单大约覆盖未来几年的需求？燃机订单与整体订单的平均覆盖年限分别如何？</w:t>
            </w:r>
          </w:p>
          <w:p w14:paraId="106502F8">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：长协订单期限不等，覆盖并锁定公司未来3~5年的成长。</w:t>
            </w:r>
          </w:p>
          <w:p w14:paraId="51A01BAD">
            <w:pPr>
              <w:rPr>
                <w:rFonts w:hint="eastAsia" w:ascii="仿宋_GB2312" w:hAnsi="仿宋_GB2312" w:eastAsia="仿宋_GB2312" w:cs="仿宋_GB2312"/>
                <w:b/>
                <w:sz w:val="21"/>
                <w:lang w:eastAsia="zh-CN"/>
              </w:rPr>
            </w:pPr>
          </w:p>
          <w:p w14:paraId="0652AC52">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研发费用同比增加一倍，占营收约7%，大幅投入的主要目的是什么？</w:t>
            </w:r>
          </w:p>
          <w:p w14:paraId="2CA96B8E">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ascii="仿宋_GB2312" w:hAnsi="仿宋_GB2312" w:eastAsia="仿宋_GB2312" w:cs="仿宋_GB2312"/>
                <w:sz w:val="21"/>
                <w:lang w:eastAsia="zh-CN"/>
              </w:rPr>
              <w:t>公司始终将技术创新作为核心驱动力。上半年研发费用的较大幅度增长，主要系公司针对最新的NISP技术进行了前瞻性布局及集中投入，该技术未来将主要应用于沙文厂区。随着NISP技术的持续深化与应用，将有助于公司在未来进一步提升产品毛利率</w:t>
            </w:r>
            <w:r>
              <w:rPr>
                <w:rFonts w:hint="eastAsia" w:ascii="仿宋_GB2312" w:hAnsi="仿宋_GB2312" w:eastAsia="仿宋_GB2312" w:cs="仿宋_GB2312"/>
                <w:sz w:val="21"/>
                <w:lang w:eastAsia="zh-CN"/>
              </w:rPr>
              <w:t>和市场竞争力</w:t>
            </w:r>
            <w:r>
              <w:rPr>
                <w:rFonts w:ascii="仿宋_GB2312" w:hAnsi="仿宋_GB2312" w:eastAsia="仿宋_GB2312" w:cs="仿宋_GB2312"/>
                <w:sz w:val="21"/>
                <w:lang w:eastAsia="zh-CN"/>
              </w:rPr>
              <w:t>。</w:t>
            </w:r>
          </w:p>
          <w:p w14:paraId="7A8FEF0A">
            <w:pPr>
              <w:rPr>
                <w:rFonts w:hint="eastAsia" w:ascii="仿宋_GB2312" w:hAnsi="仿宋_GB2312" w:eastAsia="仿宋_GB2312" w:cs="仿宋_GB2312"/>
                <w:sz w:val="21"/>
                <w:lang w:eastAsia="zh-CN"/>
              </w:rPr>
            </w:pPr>
          </w:p>
          <w:p w14:paraId="34067681">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沙文项目预计今年年底投产，主要瞄准哪方面需求？相比德兰航宇（2.0智能生产线）的优势在哪？</w:t>
            </w:r>
          </w:p>
          <w:p w14:paraId="76FD08BA">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：沙文工厂目前试制产品以航空锻件为主，主推NISP技术，NISP技术可通过节省原材料和提升加工效率来降低生产成本，对产品毛利率有明显改善。</w:t>
            </w:r>
          </w:p>
          <w:p w14:paraId="6444CDEA">
            <w:pPr>
              <w:rPr>
                <w:rFonts w:hint="eastAsia" w:ascii="仿宋_GB2312" w:hAnsi="仿宋_GB2312" w:eastAsia="仿宋_GB2312" w:cs="仿宋_GB2312"/>
                <w:sz w:val="21"/>
                <w:lang w:eastAsia="zh-CN"/>
              </w:rPr>
            </w:pPr>
          </w:p>
          <w:p w14:paraId="3E9C7E12">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转动件客户突破是公司向更高壁垒产品跨越的重要一步。海外客户半年长协自今年起的试样/批量节奏如何？后面推进节奏如何？</w:t>
            </w:r>
          </w:p>
          <w:p w14:paraId="149D603E">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ascii="仿宋_GB2312" w:hAnsi="仿宋_GB2312" w:eastAsia="仿宋_GB2312" w:cs="仿宋_GB2312"/>
                <w:sz w:val="21"/>
                <w:lang w:eastAsia="zh-CN"/>
              </w:rPr>
              <w:t>公司在转动件领域的突破是向高壁垒</w:t>
            </w:r>
            <w:r>
              <w:rPr>
                <w:rFonts w:hint="eastAsia" w:ascii="仿宋_GB2312" w:hAnsi="仿宋_GB2312" w:eastAsia="仿宋_GB2312" w:cs="仿宋_GB2312"/>
                <w:sz w:val="21"/>
                <w:lang w:eastAsia="zh-CN"/>
              </w:rPr>
              <w:t>高附加值</w:t>
            </w:r>
            <w:r>
              <w:rPr>
                <w:rFonts w:ascii="仿宋_GB2312" w:hAnsi="仿宋_GB2312" w:eastAsia="仿宋_GB2312" w:cs="仿宋_GB2312"/>
                <w:sz w:val="21"/>
                <w:lang w:eastAsia="zh-CN"/>
              </w:rPr>
              <w:t>产品拓展的重要战略节点。在海外客户长协订单的推进节奏上，公司采取稳扎稳打的策略，产品开发逐步递进。整体来看，转动件的市场空间与静止件基本相当，该领域的突破为公司打开了成倍的潜在市场空间。后续公司将按照既定节奏，有序推进试件及批量交付工作。</w:t>
            </w:r>
          </w:p>
          <w:p w14:paraId="7481ECFB">
            <w:pPr>
              <w:rPr>
                <w:rFonts w:hint="eastAsia" w:ascii="仿宋_GB2312" w:hAnsi="仿宋_GB2312" w:eastAsia="仿宋_GB2312" w:cs="仿宋_GB2312"/>
                <w:sz w:val="21"/>
                <w:lang w:eastAsia="zh-CN"/>
              </w:rPr>
            </w:pPr>
          </w:p>
          <w:p w14:paraId="48E1A26E">
            <w:pPr>
              <w:numPr>
                <w:ilvl w:val="0"/>
                <w:numId w:val="2"/>
              </w:numPr>
              <w:rPr>
                <w:rFonts w:hint="eastAsia" w:ascii="仿宋_GB2312" w:hAnsi="仿宋_GB2312" w:eastAsia="仿宋_GB2312" w:cs="仿宋_GB2312"/>
                <w:b/>
                <w:sz w:val="21"/>
                <w:lang w:eastAsia="zh-CN"/>
              </w:rPr>
            </w:pPr>
            <w:r>
              <w:rPr>
                <w:rFonts w:hint="eastAsia" w:ascii="仿宋_GB2312" w:hAnsi="仿宋_GB2312" w:eastAsia="仿宋_GB2312" w:cs="仿宋_GB2312"/>
                <w:b/>
                <w:sz w:val="21"/>
                <w:lang w:eastAsia="zh-CN"/>
              </w:rPr>
              <w:t>公司营收规模与外贸占比不断提升，汇率损益影响将更常态化，是否已建立完善的汇率对冲机制？</w:t>
            </w:r>
          </w:p>
          <w:p w14:paraId="13212071">
            <w:pPr>
              <w:rPr>
                <w:rFonts w:hint="eastAsia" w:ascii="仿宋_GB2312" w:hAnsi="仿宋_GB2312" w:eastAsia="仿宋_GB2312" w:cs="仿宋_GB2312"/>
                <w:sz w:val="21"/>
                <w:lang w:eastAsia="zh-CN"/>
              </w:rPr>
            </w:pPr>
            <w:r>
              <w:rPr>
                <w:rFonts w:hint="eastAsia" w:ascii="仿宋_GB2312" w:hAnsi="仿宋_GB2312" w:eastAsia="仿宋_GB2312" w:cs="仿宋_GB2312"/>
                <w:b/>
                <w:sz w:val="21"/>
                <w:lang w:eastAsia="zh-CN"/>
              </w:rPr>
              <w:t>答</w:t>
            </w:r>
            <w:r>
              <w:rPr>
                <w:rFonts w:hint="eastAsia" w:ascii="仿宋_GB2312" w:hAnsi="仿宋_GB2312" w:eastAsia="仿宋_GB2312" w:cs="仿宋_GB2312"/>
                <w:sz w:val="21"/>
                <w:lang w:eastAsia="zh-CN"/>
              </w:rPr>
              <w:t>：</w:t>
            </w:r>
            <w:r>
              <w:rPr>
                <w:rFonts w:ascii="仿宋_GB2312" w:hAnsi="仿宋_GB2312" w:eastAsia="仿宋_GB2312" w:cs="仿宋_GB2312"/>
                <w:sz w:val="21"/>
                <w:lang w:eastAsia="zh-CN"/>
              </w:rPr>
              <w:t>随着公司外贸业务占比的不断提升，公司已建立较为完善的外汇风险管理及长期制度安排以应对汇率波动：一方面，公司通过开展远期外汇交易等套期保值业务进行风险对冲；另一方面，公司在商务谈判中积极与客户沟通，在合同中引入新的汇率联动与调节机制，最大程度降低汇率波动对公司经营业绩的影响。</w:t>
            </w:r>
          </w:p>
          <w:p w14:paraId="78E657A7">
            <w:pPr>
              <w:spacing w:line="360" w:lineRule="auto"/>
              <w:rPr>
                <w:rFonts w:hint="eastAsia" w:asciiTheme="majorEastAsia" w:hAnsiTheme="majorEastAsia" w:eastAsiaTheme="majorEastAsia" w:cstheme="majorEastAsia"/>
                <w:sz w:val="24"/>
                <w:szCs w:val="24"/>
                <w:lang w:eastAsia="zh-CN"/>
              </w:rPr>
            </w:pPr>
          </w:p>
          <w:p w14:paraId="47D39405">
            <w:pPr>
              <w:spacing w:line="360" w:lineRule="auto"/>
              <w:rPr>
                <w:rFonts w:hint="eastAsia" w:asciiTheme="majorEastAsia" w:hAnsiTheme="majorEastAsia" w:eastAsiaTheme="majorEastAsia" w:cstheme="majorEastAsia"/>
                <w:sz w:val="24"/>
                <w:szCs w:val="24"/>
                <w:lang w:eastAsia="zh-CN"/>
              </w:rPr>
            </w:pPr>
          </w:p>
          <w:p w14:paraId="6F2ABDEB">
            <w:pPr>
              <w:spacing w:line="360" w:lineRule="auto"/>
              <w:rPr>
                <w:rFonts w:hint="eastAsia" w:asciiTheme="majorEastAsia" w:hAnsiTheme="majorEastAsia" w:eastAsiaTheme="majorEastAsia" w:cstheme="majorEastAsia"/>
                <w:sz w:val="24"/>
                <w:szCs w:val="24"/>
                <w:lang w:eastAsia="zh-CN"/>
              </w:rPr>
            </w:pPr>
          </w:p>
          <w:p w14:paraId="45BF4527">
            <w:pPr>
              <w:spacing w:line="360" w:lineRule="auto"/>
              <w:rPr>
                <w:rFonts w:hint="eastAsia" w:asciiTheme="majorEastAsia" w:hAnsiTheme="majorEastAsia" w:eastAsiaTheme="majorEastAsia" w:cstheme="majorEastAsia"/>
                <w:sz w:val="24"/>
                <w:szCs w:val="24"/>
                <w:lang w:eastAsia="zh-CN"/>
              </w:rPr>
            </w:pPr>
            <w:bookmarkStart w:id="0" w:name="_GoBack"/>
            <w:bookmarkEnd w:id="0"/>
          </w:p>
        </w:tc>
      </w:tr>
      <w:tr w14:paraId="02A2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8" w:type="dxa"/>
            <w:tcBorders>
              <w:top w:val="single" w:color="auto" w:sz="4" w:space="0"/>
              <w:left w:val="single" w:color="auto" w:sz="4" w:space="0"/>
              <w:bottom w:val="single" w:color="auto" w:sz="4" w:space="0"/>
              <w:right w:val="single" w:color="auto" w:sz="4" w:space="0"/>
            </w:tcBorders>
            <w:vAlign w:val="center"/>
          </w:tcPr>
          <w:p w14:paraId="0106190B">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附件清单</w:t>
            </w:r>
          </w:p>
        </w:tc>
        <w:tc>
          <w:tcPr>
            <w:tcW w:w="8226" w:type="dxa"/>
            <w:tcBorders>
              <w:top w:val="single" w:color="auto" w:sz="4" w:space="0"/>
              <w:left w:val="single" w:color="auto" w:sz="4" w:space="0"/>
              <w:bottom w:val="single" w:color="auto" w:sz="4" w:space="0"/>
              <w:right w:val="single" w:color="auto" w:sz="4" w:space="0"/>
            </w:tcBorders>
            <w:vAlign w:val="center"/>
          </w:tcPr>
          <w:p w14:paraId="61FB596A">
            <w:pPr>
              <w:adjustRightInd w:val="0"/>
              <w:snapToGrid w:val="0"/>
              <w:spacing w:before="120" w:beforeLines="50" w:after="120" w:afterLines="50" w:line="360" w:lineRule="auto"/>
              <w:rPr>
                <w:rFonts w:hint="eastAsia" w:asciiTheme="majorEastAsia" w:hAnsiTheme="majorEastAsia" w:eastAsiaTheme="majorEastAsia" w:cstheme="majorEastAsia"/>
                <w:color w:val="000000"/>
                <w:sz w:val="24"/>
                <w:szCs w:val="24"/>
                <w:lang w:eastAsia="zh-CN"/>
              </w:rPr>
            </w:pPr>
            <w:r>
              <w:rPr>
                <w:rFonts w:hint="eastAsia" w:asciiTheme="majorEastAsia" w:hAnsiTheme="majorEastAsia" w:eastAsiaTheme="majorEastAsia" w:cstheme="majorEastAsia"/>
                <w:color w:val="000000"/>
                <w:sz w:val="24"/>
                <w:szCs w:val="24"/>
                <w:lang w:eastAsia="zh-CN"/>
              </w:rPr>
              <w:t>无</w:t>
            </w:r>
          </w:p>
        </w:tc>
      </w:tr>
      <w:tr w14:paraId="0EA1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8" w:type="dxa"/>
            <w:tcBorders>
              <w:top w:val="single" w:color="auto" w:sz="4" w:space="0"/>
              <w:left w:val="single" w:color="auto" w:sz="4" w:space="0"/>
              <w:bottom w:val="single" w:color="auto" w:sz="4" w:space="0"/>
              <w:right w:val="single" w:color="auto" w:sz="4" w:space="0"/>
            </w:tcBorders>
            <w:vAlign w:val="center"/>
          </w:tcPr>
          <w:p w14:paraId="22CA6F11">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参与人员</w:t>
            </w:r>
          </w:p>
          <w:p w14:paraId="4B13AF34">
            <w:pPr>
              <w:spacing w:before="120" w:beforeLines="50" w:after="120" w:afterLines="50" w:line="360" w:lineRule="auto"/>
              <w:jc w:val="center"/>
              <w:rPr>
                <w:rFonts w:hint="eastAsia" w:asciiTheme="majorEastAsia" w:hAnsiTheme="majorEastAsia" w:eastAsiaTheme="majorEastAsia" w:cstheme="majorEastAsia"/>
                <w:bCs/>
                <w:iCs/>
                <w:color w:val="000000"/>
                <w:sz w:val="24"/>
                <w:szCs w:val="24"/>
                <w:lang w:eastAsia="zh-CN"/>
              </w:rPr>
            </w:pPr>
            <w:r>
              <w:rPr>
                <w:rFonts w:hint="eastAsia" w:asciiTheme="majorEastAsia" w:hAnsiTheme="majorEastAsia" w:eastAsiaTheme="majorEastAsia" w:cstheme="majorEastAsia"/>
                <w:bCs/>
                <w:iCs/>
                <w:color w:val="000000"/>
                <w:sz w:val="24"/>
                <w:szCs w:val="24"/>
                <w:lang w:eastAsia="zh-CN"/>
              </w:rPr>
              <w:t>签字确认</w:t>
            </w:r>
          </w:p>
        </w:tc>
        <w:tc>
          <w:tcPr>
            <w:tcW w:w="8226" w:type="dxa"/>
            <w:tcBorders>
              <w:top w:val="single" w:color="auto" w:sz="4" w:space="0"/>
              <w:left w:val="single" w:color="auto" w:sz="4" w:space="0"/>
              <w:bottom w:val="single" w:color="auto" w:sz="4" w:space="0"/>
              <w:right w:val="single" w:color="auto" w:sz="4" w:space="0"/>
            </w:tcBorders>
            <w:vAlign w:val="center"/>
          </w:tcPr>
          <w:p w14:paraId="4D352812">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p>
          <w:p w14:paraId="0B4F0DA3">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r>
              <w:rPr>
                <w:rFonts w:hint="eastAsia" w:asciiTheme="majorEastAsia" w:hAnsiTheme="majorEastAsia" w:eastAsiaTheme="majorEastAsia" w:cstheme="majorEastAsia"/>
                <w:bCs/>
                <w:iCs/>
                <w:sz w:val="24"/>
                <w:szCs w:val="24"/>
                <w:lang w:eastAsia="zh-CN"/>
              </w:rPr>
              <w:t>来访人员：</w:t>
            </w:r>
          </w:p>
          <w:p w14:paraId="72CAEA8C">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p>
          <w:p w14:paraId="6D94EFDF">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p>
          <w:p w14:paraId="05C33753">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p>
          <w:p w14:paraId="2D2E21A0">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r>
              <w:rPr>
                <w:rFonts w:hint="eastAsia" w:asciiTheme="majorEastAsia" w:hAnsiTheme="majorEastAsia" w:eastAsiaTheme="majorEastAsia" w:cstheme="majorEastAsia"/>
                <w:bCs/>
                <w:iCs/>
                <w:sz w:val="24"/>
                <w:szCs w:val="24"/>
                <w:lang w:eastAsia="zh-CN"/>
              </w:rPr>
              <w:t>公司参与人员：</w:t>
            </w:r>
          </w:p>
          <w:p w14:paraId="5DCCD2FC">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p>
          <w:p w14:paraId="15C701EA">
            <w:pPr>
              <w:spacing w:before="120" w:beforeLines="50" w:after="120" w:afterLines="50" w:line="360" w:lineRule="auto"/>
              <w:rPr>
                <w:rFonts w:hint="eastAsia" w:asciiTheme="majorEastAsia" w:hAnsiTheme="majorEastAsia" w:eastAsiaTheme="majorEastAsia" w:cstheme="majorEastAsia"/>
                <w:bCs/>
                <w:iCs/>
                <w:sz w:val="24"/>
                <w:szCs w:val="24"/>
                <w:lang w:eastAsia="zh-CN"/>
              </w:rPr>
            </w:pPr>
          </w:p>
        </w:tc>
      </w:tr>
    </w:tbl>
    <w:p w14:paraId="570FBDE6">
      <w:pPr>
        <w:spacing w:before="120" w:beforeLines="50" w:after="120" w:afterLines="50" w:line="360" w:lineRule="auto"/>
        <w:ind w:left="121"/>
        <w:rPr>
          <w:rFonts w:hint="eastAsia" w:ascii="宋体" w:hAnsi="宋体" w:eastAsia="宋体"/>
          <w:bCs/>
          <w:iCs/>
          <w:sz w:val="24"/>
          <w:szCs w:val="24"/>
          <w:lang w:eastAsia="zh-CN"/>
        </w:rPr>
      </w:pPr>
      <w:r>
        <w:rPr>
          <w:rFonts w:hint="eastAsia" w:ascii="宋体" w:hAnsi="宋体" w:eastAsia="宋体"/>
          <w:bCs/>
          <w:iCs/>
          <w:sz w:val="24"/>
          <w:szCs w:val="24"/>
          <w:lang w:eastAsia="zh-CN"/>
        </w:rPr>
        <w:t>董事会秘书确认：</w:t>
      </w:r>
    </w:p>
    <w:sectPr>
      <w:footerReference r:id="rId3" w:type="default"/>
      <w:pgSz w:w="11910" w:h="16840"/>
      <w:pgMar w:top="1162" w:right="1678" w:bottom="1162" w:left="1678"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Helvetica Neue">
    <w:altName w:val="Times New Roman"/>
    <w:panose1 w:val="00000000000000000000"/>
    <w:charset w:val="00"/>
    <w:family w:val="auto"/>
    <w:pitch w:val="default"/>
    <w:sig w:usb0="00000000" w:usb1="00000000" w:usb2="0000001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DECC">
    <w:pPr>
      <w:spacing w:line="14" w:lineRule="auto"/>
      <w:ind w:firstLine="400"/>
      <w:rPr>
        <w:sz w:val="20"/>
        <w:szCs w:val="20"/>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2C4DFF"/>
    <w:multiLevelType w:val="multilevel"/>
    <w:tmpl w:val="072C4DFF"/>
    <w:lvl w:ilvl="0" w:tentative="0">
      <w:start w:val="1"/>
      <w:numFmt w:val="decimal"/>
      <w:pStyle w:val="2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BFC2539"/>
    <w:multiLevelType w:val="singleLevel"/>
    <w:tmpl w:val="2BFC2539"/>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1Y2FkZTNlZTEzNTg4MjczMDRkOTEwOGU2NjA5NWYifQ=="/>
  </w:docVars>
  <w:rsids>
    <w:rsidRoot w:val="001C76AA"/>
    <w:rsid w:val="00000002"/>
    <w:rsid w:val="000001D0"/>
    <w:rsid w:val="00000554"/>
    <w:rsid w:val="0000072A"/>
    <w:rsid w:val="00000B73"/>
    <w:rsid w:val="00001416"/>
    <w:rsid w:val="00001707"/>
    <w:rsid w:val="00002E78"/>
    <w:rsid w:val="00003CB9"/>
    <w:rsid w:val="00003CF9"/>
    <w:rsid w:val="00003D58"/>
    <w:rsid w:val="00003FFD"/>
    <w:rsid w:val="00004ED7"/>
    <w:rsid w:val="00005379"/>
    <w:rsid w:val="00005E29"/>
    <w:rsid w:val="00006F57"/>
    <w:rsid w:val="00010DBD"/>
    <w:rsid w:val="00010E65"/>
    <w:rsid w:val="000115EE"/>
    <w:rsid w:val="00011C87"/>
    <w:rsid w:val="000128A9"/>
    <w:rsid w:val="00012ACD"/>
    <w:rsid w:val="00013691"/>
    <w:rsid w:val="0001408F"/>
    <w:rsid w:val="000145A2"/>
    <w:rsid w:val="00015060"/>
    <w:rsid w:val="00015685"/>
    <w:rsid w:val="0001595E"/>
    <w:rsid w:val="00015B6D"/>
    <w:rsid w:val="00015D52"/>
    <w:rsid w:val="00017230"/>
    <w:rsid w:val="0002053B"/>
    <w:rsid w:val="000207C4"/>
    <w:rsid w:val="00020881"/>
    <w:rsid w:val="000209E5"/>
    <w:rsid w:val="000215B7"/>
    <w:rsid w:val="000215BB"/>
    <w:rsid w:val="00021E26"/>
    <w:rsid w:val="00022FF9"/>
    <w:rsid w:val="000234A1"/>
    <w:rsid w:val="0002402F"/>
    <w:rsid w:val="000243F6"/>
    <w:rsid w:val="00025142"/>
    <w:rsid w:val="00025607"/>
    <w:rsid w:val="00025E2D"/>
    <w:rsid w:val="000261B0"/>
    <w:rsid w:val="0002640F"/>
    <w:rsid w:val="00026804"/>
    <w:rsid w:val="00027720"/>
    <w:rsid w:val="00027B6A"/>
    <w:rsid w:val="00030865"/>
    <w:rsid w:val="00030A5B"/>
    <w:rsid w:val="00030FE1"/>
    <w:rsid w:val="00031218"/>
    <w:rsid w:val="00031A18"/>
    <w:rsid w:val="00031E94"/>
    <w:rsid w:val="00031EAB"/>
    <w:rsid w:val="000329AE"/>
    <w:rsid w:val="00032AFC"/>
    <w:rsid w:val="0003377A"/>
    <w:rsid w:val="0003415D"/>
    <w:rsid w:val="00034DC2"/>
    <w:rsid w:val="00034FCD"/>
    <w:rsid w:val="00035202"/>
    <w:rsid w:val="00035A53"/>
    <w:rsid w:val="00035DC3"/>
    <w:rsid w:val="000368D9"/>
    <w:rsid w:val="0003713A"/>
    <w:rsid w:val="0003744F"/>
    <w:rsid w:val="000375F3"/>
    <w:rsid w:val="00040699"/>
    <w:rsid w:val="000413F5"/>
    <w:rsid w:val="0004141A"/>
    <w:rsid w:val="0004210E"/>
    <w:rsid w:val="000438CA"/>
    <w:rsid w:val="00043A84"/>
    <w:rsid w:val="000449C4"/>
    <w:rsid w:val="00044A18"/>
    <w:rsid w:val="00044AC6"/>
    <w:rsid w:val="00045140"/>
    <w:rsid w:val="0004569A"/>
    <w:rsid w:val="00046019"/>
    <w:rsid w:val="00046B49"/>
    <w:rsid w:val="00046C8E"/>
    <w:rsid w:val="000478C3"/>
    <w:rsid w:val="00050B93"/>
    <w:rsid w:val="0005110B"/>
    <w:rsid w:val="000516C9"/>
    <w:rsid w:val="00051868"/>
    <w:rsid w:val="00051B0A"/>
    <w:rsid w:val="0005256E"/>
    <w:rsid w:val="00052AF6"/>
    <w:rsid w:val="000530CF"/>
    <w:rsid w:val="000534BD"/>
    <w:rsid w:val="000535F7"/>
    <w:rsid w:val="0005417A"/>
    <w:rsid w:val="00054B54"/>
    <w:rsid w:val="0005543C"/>
    <w:rsid w:val="000555B1"/>
    <w:rsid w:val="00055CAC"/>
    <w:rsid w:val="00055E5E"/>
    <w:rsid w:val="00056981"/>
    <w:rsid w:val="0005779F"/>
    <w:rsid w:val="00060391"/>
    <w:rsid w:val="00061943"/>
    <w:rsid w:val="00061B92"/>
    <w:rsid w:val="00061D33"/>
    <w:rsid w:val="00062453"/>
    <w:rsid w:val="00062F9C"/>
    <w:rsid w:val="0006335E"/>
    <w:rsid w:val="000636EC"/>
    <w:rsid w:val="00063E7D"/>
    <w:rsid w:val="00063E8F"/>
    <w:rsid w:val="00063E91"/>
    <w:rsid w:val="00063FBA"/>
    <w:rsid w:val="0006424D"/>
    <w:rsid w:val="00064632"/>
    <w:rsid w:val="000659A1"/>
    <w:rsid w:val="00065A90"/>
    <w:rsid w:val="00066673"/>
    <w:rsid w:val="0006684C"/>
    <w:rsid w:val="0007015C"/>
    <w:rsid w:val="000706BA"/>
    <w:rsid w:val="00070727"/>
    <w:rsid w:val="00070E95"/>
    <w:rsid w:val="000712FA"/>
    <w:rsid w:val="0007133B"/>
    <w:rsid w:val="00071BE2"/>
    <w:rsid w:val="00072237"/>
    <w:rsid w:val="00072432"/>
    <w:rsid w:val="00072BC4"/>
    <w:rsid w:val="00072C07"/>
    <w:rsid w:val="000731CF"/>
    <w:rsid w:val="000733DA"/>
    <w:rsid w:val="000734C4"/>
    <w:rsid w:val="00073528"/>
    <w:rsid w:val="000737DC"/>
    <w:rsid w:val="00073ED4"/>
    <w:rsid w:val="000742E6"/>
    <w:rsid w:val="00074B6B"/>
    <w:rsid w:val="00074DBC"/>
    <w:rsid w:val="00075806"/>
    <w:rsid w:val="000765C9"/>
    <w:rsid w:val="00077064"/>
    <w:rsid w:val="00080392"/>
    <w:rsid w:val="00080563"/>
    <w:rsid w:val="00080B0E"/>
    <w:rsid w:val="00080B86"/>
    <w:rsid w:val="00080E34"/>
    <w:rsid w:val="000819EE"/>
    <w:rsid w:val="00082F95"/>
    <w:rsid w:val="00083CA9"/>
    <w:rsid w:val="00084829"/>
    <w:rsid w:val="00084C60"/>
    <w:rsid w:val="000865B9"/>
    <w:rsid w:val="00086DD8"/>
    <w:rsid w:val="00086E96"/>
    <w:rsid w:val="00087F8F"/>
    <w:rsid w:val="000903AE"/>
    <w:rsid w:val="00090F06"/>
    <w:rsid w:val="0009135D"/>
    <w:rsid w:val="00091846"/>
    <w:rsid w:val="0009271B"/>
    <w:rsid w:val="00092BE5"/>
    <w:rsid w:val="00093041"/>
    <w:rsid w:val="00094169"/>
    <w:rsid w:val="000949AB"/>
    <w:rsid w:val="00094E4E"/>
    <w:rsid w:val="00095081"/>
    <w:rsid w:val="000956BD"/>
    <w:rsid w:val="000A0038"/>
    <w:rsid w:val="000A029C"/>
    <w:rsid w:val="000A02AD"/>
    <w:rsid w:val="000A184B"/>
    <w:rsid w:val="000A1936"/>
    <w:rsid w:val="000A2DC0"/>
    <w:rsid w:val="000A41E8"/>
    <w:rsid w:val="000A4F82"/>
    <w:rsid w:val="000A52C5"/>
    <w:rsid w:val="000A585F"/>
    <w:rsid w:val="000A61F0"/>
    <w:rsid w:val="000A658D"/>
    <w:rsid w:val="000A690C"/>
    <w:rsid w:val="000A6FEE"/>
    <w:rsid w:val="000A7B24"/>
    <w:rsid w:val="000A7C83"/>
    <w:rsid w:val="000B0923"/>
    <w:rsid w:val="000B2E87"/>
    <w:rsid w:val="000B3061"/>
    <w:rsid w:val="000B38B5"/>
    <w:rsid w:val="000B4122"/>
    <w:rsid w:val="000B493F"/>
    <w:rsid w:val="000B4D20"/>
    <w:rsid w:val="000B5797"/>
    <w:rsid w:val="000B5886"/>
    <w:rsid w:val="000B61A4"/>
    <w:rsid w:val="000B672D"/>
    <w:rsid w:val="000B6DDD"/>
    <w:rsid w:val="000B7498"/>
    <w:rsid w:val="000B76BE"/>
    <w:rsid w:val="000B7DAE"/>
    <w:rsid w:val="000C0258"/>
    <w:rsid w:val="000C029B"/>
    <w:rsid w:val="000C047E"/>
    <w:rsid w:val="000C0561"/>
    <w:rsid w:val="000C0F4A"/>
    <w:rsid w:val="000C0F64"/>
    <w:rsid w:val="000C1107"/>
    <w:rsid w:val="000C11F4"/>
    <w:rsid w:val="000C1369"/>
    <w:rsid w:val="000C1865"/>
    <w:rsid w:val="000C1D1E"/>
    <w:rsid w:val="000C2F63"/>
    <w:rsid w:val="000C37F6"/>
    <w:rsid w:val="000C4197"/>
    <w:rsid w:val="000C4445"/>
    <w:rsid w:val="000C4685"/>
    <w:rsid w:val="000C554C"/>
    <w:rsid w:val="000C5E83"/>
    <w:rsid w:val="000C5F4C"/>
    <w:rsid w:val="000C6506"/>
    <w:rsid w:val="000C6AD4"/>
    <w:rsid w:val="000C6AF2"/>
    <w:rsid w:val="000C6B9D"/>
    <w:rsid w:val="000C6F16"/>
    <w:rsid w:val="000C6F37"/>
    <w:rsid w:val="000D0E2F"/>
    <w:rsid w:val="000D135A"/>
    <w:rsid w:val="000D173D"/>
    <w:rsid w:val="000D1C72"/>
    <w:rsid w:val="000D2598"/>
    <w:rsid w:val="000D2B69"/>
    <w:rsid w:val="000D3054"/>
    <w:rsid w:val="000D36B0"/>
    <w:rsid w:val="000D37F5"/>
    <w:rsid w:val="000D3A4A"/>
    <w:rsid w:val="000D3A74"/>
    <w:rsid w:val="000D4050"/>
    <w:rsid w:val="000D4148"/>
    <w:rsid w:val="000D46A5"/>
    <w:rsid w:val="000D48AA"/>
    <w:rsid w:val="000D56D3"/>
    <w:rsid w:val="000D5BC8"/>
    <w:rsid w:val="000D7157"/>
    <w:rsid w:val="000D77F1"/>
    <w:rsid w:val="000E152C"/>
    <w:rsid w:val="000E273F"/>
    <w:rsid w:val="000E2D22"/>
    <w:rsid w:val="000E3705"/>
    <w:rsid w:val="000E3BE0"/>
    <w:rsid w:val="000E44B0"/>
    <w:rsid w:val="000E4EB3"/>
    <w:rsid w:val="000E5262"/>
    <w:rsid w:val="000E540D"/>
    <w:rsid w:val="000E54E5"/>
    <w:rsid w:val="000E6FB9"/>
    <w:rsid w:val="000E71AC"/>
    <w:rsid w:val="000E7406"/>
    <w:rsid w:val="000E7CCB"/>
    <w:rsid w:val="000F1569"/>
    <w:rsid w:val="000F1989"/>
    <w:rsid w:val="000F1BC0"/>
    <w:rsid w:val="000F1F2B"/>
    <w:rsid w:val="000F2259"/>
    <w:rsid w:val="000F2678"/>
    <w:rsid w:val="000F2D21"/>
    <w:rsid w:val="000F3307"/>
    <w:rsid w:val="000F367C"/>
    <w:rsid w:val="000F39B8"/>
    <w:rsid w:val="000F3D59"/>
    <w:rsid w:val="000F3F23"/>
    <w:rsid w:val="000F5353"/>
    <w:rsid w:val="000F5710"/>
    <w:rsid w:val="000F58C2"/>
    <w:rsid w:val="000F5BE9"/>
    <w:rsid w:val="000F62F3"/>
    <w:rsid w:val="000F6355"/>
    <w:rsid w:val="000F645F"/>
    <w:rsid w:val="000F6C1A"/>
    <w:rsid w:val="000F6E6A"/>
    <w:rsid w:val="000F6F04"/>
    <w:rsid w:val="000F71AE"/>
    <w:rsid w:val="000F7335"/>
    <w:rsid w:val="000F763C"/>
    <w:rsid w:val="000F7D3A"/>
    <w:rsid w:val="0010065E"/>
    <w:rsid w:val="001006D0"/>
    <w:rsid w:val="00100704"/>
    <w:rsid w:val="001025E9"/>
    <w:rsid w:val="00102EDF"/>
    <w:rsid w:val="00104385"/>
    <w:rsid w:val="0010467B"/>
    <w:rsid w:val="00104E12"/>
    <w:rsid w:val="00104F6A"/>
    <w:rsid w:val="001050BD"/>
    <w:rsid w:val="001051DB"/>
    <w:rsid w:val="00105589"/>
    <w:rsid w:val="001058FF"/>
    <w:rsid w:val="00105CF3"/>
    <w:rsid w:val="001064A5"/>
    <w:rsid w:val="00106983"/>
    <w:rsid w:val="0010767E"/>
    <w:rsid w:val="00107E46"/>
    <w:rsid w:val="0011032D"/>
    <w:rsid w:val="001104E6"/>
    <w:rsid w:val="0011086A"/>
    <w:rsid w:val="00110A33"/>
    <w:rsid w:val="00110B5B"/>
    <w:rsid w:val="00111403"/>
    <w:rsid w:val="001121CB"/>
    <w:rsid w:val="00112323"/>
    <w:rsid w:val="00112637"/>
    <w:rsid w:val="001129CE"/>
    <w:rsid w:val="00112C5D"/>
    <w:rsid w:val="00112ED3"/>
    <w:rsid w:val="00113390"/>
    <w:rsid w:val="001138DB"/>
    <w:rsid w:val="00115300"/>
    <w:rsid w:val="00115EF8"/>
    <w:rsid w:val="00116583"/>
    <w:rsid w:val="00116600"/>
    <w:rsid w:val="001167E8"/>
    <w:rsid w:val="00116C4E"/>
    <w:rsid w:val="0011764A"/>
    <w:rsid w:val="00117D73"/>
    <w:rsid w:val="00117F53"/>
    <w:rsid w:val="00120D82"/>
    <w:rsid w:val="00120E68"/>
    <w:rsid w:val="0012135C"/>
    <w:rsid w:val="00121BAF"/>
    <w:rsid w:val="001222E8"/>
    <w:rsid w:val="00122364"/>
    <w:rsid w:val="00122852"/>
    <w:rsid w:val="00122D41"/>
    <w:rsid w:val="00124116"/>
    <w:rsid w:val="001243EF"/>
    <w:rsid w:val="001248EE"/>
    <w:rsid w:val="00125290"/>
    <w:rsid w:val="0012597E"/>
    <w:rsid w:val="00125AF4"/>
    <w:rsid w:val="001265B0"/>
    <w:rsid w:val="00127465"/>
    <w:rsid w:val="00127C36"/>
    <w:rsid w:val="00127CC3"/>
    <w:rsid w:val="001305A9"/>
    <w:rsid w:val="00130867"/>
    <w:rsid w:val="001313D6"/>
    <w:rsid w:val="00131C39"/>
    <w:rsid w:val="00132340"/>
    <w:rsid w:val="00133898"/>
    <w:rsid w:val="00133A24"/>
    <w:rsid w:val="00133E29"/>
    <w:rsid w:val="00133E75"/>
    <w:rsid w:val="001341FF"/>
    <w:rsid w:val="001342B8"/>
    <w:rsid w:val="00135279"/>
    <w:rsid w:val="001353A0"/>
    <w:rsid w:val="00135549"/>
    <w:rsid w:val="001356ED"/>
    <w:rsid w:val="00135B03"/>
    <w:rsid w:val="00135D46"/>
    <w:rsid w:val="001361D1"/>
    <w:rsid w:val="001362FC"/>
    <w:rsid w:val="001375B0"/>
    <w:rsid w:val="001376E7"/>
    <w:rsid w:val="001404E3"/>
    <w:rsid w:val="001408AD"/>
    <w:rsid w:val="00141105"/>
    <w:rsid w:val="0014118B"/>
    <w:rsid w:val="001414FA"/>
    <w:rsid w:val="00141EAA"/>
    <w:rsid w:val="00142C61"/>
    <w:rsid w:val="00142D20"/>
    <w:rsid w:val="00143402"/>
    <w:rsid w:val="00144772"/>
    <w:rsid w:val="00144F13"/>
    <w:rsid w:val="00146234"/>
    <w:rsid w:val="0014660C"/>
    <w:rsid w:val="001476A4"/>
    <w:rsid w:val="00147875"/>
    <w:rsid w:val="00147B08"/>
    <w:rsid w:val="00147FCB"/>
    <w:rsid w:val="001506A2"/>
    <w:rsid w:val="00150BEB"/>
    <w:rsid w:val="00150D00"/>
    <w:rsid w:val="00151021"/>
    <w:rsid w:val="0015161C"/>
    <w:rsid w:val="001522EE"/>
    <w:rsid w:val="00152598"/>
    <w:rsid w:val="001525E1"/>
    <w:rsid w:val="00153643"/>
    <w:rsid w:val="00154263"/>
    <w:rsid w:val="00154628"/>
    <w:rsid w:val="001546B9"/>
    <w:rsid w:val="00154DBD"/>
    <w:rsid w:val="00154E13"/>
    <w:rsid w:val="00155B3D"/>
    <w:rsid w:val="00157436"/>
    <w:rsid w:val="0015758B"/>
    <w:rsid w:val="001576CD"/>
    <w:rsid w:val="00157C89"/>
    <w:rsid w:val="00157D13"/>
    <w:rsid w:val="001613AD"/>
    <w:rsid w:val="00161632"/>
    <w:rsid w:val="0016220D"/>
    <w:rsid w:val="00162588"/>
    <w:rsid w:val="001626CE"/>
    <w:rsid w:val="00162EC5"/>
    <w:rsid w:val="00163C39"/>
    <w:rsid w:val="0016400B"/>
    <w:rsid w:val="001643C4"/>
    <w:rsid w:val="00164F5D"/>
    <w:rsid w:val="00165757"/>
    <w:rsid w:val="00165B24"/>
    <w:rsid w:val="00166240"/>
    <w:rsid w:val="00166289"/>
    <w:rsid w:val="0016790D"/>
    <w:rsid w:val="0017041B"/>
    <w:rsid w:val="001705A2"/>
    <w:rsid w:val="00170EDB"/>
    <w:rsid w:val="0017169B"/>
    <w:rsid w:val="00171A62"/>
    <w:rsid w:val="00171CCE"/>
    <w:rsid w:val="0017200C"/>
    <w:rsid w:val="00172B0F"/>
    <w:rsid w:val="00172E88"/>
    <w:rsid w:val="001733C1"/>
    <w:rsid w:val="0017675B"/>
    <w:rsid w:val="00177442"/>
    <w:rsid w:val="00177A90"/>
    <w:rsid w:val="001800BB"/>
    <w:rsid w:val="0018091B"/>
    <w:rsid w:val="00181A07"/>
    <w:rsid w:val="001825E4"/>
    <w:rsid w:val="00182B43"/>
    <w:rsid w:val="001834DF"/>
    <w:rsid w:val="00183690"/>
    <w:rsid w:val="00183C04"/>
    <w:rsid w:val="00184A8E"/>
    <w:rsid w:val="00184C23"/>
    <w:rsid w:val="00185155"/>
    <w:rsid w:val="00185AEB"/>
    <w:rsid w:val="00185BE1"/>
    <w:rsid w:val="001860AC"/>
    <w:rsid w:val="00186A21"/>
    <w:rsid w:val="001877DB"/>
    <w:rsid w:val="00187D51"/>
    <w:rsid w:val="00191609"/>
    <w:rsid w:val="00191A27"/>
    <w:rsid w:val="00191EAC"/>
    <w:rsid w:val="00192AF7"/>
    <w:rsid w:val="00192C47"/>
    <w:rsid w:val="0019327F"/>
    <w:rsid w:val="00193569"/>
    <w:rsid w:val="00193602"/>
    <w:rsid w:val="00194E59"/>
    <w:rsid w:val="00194F42"/>
    <w:rsid w:val="00195273"/>
    <w:rsid w:val="00195476"/>
    <w:rsid w:val="00195E21"/>
    <w:rsid w:val="00196E90"/>
    <w:rsid w:val="00196FCF"/>
    <w:rsid w:val="0019742F"/>
    <w:rsid w:val="00197D24"/>
    <w:rsid w:val="001A029D"/>
    <w:rsid w:val="001A034A"/>
    <w:rsid w:val="001A10AC"/>
    <w:rsid w:val="001A1381"/>
    <w:rsid w:val="001A1867"/>
    <w:rsid w:val="001A22A1"/>
    <w:rsid w:val="001A270B"/>
    <w:rsid w:val="001A34E5"/>
    <w:rsid w:val="001A3974"/>
    <w:rsid w:val="001A3E4E"/>
    <w:rsid w:val="001A44EE"/>
    <w:rsid w:val="001A4794"/>
    <w:rsid w:val="001A56E9"/>
    <w:rsid w:val="001A5AE8"/>
    <w:rsid w:val="001A5C57"/>
    <w:rsid w:val="001A5C5B"/>
    <w:rsid w:val="001A6388"/>
    <w:rsid w:val="001A6506"/>
    <w:rsid w:val="001A6D7F"/>
    <w:rsid w:val="001A70BB"/>
    <w:rsid w:val="001A726A"/>
    <w:rsid w:val="001A77D2"/>
    <w:rsid w:val="001B0D75"/>
    <w:rsid w:val="001B0E96"/>
    <w:rsid w:val="001B10D2"/>
    <w:rsid w:val="001B1151"/>
    <w:rsid w:val="001B124B"/>
    <w:rsid w:val="001B1310"/>
    <w:rsid w:val="001B16DD"/>
    <w:rsid w:val="001B1B28"/>
    <w:rsid w:val="001B3477"/>
    <w:rsid w:val="001B3562"/>
    <w:rsid w:val="001B366F"/>
    <w:rsid w:val="001B53B6"/>
    <w:rsid w:val="001B53DC"/>
    <w:rsid w:val="001B552C"/>
    <w:rsid w:val="001B5672"/>
    <w:rsid w:val="001B56E7"/>
    <w:rsid w:val="001B6020"/>
    <w:rsid w:val="001B6300"/>
    <w:rsid w:val="001B75C4"/>
    <w:rsid w:val="001B7C25"/>
    <w:rsid w:val="001C03B1"/>
    <w:rsid w:val="001C09CF"/>
    <w:rsid w:val="001C11CF"/>
    <w:rsid w:val="001C11FC"/>
    <w:rsid w:val="001C1223"/>
    <w:rsid w:val="001C16F5"/>
    <w:rsid w:val="001C1820"/>
    <w:rsid w:val="001C38DE"/>
    <w:rsid w:val="001C3B00"/>
    <w:rsid w:val="001C4C73"/>
    <w:rsid w:val="001C4EA9"/>
    <w:rsid w:val="001C53DA"/>
    <w:rsid w:val="001C59A7"/>
    <w:rsid w:val="001C5FFF"/>
    <w:rsid w:val="001C618A"/>
    <w:rsid w:val="001C664D"/>
    <w:rsid w:val="001C6840"/>
    <w:rsid w:val="001C6958"/>
    <w:rsid w:val="001C73D6"/>
    <w:rsid w:val="001C76AA"/>
    <w:rsid w:val="001D09F6"/>
    <w:rsid w:val="001D0A0B"/>
    <w:rsid w:val="001D102C"/>
    <w:rsid w:val="001D15EF"/>
    <w:rsid w:val="001D2CE7"/>
    <w:rsid w:val="001D3037"/>
    <w:rsid w:val="001D3C1A"/>
    <w:rsid w:val="001D4248"/>
    <w:rsid w:val="001D458C"/>
    <w:rsid w:val="001D4A9E"/>
    <w:rsid w:val="001D5118"/>
    <w:rsid w:val="001D55F8"/>
    <w:rsid w:val="001D5C48"/>
    <w:rsid w:val="001D5FBB"/>
    <w:rsid w:val="001D60D1"/>
    <w:rsid w:val="001D6543"/>
    <w:rsid w:val="001D6743"/>
    <w:rsid w:val="001D68CF"/>
    <w:rsid w:val="001D76A8"/>
    <w:rsid w:val="001D7A61"/>
    <w:rsid w:val="001E023B"/>
    <w:rsid w:val="001E032C"/>
    <w:rsid w:val="001E0999"/>
    <w:rsid w:val="001E0C9C"/>
    <w:rsid w:val="001E1862"/>
    <w:rsid w:val="001E26EE"/>
    <w:rsid w:val="001E3C18"/>
    <w:rsid w:val="001E50D4"/>
    <w:rsid w:val="001E61F7"/>
    <w:rsid w:val="001E6E80"/>
    <w:rsid w:val="001E725C"/>
    <w:rsid w:val="001E7660"/>
    <w:rsid w:val="001F0252"/>
    <w:rsid w:val="001F08E4"/>
    <w:rsid w:val="001F0B59"/>
    <w:rsid w:val="001F0FBF"/>
    <w:rsid w:val="001F1115"/>
    <w:rsid w:val="001F1C78"/>
    <w:rsid w:val="001F2750"/>
    <w:rsid w:val="001F2760"/>
    <w:rsid w:val="001F2E42"/>
    <w:rsid w:val="001F2EE1"/>
    <w:rsid w:val="001F3012"/>
    <w:rsid w:val="001F357F"/>
    <w:rsid w:val="001F35F3"/>
    <w:rsid w:val="001F5F93"/>
    <w:rsid w:val="001F6DED"/>
    <w:rsid w:val="001F6E10"/>
    <w:rsid w:val="001F6E6C"/>
    <w:rsid w:val="001F7655"/>
    <w:rsid w:val="001F7CD8"/>
    <w:rsid w:val="00200071"/>
    <w:rsid w:val="00200543"/>
    <w:rsid w:val="002015BA"/>
    <w:rsid w:val="002023A8"/>
    <w:rsid w:val="002023FC"/>
    <w:rsid w:val="0020267E"/>
    <w:rsid w:val="00202E70"/>
    <w:rsid w:val="00202F9E"/>
    <w:rsid w:val="00202FD1"/>
    <w:rsid w:val="00203580"/>
    <w:rsid w:val="00203A27"/>
    <w:rsid w:val="00203C5D"/>
    <w:rsid w:val="00203F2F"/>
    <w:rsid w:val="00203FE3"/>
    <w:rsid w:val="002048C7"/>
    <w:rsid w:val="00205A67"/>
    <w:rsid w:val="00205E75"/>
    <w:rsid w:val="002062FC"/>
    <w:rsid w:val="002063EE"/>
    <w:rsid w:val="0020699F"/>
    <w:rsid w:val="00206C8C"/>
    <w:rsid w:val="00207090"/>
    <w:rsid w:val="002079F9"/>
    <w:rsid w:val="00210479"/>
    <w:rsid w:val="002105C6"/>
    <w:rsid w:val="002106A0"/>
    <w:rsid w:val="00211CEC"/>
    <w:rsid w:val="00211ECF"/>
    <w:rsid w:val="00211FF2"/>
    <w:rsid w:val="0021302D"/>
    <w:rsid w:val="00213586"/>
    <w:rsid w:val="00214502"/>
    <w:rsid w:val="0021471B"/>
    <w:rsid w:val="00214D38"/>
    <w:rsid w:val="00215834"/>
    <w:rsid w:val="00215A7A"/>
    <w:rsid w:val="00217290"/>
    <w:rsid w:val="00217D77"/>
    <w:rsid w:val="00220761"/>
    <w:rsid w:val="00220824"/>
    <w:rsid w:val="00221C48"/>
    <w:rsid w:val="00221C62"/>
    <w:rsid w:val="00221F16"/>
    <w:rsid w:val="002221CE"/>
    <w:rsid w:val="00222996"/>
    <w:rsid w:val="002229D1"/>
    <w:rsid w:val="00222FE0"/>
    <w:rsid w:val="002239C7"/>
    <w:rsid w:val="00225413"/>
    <w:rsid w:val="00226275"/>
    <w:rsid w:val="00226813"/>
    <w:rsid w:val="002302E5"/>
    <w:rsid w:val="00230500"/>
    <w:rsid w:val="00230890"/>
    <w:rsid w:val="00231AD8"/>
    <w:rsid w:val="00232278"/>
    <w:rsid w:val="00232CC1"/>
    <w:rsid w:val="00233526"/>
    <w:rsid w:val="00233D6A"/>
    <w:rsid w:val="00234559"/>
    <w:rsid w:val="002346E7"/>
    <w:rsid w:val="0023507E"/>
    <w:rsid w:val="00235366"/>
    <w:rsid w:val="002353D0"/>
    <w:rsid w:val="0023623A"/>
    <w:rsid w:val="00237463"/>
    <w:rsid w:val="002378EB"/>
    <w:rsid w:val="00237D24"/>
    <w:rsid w:val="00237E35"/>
    <w:rsid w:val="00237FAE"/>
    <w:rsid w:val="002402B0"/>
    <w:rsid w:val="00240D77"/>
    <w:rsid w:val="00241C11"/>
    <w:rsid w:val="00241C1C"/>
    <w:rsid w:val="00242088"/>
    <w:rsid w:val="002420F9"/>
    <w:rsid w:val="002420FC"/>
    <w:rsid w:val="00242D58"/>
    <w:rsid w:val="00242E43"/>
    <w:rsid w:val="00243C01"/>
    <w:rsid w:val="00243E01"/>
    <w:rsid w:val="002455B3"/>
    <w:rsid w:val="00245643"/>
    <w:rsid w:val="00245969"/>
    <w:rsid w:val="002475B6"/>
    <w:rsid w:val="002513FD"/>
    <w:rsid w:val="00251605"/>
    <w:rsid w:val="002517DB"/>
    <w:rsid w:val="00251844"/>
    <w:rsid w:val="00251B2D"/>
    <w:rsid w:val="002522FA"/>
    <w:rsid w:val="00252D16"/>
    <w:rsid w:val="00252EBB"/>
    <w:rsid w:val="00253038"/>
    <w:rsid w:val="00253DF2"/>
    <w:rsid w:val="002545D6"/>
    <w:rsid w:val="002551A4"/>
    <w:rsid w:val="0025562D"/>
    <w:rsid w:val="0025638C"/>
    <w:rsid w:val="00256DE9"/>
    <w:rsid w:val="002570DC"/>
    <w:rsid w:val="00257152"/>
    <w:rsid w:val="0025719F"/>
    <w:rsid w:val="00257860"/>
    <w:rsid w:val="002600A1"/>
    <w:rsid w:val="00261078"/>
    <w:rsid w:val="002614DF"/>
    <w:rsid w:val="002616FB"/>
    <w:rsid w:val="00261C59"/>
    <w:rsid w:val="00261D42"/>
    <w:rsid w:val="0026203C"/>
    <w:rsid w:val="002622E1"/>
    <w:rsid w:val="002623E0"/>
    <w:rsid w:val="0026275D"/>
    <w:rsid w:val="00262B70"/>
    <w:rsid w:val="00263B40"/>
    <w:rsid w:val="0026414B"/>
    <w:rsid w:val="00264948"/>
    <w:rsid w:val="00265501"/>
    <w:rsid w:val="002655E1"/>
    <w:rsid w:val="0026569B"/>
    <w:rsid w:val="00266B7B"/>
    <w:rsid w:val="00267579"/>
    <w:rsid w:val="00267A5A"/>
    <w:rsid w:val="00270909"/>
    <w:rsid w:val="00270D62"/>
    <w:rsid w:val="002724D0"/>
    <w:rsid w:val="00272D23"/>
    <w:rsid w:val="002734D2"/>
    <w:rsid w:val="0027397B"/>
    <w:rsid w:val="00273AB7"/>
    <w:rsid w:val="00274569"/>
    <w:rsid w:val="00274E98"/>
    <w:rsid w:val="00275EC2"/>
    <w:rsid w:val="00275F10"/>
    <w:rsid w:val="002761E5"/>
    <w:rsid w:val="0027629E"/>
    <w:rsid w:val="00276B8B"/>
    <w:rsid w:val="00276C23"/>
    <w:rsid w:val="002779C8"/>
    <w:rsid w:val="00277F0D"/>
    <w:rsid w:val="002808E4"/>
    <w:rsid w:val="00281BA3"/>
    <w:rsid w:val="002832D6"/>
    <w:rsid w:val="00283A8E"/>
    <w:rsid w:val="00284EA6"/>
    <w:rsid w:val="00285011"/>
    <w:rsid w:val="0028636C"/>
    <w:rsid w:val="002863B7"/>
    <w:rsid w:val="002864BD"/>
    <w:rsid w:val="002870EF"/>
    <w:rsid w:val="0028745F"/>
    <w:rsid w:val="002876BF"/>
    <w:rsid w:val="00287CD0"/>
    <w:rsid w:val="002903BD"/>
    <w:rsid w:val="0029140F"/>
    <w:rsid w:val="00291BBB"/>
    <w:rsid w:val="00291C25"/>
    <w:rsid w:val="0029259E"/>
    <w:rsid w:val="00292AAE"/>
    <w:rsid w:val="00293A1F"/>
    <w:rsid w:val="00293EB7"/>
    <w:rsid w:val="00294359"/>
    <w:rsid w:val="00296D30"/>
    <w:rsid w:val="002A0638"/>
    <w:rsid w:val="002A09BC"/>
    <w:rsid w:val="002A0E5E"/>
    <w:rsid w:val="002A14B7"/>
    <w:rsid w:val="002A1A61"/>
    <w:rsid w:val="002A376D"/>
    <w:rsid w:val="002A3DA9"/>
    <w:rsid w:val="002A4018"/>
    <w:rsid w:val="002A42C8"/>
    <w:rsid w:val="002A5EA4"/>
    <w:rsid w:val="002A6486"/>
    <w:rsid w:val="002A66C6"/>
    <w:rsid w:val="002A68DF"/>
    <w:rsid w:val="002A69AA"/>
    <w:rsid w:val="002A720F"/>
    <w:rsid w:val="002B12DF"/>
    <w:rsid w:val="002B2922"/>
    <w:rsid w:val="002B400C"/>
    <w:rsid w:val="002B524C"/>
    <w:rsid w:val="002B5A83"/>
    <w:rsid w:val="002B5BD4"/>
    <w:rsid w:val="002B6A7D"/>
    <w:rsid w:val="002B6CBE"/>
    <w:rsid w:val="002C0A61"/>
    <w:rsid w:val="002C0F36"/>
    <w:rsid w:val="002C1057"/>
    <w:rsid w:val="002C1292"/>
    <w:rsid w:val="002C1965"/>
    <w:rsid w:val="002C1CBA"/>
    <w:rsid w:val="002C25F3"/>
    <w:rsid w:val="002C2A6C"/>
    <w:rsid w:val="002C2D90"/>
    <w:rsid w:val="002C34AB"/>
    <w:rsid w:val="002C3D8C"/>
    <w:rsid w:val="002C4A6F"/>
    <w:rsid w:val="002C4AAB"/>
    <w:rsid w:val="002C4C2F"/>
    <w:rsid w:val="002C5210"/>
    <w:rsid w:val="002C5A89"/>
    <w:rsid w:val="002C5D8B"/>
    <w:rsid w:val="002C687D"/>
    <w:rsid w:val="002C6A41"/>
    <w:rsid w:val="002C72C4"/>
    <w:rsid w:val="002D0007"/>
    <w:rsid w:val="002D01F9"/>
    <w:rsid w:val="002D0CBE"/>
    <w:rsid w:val="002D14B6"/>
    <w:rsid w:val="002D15B2"/>
    <w:rsid w:val="002D18A5"/>
    <w:rsid w:val="002D1CBC"/>
    <w:rsid w:val="002D288D"/>
    <w:rsid w:val="002D29C7"/>
    <w:rsid w:val="002D30FB"/>
    <w:rsid w:val="002D3171"/>
    <w:rsid w:val="002D3788"/>
    <w:rsid w:val="002D3A07"/>
    <w:rsid w:val="002D3DA7"/>
    <w:rsid w:val="002D4D00"/>
    <w:rsid w:val="002D5BAB"/>
    <w:rsid w:val="002D5BD2"/>
    <w:rsid w:val="002D6470"/>
    <w:rsid w:val="002D6A02"/>
    <w:rsid w:val="002D6B4D"/>
    <w:rsid w:val="002E00C3"/>
    <w:rsid w:val="002E0325"/>
    <w:rsid w:val="002E0808"/>
    <w:rsid w:val="002E090B"/>
    <w:rsid w:val="002E0B4B"/>
    <w:rsid w:val="002E1936"/>
    <w:rsid w:val="002E1B49"/>
    <w:rsid w:val="002E1D49"/>
    <w:rsid w:val="002E25E0"/>
    <w:rsid w:val="002E2D9F"/>
    <w:rsid w:val="002E31B7"/>
    <w:rsid w:val="002E34D2"/>
    <w:rsid w:val="002E3862"/>
    <w:rsid w:val="002E3E88"/>
    <w:rsid w:val="002E43BB"/>
    <w:rsid w:val="002E536A"/>
    <w:rsid w:val="002E5868"/>
    <w:rsid w:val="002E7F00"/>
    <w:rsid w:val="002F00F3"/>
    <w:rsid w:val="002F04BF"/>
    <w:rsid w:val="002F28F9"/>
    <w:rsid w:val="002F3765"/>
    <w:rsid w:val="002F4AA8"/>
    <w:rsid w:val="002F4F1F"/>
    <w:rsid w:val="002F613F"/>
    <w:rsid w:val="002F6261"/>
    <w:rsid w:val="002F6834"/>
    <w:rsid w:val="002F69B6"/>
    <w:rsid w:val="002F74EB"/>
    <w:rsid w:val="002F75E1"/>
    <w:rsid w:val="002F7695"/>
    <w:rsid w:val="0030003C"/>
    <w:rsid w:val="00300D91"/>
    <w:rsid w:val="00300E5B"/>
    <w:rsid w:val="00301E71"/>
    <w:rsid w:val="0030263B"/>
    <w:rsid w:val="003028CC"/>
    <w:rsid w:val="00302A4E"/>
    <w:rsid w:val="00302D9B"/>
    <w:rsid w:val="00303CAB"/>
    <w:rsid w:val="00304CD5"/>
    <w:rsid w:val="00304DF8"/>
    <w:rsid w:val="00306217"/>
    <w:rsid w:val="0030652F"/>
    <w:rsid w:val="00307163"/>
    <w:rsid w:val="00307188"/>
    <w:rsid w:val="00307B55"/>
    <w:rsid w:val="00310124"/>
    <w:rsid w:val="003109DD"/>
    <w:rsid w:val="00310B99"/>
    <w:rsid w:val="00310D3C"/>
    <w:rsid w:val="003115C8"/>
    <w:rsid w:val="00311CE8"/>
    <w:rsid w:val="00311EFB"/>
    <w:rsid w:val="00311F50"/>
    <w:rsid w:val="00311FD2"/>
    <w:rsid w:val="003126D4"/>
    <w:rsid w:val="00312AEE"/>
    <w:rsid w:val="00312F2B"/>
    <w:rsid w:val="00313757"/>
    <w:rsid w:val="003148D6"/>
    <w:rsid w:val="003149DF"/>
    <w:rsid w:val="00314EE7"/>
    <w:rsid w:val="003153CB"/>
    <w:rsid w:val="0031545A"/>
    <w:rsid w:val="00316747"/>
    <w:rsid w:val="00316DAA"/>
    <w:rsid w:val="003173ED"/>
    <w:rsid w:val="00317AA5"/>
    <w:rsid w:val="00320C68"/>
    <w:rsid w:val="00321517"/>
    <w:rsid w:val="003226AD"/>
    <w:rsid w:val="0032287F"/>
    <w:rsid w:val="00323589"/>
    <w:rsid w:val="003246F3"/>
    <w:rsid w:val="00324C2A"/>
    <w:rsid w:val="00324EEC"/>
    <w:rsid w:val="00325229"/>
    <w:rsid w:val="003256D8"/>
    <w:rsid w:val="00325B2A"/>
    <w:rsid w:val="00326B78"/>
    <w:rsid w:val="00327CC2"/>
    <w:rsid w:val="00330574"/>
    <w:rsid w:val="0033084F"/>
    <w:rsid w:val="00330BF8"/>
    <w:rsid w:val="00330C39"/>
    <w:rsid w:val="00331079"/>
    <w:rsid w:val="003320AA"/>
    <w:rsid w:val="003326FB"/>
    <w:rsid w:val="0033292A"/>
    <w:rsid w:val="003332E4"/>
    <w:rsid w:val="003336F2"/>
    <w:rsid w:val="00334413"/>
    <w:rsid w:val="00334C9F"/>
    <w:rsid w:val="0033523A"/>
    <w:rsid w:val="00335A3E"/>
    <w:rsid w:val="00335D2B"/>
    <w:rsid w:val="0033709C"/>
    <w:rsid w:val="003376DB"/>
    <w:rsid w:val="00337964"/>
    <w:rsid w:val="00337D8A"/>
    <w:rsid w:val="00340231"/>
    <w:rsid w:val="00341842"/>
    <w:rsid w:val="00341B81"/>
    <w:rsid w:val="003424F4"/>
    <w:rsid w:val="00342B95"/>
    <w:rsid w:val="00342F16"/>
    <w:rsid w:val="003430FD"/>
    <w:rsid w:val="00343942"/>
    <w:rsid w:val="00343A0D"/>
    <w:rsid w:val="00343B2A"/>
    <w:rsid w:val="00343F93"/>
    <w:rsid w:val="003441BC"/>
    <w:rsid w:val="0034604E"/>
    <w:rsid w:val="00346069"/>
    <w:rsid w:val="00346237"/>
    <w:rsid w:val="00346496"/>
    <w:rsid w:val="0034649C"/>
    <w:rsid w:val="003468D8"/>
    <w:rsid w:val="0034699A"/>
    <w:rsid w:val="003471F3"/>
    <w:rsid w:val="003472D4"/>
    <w:rsid w:val="003474D2"/>
    <w:rsid w:val="003474EA"/>
    <w:rsid w:val="00347621"/>
    <w:rsid w:val="0034791B"/>
    <w:rsid w:val="00350432"/>
    <w:rsid w:val="00350934"/>
    <w:rsid w:val="003509A8"/>
    <w:rsid w:val="003519A7"/>
    <w:rsid w:val="00351FF2"/>
    <w:rsid w:val="003523BA"/>
    <w:rsid w:val="00352B9F"/>
    <w:rsid w:val="003533FC"/>
    <w:rsid w:val="0035358D"/>
    <w:rsid w:val="00353620"/>
    <w:rsid w:val="00354298"/>
    <w:rsid w:val="003546D0"/>
    <w:rsid w:val="00354EF9"/>
    <w:rsid w:val="0035525B"/>
    <w:rsid w:val="00355992"/>
    <w:rsid w:val="00355F54"/>
    <w:rsid w:val="00356278"/>
    <w:rsid w:val="003563FD"/>
    <w:rsid w:val="003568C3"/>
    <w:rsid w:val="00356ED6"/>
    <w:rsid w:val="00357957"/>
    <w:rsid w:val="0036069E"/>
    <w:rsid w:val="003610E7"/>
    <w:rsid w:val="0036147D"/>
    <w:rsid w:val="003616AD"/>
    <w:rsid w:val="00361C97"/>
    <w:rsid w:val="00362D79"/>
    <w:rsid w:val="00362E78"/>
    <w:rsid w:val="00363EE7"/>
    <w:rsid w:val="003641B4"/>
    <w:rsid w:val="00364F0C"/>
    <w:rsid w:val="003657DA"/>
    <w:rsid w:val="00365ED4"/>
    <w:rsid w:val="003666B2"/>
    <w:rsid w:val="003666F6"/>
    <w:rsid w:val="00366C67"/>
    <w:rsid w:val="0036745A"/>
    <w:rsid w:val="00367F3D"/>
    <w:rsid w:val="00370FB6"/>
    <w:rsid w:val="00371E75"/>
    <w:rsid w:val="0037244B"/>
    <w:rsid w:val="0037278B"/>
    <w:rsid w:val="00372CAE"/>
    <w:rsid w:val="00374053"/>
    <w:rsid w:val="00374CD1"/>
    <w:rsid w:val="0037570E"/>
    <w:rsid w:val="00375C13"/>
    <w:rsid w:val="00375F7C"/>
    <w:rsid w:val="00377656"/>
    <w:rsid w:val="00377BC7"/>
    <w:rsid w:val="0038038B"/>
    <w:rsid w:val="003808E2"/>
    <w:rsid w:val="003811F3"/>
    <w:rsid w:val="0038178C"/>
    <w:rsid w:val="00381A55"/>
    <w:rsid w:val="003826BB"/>
    <w:rsid w:val="00382945"/>
    <w:rsid w:val="00382C41"/>
    <w:rsid w:val="0038319F"/>
    <w:rsid w:val="00383BCB"/>
    <w:rsid w:val="00383CE8"/>
    <w:rsid w:val="00383ECA"/>
    <w:rsid w:val="00385A51"/>
    <w:rsid w:val="00385ADE"/>
    <w:rsid w:val="0038609E"/>
    <w:rsid w:val="00386648"/>
    <w:rsid w:val="00387746"/>
    <w:rsid w:val="003878D8"/>
    <w:rsid w:val="00387F91"/>
    <w:rsid w:val="00390BC5"/>
    <w:rsid w:val="00390E24"/>
    <w:rsid w:val="00390EEF"/>
    <w:rsid w:val="0039136D"/>
    <w:rsid w:val="00391571"/>
    <w:rsid w:val="0039171A"/>
    <w:rsid w:val="003918C9"/>
    <w:rsid w:val="0039332B"/>
    <w:rsid w:val="00393E54"/>
    <w:rsid w:val="0039420E"/>
    <w:rsid w:val="00394E09"/>
    <w:rsid w:val="00395E53"/>
    <w:rsid w:val="0039650F"/>
    <w:rsid w:val="00396A12"/>
    <w:rsid w:val="00396CD3"/>
    <w:rsid w:val="00396ECC"/>
    <w:rsid w:val="00397386"/>
    <w:rsid w:val="00397798"/>
    <w:rsid w:val="003A0174"/>
    <w:rsid w:val="003A02F9"/>
    <w:rsid w:val="003A18EB"/>
    <w:rsid w:val="003A192C"/>
    <w:rsid w:val="003A1BD2"/>
    <w:rsid w:val="003A3E1E"/>
    <w:rsid w:val="003A495D"/>
    <w:rsid w:val="003A4F19"/>
    <w:rsid w:val="003A52D0"/>
    <w:rsid w:val="003A5D10"/>
    <w:rsid w:val="003A642F"/>
    <w:rsid w:val="003A68B4"/>
    <w:rsid w:val="003A68F5"/>
    <w:rsid w:val="003A690C"/>
    <w:rsid w:val="003A6C46"/>
    <w:rsid w:val="003A70F6"/>
    <w:rsid w:val="003A7D54"/>
    <w:rsid w:val="003B0CF0"/>
    <w:rsid w:val="003B38EA"/>
    <w:rsid w:val="003B3948"/>
    <w:rsid w:val="003B3C50"/>
    <w:rsid w:val="003B4430"/>
    <w:rsid w:val="003B44E9"/>
    <w:rsid w:val="003B5518"/>
    <w:rsid w:val="003B58DD"/>
    <w:rsid w:val="003B5C2F"/>
    <w:rsid w:val="003B5C5C"/>
    <w:rsid w:val="003B5FB8"/>
    <w:rsid w:val="003B631A"/>
    <w:rsid w:val="003B65A9"/>
    <w:rsid w:val="003B7A3D"/>
    <w:rsid w:val="003C006B"/>
    <w:rsid w:val="003C05FA"/>
    <w:rsid w:val="003C09CB"/>
    <w:rsid w:val="003C0BC4"/>
    <w:rsid w:val="003C0EB2"/>
    <w:rsid w:val="003C1227"/>
    <w:rsid w:val="003C183C"/>
    <w:rsid w:val="003C217A"/>
    <w:rsid w:val="003C2C73"/>
    <w:rsid w:val="003C2EDC"/>
    <w:rsid w:val="003C3B12"/>
    <w:rsid w:val="003C3C09"/>
    <w:rsid w:val="003C4000"/>
    <w:rsid w:val="003C4641"/>
    <w:rsid w:val="003C49B7"/>
    <w:rsid w:val="003C4B40"/>
    <w:rsid w:val="003C54B8"/>
    <w:rsid w:val="003C6D44"/>
    <w:rsid w:val="003C7173"/>
    <w:rsid w:val="003C71A4"/>
    <w:rsid w:val="003D00B2"/>
    <w:rsid w:val="003D0C02"/>
    <w:rsid w:val="003D17F1"/>
    <w:rsid w:val="003D2B5B"/>
    <w:rsid w:val="003D309D"/>
    <w:rsid w:val="003D3BB7"/>
    <w:rsid w:val="003D3E59"/>
    <w:rsid w:val="003D42C8"/>
    <w:rsid w:val="003D4C9F"/>
    <w:rsid w:val="003D4D40"/>
    <w:rsid w:val="003D4F12"/>
    <w:rsid w:val="003D5385"/>
    <w:rsid w:val="003D5D89"/>
    <w:rsid w:val="003D5F5D"/>
    <w:rsid w:val="003D5FB5"/>
    <w:rsid w:val="003D6264"/>
    <w:rsid w:val="003D756C"/>
    <w:rsid w:val="003D7CBE"/>
    <w:rsid w:val="003E034A"/>
    <w:rsid w:val="003E03AF"/>
    <w:rsid w:val="003E171F"/>
    <w:rsid w:val="003E1D30"/>
    <w:rsid w:val="003E1E98"/>
    <w:rsid w:val="003E2267"/>
    <w:rsid w:val="003E2681"/>
    <w:rsid w:val="003E2996"/>
    <w:rsid w:val="003E321F"/>
    <w:rsid w:val="003E3363"/>
    <w:rsid w:val="003E3CE3"/>
    <w:rsid w:val="003E421B"/>
    <w:rsid w:val="003E435D"/>
    <w:rsid w:val="003E448E"/>
    <w:rsid w:val="003E4794"/>
    <w:rsid w:val="003E58DD"/>
    <w:rsid w:val="003E5E9E"/>
    <w:rsid w:val="003E62B5"/>
    <w:rsid w:val="003E65E4"/>
    <w:rsid w:val="003E735F"/>
    <w:rsid w:val="003E742E"/>
    <w:rsid w:val="003F0516"/>
    <w:rsid w:val="003F0756"/>
    <w:rsid w:val="003F07FE"/>
    <w:rsid w:val="003F0C5A"/>
    <w:rsid w:val="003F1526"/>
    <w:rsid w:val="003F1857"/>
    <w:rsid w:val="003F1FD8"/>
    <w:rsid w:val="003F243E"/>
    <w:rsid w:val="003F2569"/>
    <w:rsid w:val="003F2752"/>
    <w:rsid w:val="003F2A8E"/>
    <w:rsid w:val="003F30B3"/>
    <w:rsid w:val="003F3F74"/>
    <w:rsid w:val="003F4510"/>
    <w:rsid w:val="003F6290"/>
    <w:rsid w:val="003F68FE"/>
    <w:rsid w:val="003F7809"/>
    <w:rsid w:val="003F7C72"/>
    <w:rsid w:val="004012E8"/>
    <w:rsid w:val="00401A01"/>
    <w:rsid w:val="00401EE6"/>
    <w:rsid w:val="00403436"/>
    <w:rsid w:val="00403713"/>
    <w:rsid w:val="00403A21"/>
    <w:rsid w:val="004062DC"/>
    <w:rsid w:val="00406415"/>
    <w:rsid w:val="00407101"/>
    <w:rsid w:val="004079A3"/>
    <w:rsid w:val="0041140B"/>
    <w:rsid w:val="0041167E"/>
    <w:rsid w:val="00411C37"/>
    <w:rsid w:val="00412061"/>
    <w:rsid w:val="004120F4"/>
    <w:rsid w:val="0041284E"/>
    <w:rsid w:val="00412FF3"/>
    <w:rsid w:val="004137B7"/>
    <w:rsid w:val="00413CBB"/>
    <w:rsid w:val="00414377"/>
    <w:rsid w:val="004146D2"/>
    <w:rsid w:val="00414778"/>
    <w:rsid w:val="004153FA"/>
    <w:rsid w:val="0041557A"/>
    <w:rsid w:val="00415792"/>
    <w:rsid w:val="00415858"/>
    <w:rsid w:val="00415C99"/>
    <w:rsid w:val="00415D16"/>
    <w:rsid w:val="00415E45"/>
    <w:rsid w:val="004168F3"/>
    <w:rsid w:val="00416B79"/>
    <w:rsid w:val="0041764B"/>
    <w:rsid w:val="004205EB"/>
    <w:rsid w:val="00421342"/>
    <w:rsid w:val="004215DD"/>
    <w:rsid w:val="00421A37"/>
    <w:rsid w:val="00421C60"/>
    <w:rsid w:val="00422194"/>
    <w:rsid w:val="004221A6"/>
    <w:rsid w:val="00422963"/>
    <w:rsid w:val="00423011"/>
    <w:rsid w:val="00423627"/>
    <w:rsid w:val="00423848"/>
    <w:rsid w:val="004238A6"/>
    <w:rsid w:val="00423ADD"/>
    <w:rsid w:val="00423DD4"/>
    <w:rsid w:val="0042403F"/>
    <w:rsid w:val="0042413D"/>
    <w:rsid w:val="004242C1"/>
    <w:rsid w:val="004248F3"/>
    <w:rsid w:val="00424E6B"/>
    <w:rsid w:val="00425207"/>
    <w:rsid w:val="00425607"/>
    <w:rsid w:val="00426290"/>
    <w:rsid w:val="00426F7E"/>
    <w:rsid w:val="004278FD"/>
    <w:rsid w:val="00427AD5"/>
    <w:rsid w:val="00427E04"/>
    <w:rsid w:val="00430522"/>
    <w:rsid w:val="00430793"/>
    <w:rsid w:val="00430E48"/>
    <w:rsid w:val="004319AA"/>
    <w:rsid w:val="00431DA9"/>
    <w:rsid w:val="00432892"/>
    <w:rsid w:val="00432ACC"/>
    <w:rsid w:val="00432FE4"/>
    <w:rsid w:val="004330DC"/>
    <w:rsid w:val="0043328E"/>
    <w:rsid w:val="00433DE0"/>
    <w:rsid w:val="00433DE2"/>
    <w:rsid w:val="0043413F"/>
    <w:rsid w:val="004342A7"/>
    <w:rsid w:val="00434D37"/>
    <w:rsid w:val="004355CC"/>
    <w:rsid w:val="00436071"/>
    <w:rsid w:val="00436B79"/>
    <w:rsid w:val="00436F95"/>
    <w:rsid w:val="0043725C"/>
    <w:rsid w:val="00437ECB"/>
    <w:rsid w:val="00437F5B"/>
    <w:rsid w:val="0044019A"/>
    <w:rsid w:val="004414D3"/>
    <w:rsid w:val="00441A7A"/>
    <w:rsid w:val="00442ED1"/>
    <w:rsid w:val="00443302"/>
    <w:rsid w:val="00443989"/>
    <w:rsid w:val="00443AAE"/>
    <w:rsid w:val="00444D77"/>
    <w:rsid w:val="0044515D"/>
    <w:rsid w:val="00445CCC"/>
    <w:rsid w:val="00445EF2"/>
    <w:rsid w:val="00446D3C"/>
    <w:rsid w:val="00446E4B"/>
    <w:rsid w:val="00447276"/>
    <w:rsid w:val="004504BE"/>
    <w:rsid w:val="00450CC6"/>
    <w:rsid w:val="00451842"/>
    <w:rsid w:val="00451954"/>
    <w:rsid w:val="00452047"/>
    <w:rsid w:val="004524EC"/>
    <w:rsid w:val="0045252B"/>
    <w:rsid w:val="00452ADD"/>
    <w:rsid w:val="00452CAF"/>
    <w:rsid w:val="0045432C"/>
    <w:rsid w:val="0045543E"/>
    <w:rsid w:val="00455742"/>
    <w:rsid w:val="004558B9"/>
    <w:rsid w:val="00455A09"/>
    <w:rsid w:val="00455BE1"/>
    <w:rsid w:val="00457D18"/>
    <w:rsid w:val="00457D95"/>
    <w:rsid w:val="00460408"/>
    <w:rsid w:val="00460636"/>
    <w:rsid w:val="00460E3E"/>
    <w:rsid w:val="00460F2F"/>
    <w:rsid w:val="00461937"/>
    <w:rsid w:val="00461D45"/>
    <w:rsid w:val="00462577"/>
    <w:rsid w:val="004628DC"/>
    <w:rsid w:val="00463829"/>
    <w:rsid w:val="00464CAD"/>
    <w:rsid w:val="00465608"/>
    <w:rsid w:val="00465CFD"/>
    <w:rsid w:val="00466A07"/>
    <w:rsid w:val="00466BC1"/>
    <w:rsid w:val="004670E9"/>
    <w:rsid w:val="00467329"/>
    <w:rsid w:val="00467819"/>
    <w:rsid w:val="00470755"/>
    <w:rsid w:val="00470DB6"/>
    <w:rsid w:val="00470EEA"/>
    <w:rsid w:val="00471007"/>
    <w:rsid w:val="004711A7"/>
    <w:rsid w:val="00471663"/>
    <w:rsid w:val="00471C52"/>
    <w:rsid w:val="00472CA2"/>
    <w:rsid w:val="004734D6"/>
    <w:rsid w:val="004734FA"/>
    <w:rsid w:val="0047365A"/>
    <w:rsid w:val="00474CED"/>
    <w:rsid w:val="00474DF6"/>
    <w:rsid w:val="00474FFB"/>
    <w:rsid w:val="00475279"/>
    <w:rsid w:val="0047598B"/>
    <w:rsid w:val="00475EE6"/>
    <w:rsid w:val="004769F7"/>
    <w:rsid w:val="00477778"/>
    <w:rsid w:val="004777B1"/>
    <w:rsid w:val="004777CE"/>
    <w:rsid w:val="0047783A"/>
    <w:rsid w:val="00477E6F"/>
    <w:rsid w:val="00480323"/>
    <w:rsid w:val="004803E6"/>
    <w:rsid w:val="0048086D"/>
    <w:rsid w:val="00480FB0"/>
    <w:rsid w:val="00481827"/>
    <w:rsid w:val="00481831"/>
    <w:rsid w:val="00481B0D"/>
    <w:rsid w:val="004821D5"/>
    <w:rsid w:val="00482206"/>
    <w:rsid w:val="0048311E"/>
    <w:rsid w:val="00483231"/>
    <w:rsid w:val="0048340E"/>
    <w:rsid w:val="00484037"/>
    <w:rsid w:val="004851B4"/>
    <w:rsid w:val="004854C6"/>
    <w:rsid w:val="0048610E"/>
    <w:rsid w:val="004863E9"/>
    <w:rsid w:val="004867FA"/>
    <w:rsid w:val="00486B37"/>
    <w:rsid w:val="004873B1"/>
    <w:rsid w:val="00487952"/>
    <w:rsid w:val="00487F75"/>
    <w:rsid w:val="00490335"/>
    <w:rsid w:val="004904DE"/>
    <w:rsid w:val="0049063E"/>
    <w:rsid w:val="0049133D"/>
    <w:rsid w:val="004916EE"/>
    <w:rsid w:val="004918B2"/>
    <w:rsid w:val="00491B1A"/>
    <w:rsid w:val="00491D86"/>
    <w:rsid w:val="0049219D"/>
    <w:rsid w:val="00492B7C"/>
    <w:rsid w:val="004935DB"/>
    <w:rsid w:val="00493820"/>
    <w:rsid w:val="00494DC2"/>
    <w:rsid w:val="00494DEE"/>
    <w:rsid w:val="00494E06"/>
    <w:rsid w:val="004954CD"/>
    <w:rsid w:val="00495B11"/>
    <w:rsid w:val="00495DF8"/>
    <w:rsid w:val="00495E52"/>
    <w:rsid w:val="0049612A"/>
    <w:rsid w:val="00496331"/>
    <w:rsid w:val="004A2044"/>
    <w:rsid w:val="004A2123"/>
    <w:rsid w:val="004A2B45"/>
    <w:rsid w:val="004A2BB7"/>
    <w:rsid w:val="004A344C"/>
    <w:rsid w:val="004A3489"/>
    <w:rsid w:val="004A349F"/>
    <w:rsid w:val="004A38EE"/>
    <w:rsid w:val="004A3B49"/>
    <w:rsid w:val="004A474F"/>
    <w:rsid w:val="004A4F16"/>
    <w:rsid w:val="004A53D8"/>
    <w:rsid w:val="004A5530"/>
    <w:rsid w:val="004A5BBC"/>
    <w:rsid w:val="004A5C56"/>
    <w:rsid w:val="004A5F06"/>
    <w:rsid w:val="004A73E3"/>
    <w:rsid w:val="004A753E"/>
    <w:rsid w:val="004A77A7"/>
    <w:rsid w:val="004A7BCD"/>
    <w:rsid w:val="004B1859"/>
    <w:rsid w:val="004B187C"/>
    <w:rsid w:val="004B1EAF"/>
    <w:rsid w:val="004B2074"/>
    <w:rsid w:val="004B2321"/>
    <w:rsid w:val="004B3078"/>
    <w:rsid w:val="004B4CC5"/>
    <w:rsid w:val="004B55A5"/>
    <w:rsid w:val="004B5985"/>
    <w:rsid w:val="004B59D8"/>
    <w:rsid w:val="004B6232"/>
    <w:rsid w:val="004B6606"/>
    <w:rsid w:val="004B68DF"/>
    <w:rsid w:val="004B6BC5"/>
    <w:rsid w:val="004B6CB7"/>
    <w:rsid w:val="004B6D02"/>
    <w:rsid w:val="004B6DCC"/>
    <w:rsid w:val="004B728C"/>
    <w:rsid w:val="004B7491"/>
    <w:rsid w:val="004C0035"/>
    <w:rsid w:val="004C03E6"/>
    <w:rsid w:val="004C0EA7"/>
    <w:rsid w:val="004C1643"/>
    <w:rsid w:val="004C1678"/>
    <w:rsid w:val="004C1B68"/>
    <w:rsid w:val="004C1C94"/>
    <w:rsid w:val="004C1E48"/>
    <w:rsid w:val="004C1ED4"/>
    <w:rsid w:val="004C282E"/>
    <w:rsid w:val="004C2F33"/>
    <w:rsid w:val="004C3751"/>
    <w:rsid w:val="004C3ABF"/>
    <w:rsid w:val="004C49FE"/>
    <w:rsid w:val="004C4AC5"/>
    <w:rsid w:val="004C5DAD"/>
    <w:rsid w:val="004C6347"/>
    <w:rsid w:val="004C63B5"/>
    <w:rsid w:val="004C67D0"/>
    <w:rsid w:val="004C6A84"/>
    <w:rsid w:val="004C6C4E"/>
    <w:rsid w:val="004C6C66"/>
    <w:rsid w:val="004C6CEE"/>
    <w:rsid w:val="004C7A84"/>
    <w:rsid w:val="004C7CEB"/>
    <w:rsid w:val="004D012D"/>
    <w:rsid w:val="004D0C8F"/>
    <w:rsid w:val="004D1F00"/>
    <w:rsid w:val="004D26B9"/>
    <w:rsid w:val="004D2C56"/>
    <w:rsid w:val="004D2E21"/>
    <w:rsid w:val="004D3378"/>
    <w:rsid w:val="004D361C"/>
    <w:rsid w:val="004D39FE"/>
    <w:rsid w:val="004D3D6C"/>
    <w:rsid w:val="004D3FCD"/>
    <w:rsid w:val="004D45A8"/>
    <w:rsid w:val="004D45CC"/>
    <w:rsid w:val="004D5A43"/>
    <w:rsid w:val="004D5B0C"/>
    <w:rsid w:val="004D5D92"/>
    <w:rsid w:val="004D64BB"/>
    <w:rsid w:val="004D676E"/>
    <w:rsid w:val="004D6AB1"/>
    <w:rsid w:val="004D6B4B"/>
    <w:rsid w:val="004D73F4"/>
    <w:rsid w:val="004D7BBC"/>
    <w:rsid w:val="004D7ED3"/>
    <w:rsid w:val="004E053A"/>
    <w:rsid w:val="004E0A14"/>
    <w:rsid w:val="004E15EA"/>
    <w:rsid w:val="004E196D"/>
    <w:rsid w:val="004E1E8B"/>
    <w:rsid w:val="004E2F42"/>
    <w:rsid w:val="004E2F56"/>
    <w:rsid w:val="004E354A"/>
    <w:rsid w:val="004E3E7C"/>
    <w:rsid w:val="004E41F1"/>
    <w:rsid w:val="004E46F2"/>
    <w:rsid w:val="004E4780"/>
    <w:rsid w:val="004E551C"/>
    <w:rsid w:val="004E57A2"/>
    <w:rsid w:val="004E7814"/>
    <w:rsid w:val="004F1132"/>
    <w:rsid w:val="004F15B1"/>
    <w:rsid w:val="004F15D5"/>
    <w:rsid w:val="004F25AB"/>
    <w:rsid w:val="004F25D8"/>
    <w:rsid w:val="004F261C"/>
    <w:rsid w:val="004F2EC2"/>
    <w:rsid w:val="004F39B1"/>
    <w:rsid w:val="004F3C0C"/>
    <w:rsid w:val="004F3C5A"/>
    <w:rsid w:val="004F41AC"/>
    <w:rsid w:val="004F4574"/>
    <w:rsid w:val="004F509A"/>
    <w:rsid w:val="004F5251"/>
    <w:rsid w:val="004F5845"/>
    <w:rsid w:val="004F585E"/>
    <w:rsid w:val="004F5EDB"/>
    <w:rsid w:val="004F6CF9"/>
    <w:rsid w:val="004F73AC"/>
    <w:rsid w:val="005004FB"/>
    <w:rsid w:val="005006C6"/>
    <w:rsid w:val="00500F1F"/>
    <w:rsid w:val="00500FBD"/>
    <w:rsid w:val="00501D04"/>
    <w:rsid w:val="005027A0"/>
    <w:rsid w:val="005034C5"/>
    <w:rsid w:val="005034F0"/>
    <w:rsid w:val="00503711"/>
    <w:rsid w:val="00504435"/>
    <w:rsid w:val="00504453"/>
    <w:rsid w:val="005066F3"/>
    <w:rsid w:val="00506784"/>
    <w:rsid w:val="00506B0C"/>
    <w:rsid w:val="00506B4B"/>
    <w:rsid w:val="005077B3"/>
    <w:rsid w:val="00507CF5"/>
    <w:rsid w:val="005100A1"/>
    <w:rsid w:val="005106F3"/>
    <w:rsid w:val="00510AB4"/>
    <w:rsid w:val="005110F3"/>
    <w:rsid w:val="005115E2"/>
    <w:rsid w:val="00511E93"/>
    <w:rsid w:val="0051200F"/>
    <w:rsid w:val="005121AA"/>
    <w:rsid w:val="00512664"/>
    <w:rsid w:val="0051283A"/>
    <w:rsid w:val="005132BA"/>
    <w:rsid w:val="00513D38"/>
    <w:rsid w:val="00514024"/>
    <w:rsid w:val="0051407B"/>
    <w:rsid w:val="0051445E"/>
    <w:rsid w:val="005146BC"/>
    <w:rsid w:val="00514F9D"/>
    <w:rsid w:val="005153D5"/>
    <w:rsid w:val="00515862"/>
    <w:rsid w:val="00515C6E"/>
    <w:rsid w:val="00515D25"/>
    <w:rsid w:val="00515EFB"/>
    <w:rsid w:val="005163E4"/>
    <w:rsid w:val="005166AB"/>
    <w:rsid w:val="00517073"/>
    <w:rsid w:val="00517092"/>
    <w:rsid w:val="005173F5"/>
    <w:rsid w:val="0051753E"/>
    <w:rsid w:val="005176EE"/>
    <w:rsid w:val="005177A8"/>
    <w:rsid w:val="00520FD3"/>
    <w:rsid w:val="0052113A"/>
    <w:rsid w:val="00521B90"/>
    <w:rsid w:val="005225BA"/>
    <w:rsid w:val="00522773"/>
    <w:rsid w:val="00522D37"/>
    <w:rsid w:val="0052349E"/>
    <w:rsid w:val="005236E8"/>
    <w:rsid w:val="00523B4A"/>
    <w:rsid w:val="00523B5E"/>
    <w:rsid w:val="00523EE4"/>
    <w:rsid w:val="0052446F"/>
    <w:rsid w:val="0052447E"/>
    <w:rsid w:val="0052576B"/>
    <w:rsid w:val="00526677"/>
    <w:rsid w:val="00526AC4"/>
    <w:rsid w:val="00527142"/>
    <w:rsid w:val="00527972"/>
    <w:rsid w:val="00527B36"/>
    <w:rsid w:val="0053053E"/>
    <w:rsid w:val="00531925"/>
    <w:rsid w:val="00531FE7"/>
    <w:rsid w:val="00532068"/>
    <w:rsid w:val="00532948"/>
    <w:rsid w:val="00532D17"/>
    <w:rsid w:val="005340FB"/>
    <w:rsid w:val="0053445E"/>
    <w:rsid w:val="00534C75"/>
    <w:rsid w:val="00534D21"/>
    <w:rsid w:val="005356A5"/>
    <w:rsid w:val="00536DC1"/>
    <w:rsid w:val="005371A9"/>
    <w:rsid w:val="00537546"/>
    <w:rsid w:val="005405E1"/>
    <w:rsid w:val="00540C25"/>
    <w:rsid w:val="00542337"/>
    <w:rsid w:val="005428A2"/>
    <w:rsid w:val="00542B7C"/>
    <w:rsid w:val="00542BB0"/>
    <w:rsid w:val="00543866"/>
    <w:rsid w:val="00543997"/>
    <w:rsid w:val="00543BD1"/>
    <w:rsid w:val="00544B3B"/>
    <w:rsid w:val="00544F28"/>
    <w:rsid w:val="00545605"/>
    <w:rsid w:val="00545CFA"/>
    <w:rsid w:val="005468A1"/>
    <w:rsid w:val="00546A4D"/>
    <w:rsid w:val="00547902"/>
    <w:rsid w:val="00547B36"/>
    <w:rsid w:val="00550AC0"/>
    <w:rsid w:val="005511FF"/>
    <w:rsid w:val="005514F2"/>
    <w:rsid w:val="00551F72"/>
    <w:rsid w:val="0055212C"/>
    <w:rsid w:val="00552498"/>
    <w:rsid w:val="00553863"/>
    <w:rsid w:val="00554C8E"/>
    <w:rsid w:val="00554CCF"/>
    <w:rsid w:val="00554E50"/>
    <w:rsid w:val="00555B82"/>
    <w:rsid w:val="005561B0"/>
    <w:rsid w:val="005563A5"/>
    <w:rsid w:val="00556584"/>
    <w:rsid w:val="0056027A"/>
    <w:rsid w:val="0056086C"/>
    <w:rsid w:val="00560A05"/>
    <w:rsid w:val="00560B4E"/>
    <w:rsid w:val="00561234"/>
    <w:rsid w:val="0056146F"/>
    <w:rsid w:val="00561A16"/>
    <w:rsid w:val="00561A6D"/>
    <w:rsid w:val="00561D47"/>
    <w:rsid w:val="005624D8"/>
    <w:rsid w:val="005634E5"/>
    <w:rsid w:val="00563A23"/>
    <w:rsid w:val="00563B02"/>
    <w:rsid w:val="00564474"/>
    <w:rsid w:val="005644FB"/>
    <w:rsid w:val="00564941"/>
    <w:rsid w:val="005652C3"/>
    <w:rsid w:val="005655A0"/>
    <w:rsid w:val="005655A3"/>
    <w:rsid w:val="00565E9F"/>
    <w:rsid w:val="005673BA"/>
    <w:rsid w:val="00567861"/>
    <w:rsid w:val="00567E45"/>
    <w:rsid w:val="0057033E"/>
    <w:rsid w:val="00570928"/>
    <w:rsid w:val="00570C08"/>
    <w:rsid w:val="00570C36"/>
    <w:rsid w:val="00570ECB"/>
    <w:rsid w:val="0057159D"/>
    <w:rsid w:val="005719CD"/>
    <w:rsid w:val="00571A03"/>
    <w:rsid w:val="00571B7E"/>
    <w:rsid w:val="005730C2"/>
    <w:rsid w:val="005735D4"/>
    <w:rsid w:val="00573FFD"/>
    <w:rsid w:val="00574000"/>
    <w:rsid w:val="00575351"/>
    <w:rsid w:val="00575C12"/>
    <w:rsid w:val="00575E3D"/>
    <w:rsid w:val="005760B6"/>
    <w:rsid w:val="005769A0"/>
    <w:rsid w:val="0057701B"/>
    <w:rsid w:val="005775FA"/>
    <w:rsid w:val="00577B09"/>
    <w:rsid w:val="0058096D"/>
    <w:rsid w:val="005811D8"/>
    <w:rsid w:val="00581367"/>
    <w:rsid w:val="00581A36"/>
    <w:rsid w:val="005825C2"/>
    <w:rsid w:val="0058283F"/>
    <w:rsid w:val="005833D4"/>
    <w:rsid w:val="00583F5C"/>
    <w:rsid w:val="005844BF"/>
    <w:rsid w:val="005845D6"/>
    <w:rsid w:val="00584C40"/>
    <w:rsid w:val="0058528C"/>
    <w:rsid w:val="005860E7"/>
    <w:rsid w:val="00586307"/>
    <w:rsid w:val="005863F5"/>
    <w:rsid w:val="0058676E"/>
    <w:rsid w:val="00586FCB"/>
    <w:rsid w:val="00587240"/>
    <w:rsid w:val="00587D19"/>
    <w:rsid w:val="00590865"/>
    <w:rsid w:val="005909D7"/>
    <w:rsid w:val="00590ADB"/>
    <w:rsid w:val="00590C3E"/>
    <w:rsid w:val="00591098"/>
    <w:rsid w:val="00592698"/>
    <w:rsid w:val="005928BB"/>
    <w:rsid w:val="00592954"/>
    <w:rsid w:val="00592988"/>
    <w:rsid w:val="00592C1A"/>
    <w:rsid w:val="00592E9C"/>
    <w:rsid w:val="0059356F"/>
    <w:rsid w:val="005959BE"/>
    <w:rsid w:val="00596CCD"/>
    <w:rsid w:val="005970E4"/>
    <w:rsid w:val="005976C7"/>
    <w:rsid w:val="0059796C"/>
    <w:rsid w:val="00597E94"/>
    <w:rsid w:val="00597FC0"/>
    <w:rsid w:val="005A0611"/>
    <w:rsid w:val="005A0F78"/>
    <w:rsid w:val="005A2A65"/>
    <w:rsid w:val="005A31EB"/>
    <w:rsid w:val="005A38CB"/>
    <w:rsid w:val="005A3C3C"/>
    <w:rsid w:val="005A406C"/>
    <w:rsid w:val="005A43E2"/>
    <w:rsid w:val="005A46FB"/>
    <w:rsid w:val="005A4B7C"/>
    <w:rsid w:val="005A4CB0"/>
    <w:rsid w:val="005A62B6"/>
    <w:rsid w:val="005A6C92"/>
    <w:rsid w:val="005A6FDA"/>
    <w:rsid w:val="005A7406"/>
    <w:rsid w:val="005A7B8F"/>
    <w:rsid w:val="005B09C1"/>
    <w:rsid w:val="005B11C8"/>
    <w:rsid w:val="005B150A"/>
    <w:rsid w:val="005B1B8D"/>
    <w:rsid w:val="005B2107"/>
    <w:rsid w:val="005B21C9"/>
    <w:rsid w:val="005B21CD"/>
    <w:rsid w:val="005B22CD"/>
    <w:rsid w:val="005B2309"/>
    <w:rsid w:val="005B28AA"/>
    <w:rsid w:val="005B29E0"/>
    <w:rsid w:val="005B2F8D"/>
    <w:rsid w:val="005B323F"/>
    <w:rsid w:val="005B36AA"/>
    <w:rsid w:val="005B3EB5"/>
    <w:rsid w:val="005B41D0"/>
    <w:rsid w:val="005B4D25"/>
    <w:rsid w:val="005B5358"/>
    <w:rsid w:val="005B53C3"/>
    <w:rsid w:val="005B54D9"/>
    <w:rsid w:val="005B5D45"/>
    <w:rsid w:val="005B5E1E"/>
    <w:rsid w:val="005B62E9"/>
    <w:rsid w:val="005B6AAF"/>
    <w:rsid w:val="005B6E8E"/>
    <w:rsid w:val="005B7CC6"/>
    <w:rsid w:val="005B7E77"/>
    <w:rsid w:val="005C01A5"/>
    <w:rsid w:val="005C03A2"/>
    <w:rsid w:val="005C0F84"/>
    <w:rsid w:val="005C136B"/>
    <w:rsid w:val="005C1589"/>
    <w:rsid w:val="005C16DA"/>
    <w:rsid w:val="005C1746"/>
    <w:rsid w:val="005C18A8"/>
    <w:rsid w:val="005C18D7"/>
    <w:rsid w:val="005C27B8"/>
    <w:rsid w:val="005C34EA"/>
    <w:rsid w:val="005C4242"/>
    <w:rsid w:val="005C4CF0"/>
    <w:rsid w:val="005C603E"/>
    <w:rsid w:val="005C6B05"/>
    <w:rsid w:val="005C6CF8"/>
    <w:rsid w:val="005C6E7D"/>
    <w:rsid w:val="005C7783"/>
    <w:rsid w:val="005C7924"/>
    <w:rsid w:val="005D0583"/>
    <w:rsid w:val="005D0BF4"/>
    <w:rsid w:val="005D1C29"/>
    <w:rsid w:val="005D27A3"/>
    <w:rsid w:val="005D2DF7"/>
    <w:rsid w:val="005D3229"/>
    <w:rsid w:val="005D40A5"/>
    <w:rsid w:val="005D55ED"/>
    <w:rsid w:val="005D58FF"/>
    <w:rsid w:val="005D613E"/>
    <w:rsid w:val="005E0D83"/>
    <w:rsid w:val="005E1EC9"/>
    <w:rsid w:val="005E2175"/>
    <w:rsid w:val="005E288F"/>
    <w:rsid w:val="005E2B98"/>
    <w:rsid w:val="005E320A"/>
    <w:rsid w:val="005E32AD"/>
    <w:rsid w:val="005E394F"/>
    <w:rsid w:val="005E3BA1"/>
    <w:rsid w:val="005E3E1D"/>
    <w:rsid w:val="005E4706"/>
    <w:rsid w:val="005E4899"/>
    <w:rsid w:val="005E4A37"/>
    <w:rsid w:val="005E4BA1"/>
    <w:rsid w:val="005E4BD7"/>
    <w:rsid w:val="005E4EC8"/>
    <w:rsid w:val="005E534E"/>
    <w:rsid w:val="005E55F6"/>
    <w:rsid w:val="005E5767"/>
    <w:rsid w:val="005E5A81"/>
    <w:rsid w:val="005E647F"/>
    <w:rsid w:val="005E64C1"/>
    <w:rsid w:val="005E69E4"/>
    <w:rsid w:val="005E70CC"/>
    <w:rsid w:val="005E735E"/>
    <w:rsid w:val="005E7E9F"/>
    <w:rsid w:val="005F01B9"/>
    <w:rsid w:val="005F01F9"/>
    <w:rsid w:val="005F05EF"/>
    <w:rsid w:val="005F06DB"/>
    <w:rsid w:val="005F0776"/>
    <w:rsid w:val="005F0A6A"/>
    <w:rsid w:val="005F0EFD"/>
    <w:rsid w:val="005F1C7B"/>
    <w:rsid w:val="005F1D14"/>
    <w:rsid w:val="005F1DF8"/>
    <w:rsid w:val="005F2BDF"/>
    <w:rsid w:val="005F2F93"/>
    <w:rsid w:val="005F3352"/>
    <w:rsid w:val="005F3619"/>
    <w:rsid w:val="005F38EB"/>
    <w:rsid w:val="005F4B2D"/>
    <w:rsid w:val="005F4DC9"/>
    <w:rsid w:val="005F51E1"/>
    <w:rsid w:val="005F614A"/>
    <w:rsid w:val="005F64B0"/>
    <w:rsid w:val="005F65E7"/>
    <w:rsid w:val="005F77BF"/>
    <w:rsid w:val="005F7816"/>
    <w:rsid w:val="005F7D2C"/>
    <w:rsid w:val="00600C44"/>
    <w:rsid w:val="00601EFF"/>
    <w:rsid w:val="006022DC"/>
    <w:rsid w:val="0060336B"/>
    <w:rsid w:val="0060442F"/>
    <w:rsid w:val="00604AB0"/>
    <w:rsid w:val="00605252"/>
    <w:rsid w:val="00605348"/>
    <w:rsid w:val="006054E4"/>
    <w:rsid w:val="00605DAA"/>
    <w:rsid w:val="00606501"/>
    <w:rsid w:val="0060724F"/>
    <w:rsid w:val="00610E0A"/>
    <w:rsid w:val="0061134C"/>
    <w:rsid w:val="00611EAE"/>
    <w:rsid w:val="00612158"/>
    <w:rsid w:val="00613D17"/>
    <w:rsid w:val="006148D4"/>
    <w:rsid w:val="00616E08"/>
    <w:rsid w:val="006173A0"/>
    <w:rsid w:val="00617478"/>
    <w:rsid w:val="00617A23"/>
    <w:rsid w:val="0062081B"/>
    <w:rsid w:val="00620E65"/>
    <w:rsid w:val="00620F7A"/>
    <w:rsid w:val="0062156B"/>
    <w:rsid w:val="0062196C"/>
    <w:rsid w:val="00621DD1"/>
    <w:rsid w:val="00622186"/>
    <w:rsid w:val="00622D30"/>
    <w:rsid w:val="00623079"/>
    <w:rsid w:val="00623106"/>
    <w:rsid w:val="00623933"/>
    <w:rsid w:val="00623F38"/>
    <w:rsid w:val="00624747"/>
    <w:rsid w:val="00625461"/>
    <w:rsid w:val="00625B8A"/>
    <w:rsid w:val="00625C37"/>
    <w:rsid w:val="00625D93"/>
    <w:rsid w:val="00626057"/>
    <w:rsid w:val="00626071"/>
    <w:rsid w:val="00626D30"/>
    <w:rsid w:val="00626E68"/>
    <w:rsid w:val="00627480"/>
    <w:rsid w:val="0062775F"/>
    <w:rsid w:val="00627826"/>
    <w:rsid w:val="00627B52"/>
    <w:rsid w:val="0063097C"/>
    <w:rsid w:val="00630A50"/>
    <w:rsid w:val="0063182A"/>
    <w:rsid w:val="00632BAF"/>
    <w:rsid w:val="0063301B"/>
    <w:rsid w:val="006333DE"/>
    <w:rsid w:val="00633454"/>
    <w:rsid w:val="00633875"/>
    <w:rsid w:val="00633991"/>
    <w:rsid w:val="006345B3"/>
    <w:rsid w:val="00634973"/>
    <w:rsid w:val="00635AC3"/>
    <w:rsid w:val="00635E74"/>
    <w:rsid w:val="0063606E"/>
    <w:rsid w:val="00636072"/>
    <w:rsid w:val="00636676"/>
    <w:rsid w:val="00636C20"/>
    <w:rsid w:val="00636F4C"/>
    <w:rsid w:val="00637035"/>
    <w:rsid w:val="0063716C"/>
    <w:rsid w:val="00637664"/>
    <w:rsid w:val="00640383"/>
    <w:rsid w:val="0064040E"/>
    <w:rsid w:val="0064046E"/>
    <w:rsid w:val="0064072A"/>
    <w:rsid w:val="00640DA6"/>
    <w:rsid w:val="006412B6"/>
    <w:rsid w:val="0064152C"/>
    <w:rsid w:val="00642002"/>
    <w:rsid w:val="0064237B"/>
    <w:rsid w:val="0064355D"/>
    <w:rsid w:val="00643B6D"/>
    <w:rsid w:val="00643C73"/>
    <w:rsid w:val="00643FC9"/>
    <w:rsid w:val="006444AF"/>
    <w:rsid w:val="00644EDC"/>
    <w:rsid w:val="0064555E"/>
    <w:rsid w:val="006456DA"/>
    <w:rsid w:val="006466AD"/>
    <w:rsid w:val="00647076"/>
    <w:rsid w:val="006475AA"/>
    <w:rsid w:val="00647E5F"/>
    <w:rsid w:val="00647F3F"/>
    <w:rsid w:val="0065057B"/>
    <w:rsid w:val="0065162F"/>
    <w:rsid w:val="006521A5"/>
    <w:rsid w:val="006523BA"/>
    <w:rsid w:val="00652451"/>
    <w:rsid w:val="0065290E"/>
    <w:rsid w:val="00652B7C"/>
    <w:rsid w:val="00653E26"/>
    <w:rsid w:val="006545AF"/>
    <w:rsid w:val="00654619"/>
    <w:rsid w:val="00655340"/>
    <w:rsid w:val="00655926"/>
    <w:rsid w:val="00655BFE"/>
    <w:rsid w:val="0065618A"/>
    <w:rsid w:val="006568EB"/>
    <w:rsid w:val="00656EC3"/>
    <w:rsid w:val="006570B9"/>
    <w:rsid w:val="00657D42"/>
    <w:rsid w:val="00660455"/>
    <w:rsid w:val="00660F90"/>
    <w:rsid w:val="00661E7A"/>
    <w:rsid w:val="00661FBA"/>
    <w:rsid w:val="006633F6"/>
    <w:rsid w:val="006638F2"/>
    <w:rsid w:val="006639BD"/>
    <w:rsid w:val="006639C3"/>
    <w:rsid w:val="00663A67"/>
    <w:rsid w:val="0066410F"/>
    <w:rsid w:val="00665365"/>
    <w:rsid w:val="006656D3"/>
    <w:rsid w:val="00665B02"/>
    <w:rsid w:val="00665D19"/>
    <w:rsid w:val="00666598"/>
    <w:rsid w:val="00667230"/>
    <w:rsid w:val="006672C8"/>
    <w:rsid w:val="006673E4"/>
    <w:rsid w:val="0066747C"/>
    <w:rsid w:val="006677FB"/>
    <w:rsid w:val="00667875"/>
    <w:rsid w:val="00667C1A"/>
    <w:rsid w:val="00670675"/>
    <w:rsid w:val="00670885"/>
    <w:rsid w:val="0067142B"/>
    <w:rsid w:val="00672271"/>
    <w:rsid w:val="00672C28"/>
    <w:rsid w:val="0067307B"/>
    <w:rsid w:val="00674298"/>
    <w:rsid w:val="00674736"/>
    <w:rsid w:val="0067502A"/>
    <w:rsid w:val="00675AA1"/>
    <w:rsid w:val="006767AA"/>
    <w:rsid w:val="00676D99"/>
    <w:rsid w:val="00677126"/>
    <w:rsid w:val="00681533"/>
    <w:rsid w:val="00682A65"/>
    <w:rsid w:val="006838AB"/>
    <w:rsid w:val="00683978"/>
    <w:rsid w:val="0068436E"/>
    <w:rsid w:val="00684668"/>
    <w:rsid w:val="00684FA2"/>
    <w:rsid w:val="00685131"/>
    <w:rsid w:val="0068542B"/>
    <w:rsid w:val="0068552D"/>
    <w:rsid w:val="00685A3F"/>
    <w:rsid w:val="00685FF9"/>
    <w:rsid w:val="006860F8"/>
    <w:rsid w:val="00686B57"/>
    <w:rsid w:val="00687066"/>
    <w:rsid w:val="0068796E"/>
    <w:rsid w:val="00687E18"/>
    <w:rsid w:val="0069084C"/>
    <w:rsid w:val="00690B8D"/>
    <w:rsid w:val="00690E77"/>
    <w:rsid w:val="00690E83"/>
    <w:rsid w:val="0069144C"/>
    <w:rsid w:val="00691D7E"/>
    <w:rsid w:val="0069267A"/>
    <w:rsid w:val="006926EB"/>
    <w:rsid w:val="006927AF"/>
    <w:rsid w:val="00693051"/>
    <w:rsid w:val="00693181"/>
    <w:rsid w:val="00693D17"/>
    <w:rsid w:val="00694129"/>
    <w:rsid w:val="0069412B"/>
    <w:rsid w:val="00695EFF"/>
    <w:rsid w:val="00695FDE"/>
    <w:rsid w:val="006965DA"/>
    <w:rsid w:val="0069665A"/>
    <w:rsid w:val="00696790"/>
    <w:rsid w:val="00696C0F"/>
    <w:rsid w:val="00696E5C"/>
    <w:rsid w:val="006971D4"/>
    <w:rsid w:val="00697C82"/>
    <w:rsid w:val="00697FC5"/>
    <w:rsid w:val="006A0845"/>
    <w:rsid w:val="006A1C51"/>
    <w:rsid w:val="006A1C7D"/>
    <w:rsid w:val="006A20C9"/>
    <w:rsid w:val="006A23F3"/>
    <w:rsid w:val="006A27A1"/>
    <w:rsid w:val="006A33C1"/>
    <w:rsid w:val="006A3466"/>
    <w:rsid w:val="006A449A"/>
    <w:rsid w:val="006A56DE"/>
    <w:rsid w:val="006A5CBF"/>
    <w:rsid w:val="006A6578"/>
    <w:rsid w:val="006A6739"/>
    <w:rsid w:val="006A6908"/>
    <w:rsid w:val="006A6956"/>
    <w:rsid w:val="006A69FF"/>
    <w:rsid w:val="006A6AC9"/>
    <w:rsid w:val="006A6F3C"/>
    <w:rsid w:val="006A74F7"/>
    <w:rsid w:val="006B01EA"/>
    <w:rsid w:val="006B10A6"/>
    <w:rsid w:val="006B1185"/>
    <w:rsid w:val="006B1822"/>
    <w:rsid w:val="006B1B52"/>
    <w:rsid w:val="006B1E3A"/>
    <w:rsid w:val="006B1F9B"/>
    <w:rsid w:val="006B2699"/>
    <w:rsid w:val="006B2CB3"/>
    <w:rsid w:val="006B3976"/>
    <w:rsid w:val="006B3AEA"/>
    <w:rsid w:val="006B40E8"/>
    <w:rsid w:val="006B464F"/>
    <w:rsid w:val="006B54B2"/>
    <w:rsid w:val="006B57FB"/>
    <w:rsid w:val="006B6107"/>
    <w:rsid w:val="006B64FC"/>
    <w:rsid w:val="006B718C"/>
    <w:rsid w:val="006B718F"/>
    <w:rsid w:val="006B73A2"/>
    <w:rsid w:val="006C0568"/>
    <w:rsid w:val="006C0A63"/>
    <w:rsid w:val="006C1186"/>
    <w:rsid w:val="006C200D"/>
    <w:rsid w:val="006C298A"/>
    <w:rsid w:val="006C2A92"/>
    <w:rsid w:val="006C3810"/>
    <w:rsid w:val="006C4078"/>
    <w:rsid w:val="006C6841"/>
    <w:rsid w:val="006C687D"/>
    <w:rsid w:val="006C6BB3"/>
    <w:rsid w:val="006C72CA"/>
    <w:rsid w:val="006C7C7D"/>
    <w:rsid w:val="006C7CBC"/>
    <w:rsid w:val="006D0143"/>
    <w:rsid w:val="006D08B7"/>
    <w:rsid w:val="006D0BFE"/>
    <w:rsid w:val="006D0C7E"/>
    <w:rsid w:val="006D1C06"/>
    <w:rsid w:val="006D1D11"/>
    <w:rsid w:val="006D1F76"/>
    <w:rsid w:val="006D205C"/>
    <w:rsid w:val="006D20DB"/>
    <w:rsid w:val="006D217C"/>
    <w:rsid w:val="006D242F"/>
    <w:rsid w:val="006D280B"/>
    <w:rsid w:val="006D443B"/>
    <w:rsid w:val="006D4E95"/>
    <w:rsid w:val="006D5960"/>
    <w:rsid w:val="006D5A41"/>
    <w:rsid w:val="006D5FF5"/>
    <w:rsid w:val="006D68D3"/>
    <w:rsid w:val="006D7515"/>
    <w:rsid w:val="006D7776"/>
    <w:rsid w:val="006D7BE0"/>
    <w:rsid w:val="006D7E60"/>
    <w:rsid w:val="006D7F76"/>
    <w:rsid w:val="006E05A6"/>
    <w:rsid w:val="006E1ED8"/>
    <w:rsid w:val="006E2243"/>
    <w:rsid w:val="006E281D"/>
    <w:rsid w:val="006E3768"/>
    <w:rsid w:val="006E4032"/>
    <w:rsid w:val="006E425E"/>
    <w:rsid w:val="006E4424"/>
    <w:rsid w:val="006E4962"/>
    <w:rsid w:val="006E4B02"/>
    <w:rsid w:val="006E4C40"/>
    <w:rsid w:val="006E4F28"/>
    <w:rsid w:val="006E5225"/>
    <w:rsid w:val="006E6880"/>
    <w:rsid w:val="006E78A0"/>
    <w:rsid w:val="006E7CA9"/>
    <w:rsid w:val="006E7F92"/>
    <w:rsid w:val="006F01E6"/>
    <w:rsid w:val="006F05B1"/>
    <w:rsid w:val="006F0C30"/>
    <w:rsid w:val="006F156B"/>
    <w:rsid w:val="006F2573"/>
    <w:rsid w:val="006F27D7"/>
    <w:rsid w:val="006F2982"/>
    <w:rsid w:val="006F2A5B"/>
    <w:rsid w:val="006F35DC"/>
    <w:rsid w:val="006F3FB5"/>
    <w:rsid w:val="006F46B8"/>
    <w:rsid w:val="006F4920"/>
    <w:rsid w:val="006F4B73"/>
    <w:rsid w:val="006F4B7A"/>
    <w:rsid w:val="006F5C6B"/>
    <w:rsid w:val="006F5ED5"/>
    <w:rsid w:val="006F64B3"/>
    <w:rsid w:val="006F65D0"/>
    <w:rsid w:val="006F6628"/>
    <w:rsid w:val="006F66CC"/>
    <w:rsid w:val="006F6AEC"/>
    <w:rsid w:val="006F6CD4"/>
    <w:rsid w:val="006F7373"/>
    <w:rsid w:val="006F7AF6"/>
    <w:rsid w:val="006F7B82"/>
    <w:rsid w:val="00700C95"/>
    <w:rsid w:val="00700D78"/>
    <w:rsid w:val="00700FFF"/>
    <w:rsid w:val="007016A7"/>
    <w:rsid w:val="0070211D"/>
    <w:rsid w:val="00703C40"/>
    <w:rsid w:val="00703CD8"/>
    <w:rsid w:val="00703F8C"/>
    <w:rsid w:val="00704407"/>
    <w:rsid w:val="00704897"/>
    <w:rsid w:val="00705B72"/>
    <w:rsid w:val="00707A31"/>
    <w:rsid w:val="0071067F"/>
    <w:rsid w:val="00710967"/>
    <w:rsid w:val="007109C4"/>
    <w:rsid w:val="007109EE"/>
    <w:rsid w:val="00712CB2"/>
    <w:rsid w:val="00713224"/>
    <w:rsid w:val="00713AE4"/>
    <w:rsid w:val="00713F79"/>
    <w:rsid w:val="00713FE8"/>
    <w:rsid w:val="00715AA7"/>
    <w:rsid w:val="00715C71"/>
    <w:rsid w:val="0071609F"/>
    <w:rsid w:val="00716168"/>
    <w:rsid w:val="00716398"/>
    <w:rsid w:val="007163B7"/>
    <w:rsid w:val="00716E2A"/>
    <w:rsid w:val="00716EBC"/>
    <w:rsid w:val="00717364"/>
    <w:rsid w:val="00717A0A"/>
    <w:rsid w:val="00720A32"/>
    <w:rsid w:val="00720D2A"/>
    <w:rsid w:val="007212FF"/>
    <w:rsid w:val="007214CA"/>
    <w:rsid w:val="00721721"/>
    <w:rsid w:val="0072199F"/>
    <w:rsid w:val="007223C2"/>
    <w:rsid w:val="007223D7"/>
    <w:rsid w:val="00722635"/>
    <w:rsid w:val="007233E6"/>
    <w:rsid w:val="00723692"/>
    <w:rsid w:val="00724318"/>
    <w:rsid w:val="00725862"/>
    <w:rsid w:val="00725BDB"/>
    <w:rsid w:val="00725E5E"/>
    <w:rsid w:val="007263D2"/>
    <w:rsid w:val="00726CCD"/>
    <w:rsid w:val="007277F8"/>
    <w:rsid w:val="00730770"/>
    <w:rsid w:val="00730D22"/>
    <w:rsid w:val="0073127C"/>
    <w:rsid w:val="00732C9E"/>
    <w:rsid w:val="007335B9"/>
    <w:rsid w:val="0073362F"/>
    <w:rsid w:val="00733E8E"/>
    <w:rsid w:val="00734D60"/>
    <w:rsid w:val="00734EBC"/>
    <w:rsid w:val="00735180"/>
    <w:rsid w:val="00735DEE"/>
    <w:rsid w:val="0073611C"/>
    <w:rsid w:val="0073637E"/>
    <w:rsid w:val="00736413"/>
    <w:rsid w:val="00736C6D"/>
    <w:rsid w:val="00737297"/>
    <w:rsid w:val="00737863"/>
    <w:rsid w:val="00742101"/>
    <w:rsid w:val="0074263D"/>
    <w:rsid w:val="007432FF"/>
    <w:rsid w:val="007436BC"/>
    <w:rsid w:val="00743D3E"/>
    <w:rsid w:val="0074479E"/>
    <w:rsid w:val="007447AF"/>
    <w:rsid w:val="007452DD"/>
    <w:rsid w:val="007458C0"/>
    <w:rsid w:val="00745B0B"/>
    <w:rsid w:val="00747A47"/>
    <w:rsid w:val="0075006C"/>
    <w:rsid w:val="007501DF"/>
    <w:rsid w:val="00751B99"/>
    <w:rsid w:val="00751E4E"/>
    <w:rsid w:val="007527D0"/>
    <w:rsid w:val="007528BF"/>
    <w:rsid w:val="0075295F"/>
    <w:rsid w:val="00753D44"/>
    <w:rsid w:val="00753D74"/>
    <w:rsid w:val="007548EC"/>
    <w:rsid w:val="00754A96"/>
    <w:rsid w:val="007561CA"/>
    <w:rsid w:val="00756EFC"/>
    <w:rsid w:val="007571B4"/>
    <w:rsid w:val="0075773F"/>
    <w:rsid w:val="00757845"/>
    <w:rsid w:val="00757F01"/>
    <w:rsid w:val="00760A8D"/>
    <w:rsid w:val="00761001"/>
    <w:rsid w:val="0076183F"/>
    <w:rsid w:val="007618FC"/>
    <w:rsid w:val="00761970"/>
    <w:rsid w:val="0076268D"/>
    <w:rsid w:val="007635B4"/>
    <w:rsid w:val="0076385E"/>
    <w:rsid w:val="00763E38"/>
    <w:rsid w:val="00763E76"/>
    <w:rsid w:val="00764097"/>
    <w:rsid w:val="0076498E"/>
    <w:rsid w:val="0076505B"/>
    <w:rsid w:val="00765184"/>
    <w:rsid w:val="007657F8"/>
    <w:rsid w:val="00765ACD"/>
    <w:rsid w:val="00765CE3"/>
    <w:rsid w:val="00765CF1"/>
    <w:rsid w:val="00766040"/>
    <w:rsid w:val="0076652D"/>
    <w:rsid w:val="00766557"/>
    <w:rsid w:val="00766612"/>
    <w:rsid w:val="007668D4"/>
    <w:rsid w:val="00766F2B"/>
    <w:rsid w:val="00767642"/>
    <w:rsid w:val="00767A8B"/>
    <w:rsid w:val="007708ED"/>
    <w:rsid w:val="00770F31"/>
    <w:rsid w:val="007711C8"/>
    <w:rsid w:val="007711EA"/>
    <w:rsid w:val="0077146C"/>
    <w:rsid w:val="00771C32"/>
    <w:rsid w:val="00771E21"/>
    <w:rsid w:val="00771E33"/>
    <w:rsid w:val="00771E78"/>
    <w:rsid w:val="00772DCE"/>
    <w:rsid w:val="00772EB0"/>
    <w:rsid w:val="007731F3"/>
    <w:rsid w:val="00773238"/>
    <w:rsid w:val="00773344"/>
    <w:rsid w:val="007741A9"/>
    <w:rsid w:val="00774658"/>
    <w:rsid w:val="0077479E"/>
    <w:rsid w:val="00774BA9"/>
    <w:rsid w:val="00774BC1"/>
    <w:rsid w:val="007759D3"/>
    <w:rsid w:val="00775BC9"/>
    <w:rsid w:val="00775C51"/>
    <w:rsid w:val="00775FD9"/>
    <w:rsid w:val="007774C3"/>
    <w:rsid w:val="007777A7"/>
    <w:rsid w:val="007779EB"/>
    <w:rsid w:val="00777F47"/>
    <w:rsid w:val="00777F77"/>
    <w:rsid w:val="00777FF6"/>
    <w:rsid w:val="00780085"/>
    <w:rsid w:val="00780090"/>
    <w:rsid w:val="00780451"/>
    <w:rsid w:val="0078106C"/>
    <w:rsid w:val="0078186C"/>
    <w:rsid w:val="00781A39"/>
    <w:rsid w:val="007824EA"/>
    <w:rsid w:val="00782734"/>
    <w:rsid w:val="00782B5A"/>
    <w:rsid w:val="0078367F"/>
    <w:rsid w:val="00783809"/>
    <w:rsid w:val="00784797"/>
    <w:rsid w:val="00784A88"/>
    <w:rsid w:val="00785AA7"/>
    <w:rsid w:val="00785E27"/>
    <w:rsid w:val="00786909"/>
    <w:rsid w:val="00786B83"/>
    <w:rsid w:val="007875D0"/>
    <w:rsid w:val="00787E3A"/>
    <w:rsid w:val="0079032F"/>
    <w:rsid w:val="007903B6"/>
    <w:rsid w:val="00790885"/>
    <w:rsid w:val="00790BED"/>
    <w:rsid w:val="00790ED2"/>
    <w:rsid w:val="00791341"/>
    <w:rsid w:val="007915F4"/>
    <w:rsid w:val="007923E9"/>
    <w:rsid w:val="00792435"/>
    <w:rsid w:val="007936BA"/>
    <w:rsid w:val="0079393D"/>
    <w:rsid w:val="00793FA9"/>
    <w:rsid w:val="007944BE"/>
    <w:rsid w:val="007944DB"/>
    <w:rsid w:val="00794739"/>
    <w:rsid w:val="0079529C"/>
    <w:rsid w:val="00795490"/>
    <w:rsid w:val="00795817"/>
    <w:rsid w:val="00795AEC"/>
    <w:rsid w:val="007964CC"/>
    <w:rsid w:val="007A0550"/>
    <w:rsid w:val="007A0750"/>
    <w:rsid w:val="007A0771"/>
    <w:rsid w:val="007A0A2E"/>
    <w:rsid w:val="007A0D4C"/>
    <w:rsid w:val="007A2114"/>
    <w:rsid w:val="007A2CFE"/>
    <w:rsid w:val="007A2F07"/>
    <w:rsid w:val="007A3600"/>
    <w:rsid w:val="007A4A2A"/>
    <w:rsid w:val="007A4ECF"/>
    <w:rsid w:val="007A5167"/>
    <w:rsid w:val="007A5A59"/>
    <w:rsid w:val="007A5CBC"/>
    <w:rsid w:val="007A66A3"/>
    <w:rsid w:val="007A7610"/>
    <w:rsid w:val="007A7BA9"/>
    <w:rsid w:val="007B0645"/>
    <w:rsid w:val="007B106A"/>
    <w:rsid w:val="007B10C0"/>
    <w:rsid w:val="007B123C"/>
    <w:rsid w:val="007B1587"/>
    <w:rsid w:val="007B197B"/>
    <w:rsid w:val="007B1CCB"/>
    <w:rsid w:val="007B1ED1"/>
    <w:rsid w:val="007B2740"/>
    <w:rsid w:val="007B3853"/>
    <w:rsid w:val="007B3C56"/>
    <w:rsid w:val="007B42DC"/>
    <w:rsid w:val="007B593E"/>
    <w:rsid w:val="007B5D3D"/>
    <w:rsid w:val="007B651A"/>
    <w:rsid w:val="007B691A"/>
    <w:rsid w:val="007B75B1"/>
    <w:rsid w:val="007B78F4"/>
    <w:rsid w:val="007C023B"/>
    <w:rsid w:val="007C0266"/>
    <w:rsid w:val="007C088B"/>
    <w:rsid w:val="007C1179"/>
    <w:rsid w:val="007C12B9"/>
    <w:rsid w:val="007C24D4"/>
    <w:rsid w:val="007C3592"/>
    <w:rsid w:val="007C36A5"/>
    <w:rsid w:val="007C4024"/>
    <w:rsid w:val="007C410A"/>
    <w:rsid w:val="007C4139"/>
    <w:rsid w:val="007C471B"/>
    <w:rsid w:val="007C49DA"/>
    <w:rsid w:val="007C4B7A"/>
    <w:rsid w:val="007C5349"/>
    <w:rsid w:val="007C55A1"/>
    <w:rsid w:val="007C616A"/>
    <w:rsid w:val="007C617E"/>
    <w:rsid w:val="007C619E"/>
    <w:rsid w:val="007C6A90"/>
    <w:rsid w:val="007C72DC"/>
    <w:rsid w:val="007C750D"/>
    <w:rsid w:val="007C766A"/>
    <w:rsid w:val="007C7BE7"/>
    <w:rsid w:val="007D15A7"/>
    <w:rsid w:val="007D1CF6"/>
    <w:rsid w:val="007D1DE4"/>
    <w:rsid w:val="007D217B"/>
    <w:rsid w:val="007D22A4"/>
    <w:rsid w:val="007D2789"/>
    <w:rsid w:val="007D2EDC"/>
    <w:rsid w:val="007D3006"/>
    <w:rsid w:val="007D3BA3"/>
    <w:rsid w:val="007D416A"/>
    <w:rsid w:val="007D4283"/>
    <w:rsid w:val="007D44EA"/>
    <w:rsid w:val="007D5822"/>
    <w:rsid w:val="007D5979"/>
    <w:rsid w:val="007D60DC"/>
    <w:rsid w:val="007D6157"/>
    <w:rsid w:val="007D70D6"/>
    <w:rsid w:val="007D70E0"/>
    <w:rsid w:val="007D7106"/>
    <w:rsid w:val="007D71F7"/>
    <w:rsid w:val="007D7D6D"/>
    <w:rsid w:val="007E02AF"/>
    <w:rsid w:val="007E098A"/>
    <w:rsid w:val="007E0D13"/>
    <w:rsid w:val="007E1F59"/>
    <w:rsid w:val="007E3CE5"/>
    <w:rsid w:val="007E3CF9"/>
    <w:rsid w:val="007E4691"/>
    <w:rsid w:val="007E6B72"/>
    <w:rsid w:val="007E76DB"/>
    <w:rsid w:val="007E7FC5"/>
    <w:rsid w:val="007F009B"/>
    <w:rsid w:val="007F0217"/>
    <w:rsid w:val="007F0293"/>
    <w:rsid w:val="007F034C"/>
    <w:rsid w:val="007F0771"/>
    <w:rsid w:val="007F1284"/>
    <w:rsid w:val="007F16BC"/>
    <w:rsid w:val="007F242D"/>
    <w:rsid w:val="007F357F"/>
    <w:rsid w:val="007F3D7F"/>
    <w:rsid w:val="007F5373"/>
    <w:rsid w:val="007F58FF"/>
    <w:rsid w:val="007F5C8A"/>
    <w:rsid w:val="007F65DC"/>
    <w:rsid w:val="007F67AB"/>
    <w:rsid w:val="007F6D2C"/>
    <w:rsid w:val="007F6D79"/>
    <w:rsid w:val="007F7657"/>
    <w:rsid w:val="007F78F6"/>
    <w:rsid w:val="007F7AA6"/>
    <w:rsid w:val="008002E1"/>
    <w:rsid w:val="00801820"/>
    <w:rsid w:val="00801CFD"/>
    <w:rsid w:val="00802168"/>
    <w:rsid w:val="00802251"/>
    <w:rsid w:val="00802410"/>
    <w:rsid w:val="008025C5"/>
    <w:rsid w:val="00802B1F"/>
    <w:rsid w:val="00803548"/>
    <w:rsid w:val="0080359A"/>
    <w:rsid w:val="008049AA"/>
    <w:rsid w:val="0080577E"/>
    <w:rsid w:val="00805948"/>
    <w:rsid w:val="0080706D"/>
    <w:rsid w:val="00807149"/>
    <w:rsid w:val="0080779B"/>
    <w:rsid w:val="00811532"/>
    <w:rsid w:val="008115D4"/>
    <w:rsid w:val="0081160E"/>
    <w:rsid w:val="00811BE1"/>
    <w:rsid w:val="00811D3A"/>
    <w:rsid w:val="00812BFB"/>
    <w:rsid w:val="00813A7A"/>
    <w:rsid w:val="008150E1"/>
    <w:rsid w:val="0081585F"/>
    <w:rsid w:val="00815D48"/>
    <w:rsid w:val="00815EFC"/>
    <w:rsid w:val="00816DC0"/>
    <w:rsid w:val="008201E6"/>
    <w:rsid w:val="00820A05"/>
    <w:rsid w:val="00820DF5"/>
    <w:rsid w:val="00822257"/>
    <w:rsid w:val="00822FAC"/>
    <w:rsid w:val="008230BA"/>
    <w:rsid w:val="008259C5"/>
    <w:rsid w:val="00825B14"/>
    <w:rsid w:val="00825B9A"/>
    <w:rsid w:val="008263FC"/>
    <w:rsid w:val="008264E8"/>
    <w:rsid w:val="008267EF"/>
    <w:rsid w:val="00826A1D"/>
    <w:rsid w:val="00826B06"/>
    <w:rsid w:val="00826BFB"/>
    <w:rsid w:val="00826D70"/>
    <w:rsid w:val="00830057"/>
    <w:rsid w:val="00831263"/>
    <w:rsid w:val="00831286"/>
    <w:rsid w:val="00831746"/>
    <w:rsid w:val="00831CB6"/>
    <w:rsid w:val="00832257"/>
    <w:rsid w:val="00832295"/>
    <w:rsid w:val="00832547"/>
    <w:rsid w:val="00832961"/>
    <w:rsid w:val="00832B9F"/>
    <w:rsid w:val="008336AA"/>
    <w:rsid w:val="008339A4"/>
    <w:rsid w:val="00833F4D"/>
    <w:rsid w:val="00834D07"/>
    <w:rsid w:val="008353E9"/>
    <w:rsid w:val="008359D8"/>
    <w:rsid w:val="00835C8F"/>
    <w:rsid w:val="00836814"/>
    <w:rsid w:val="00836BD9"/>
    <w:rsid w:val="0083734E"/>
    <w:rsid w:val="008409A7"/>
    <w:rsid w:val="00840D76"/>
    <w:rsid w:val="008416D5"/>
    <w:rsid w:val="00842BA1"/>
    <w:rsid w:val="008442A2"/>
    <w:rsid w:val="008449C6"/>
    <w:rsid w:val="008455D6"/>
    <w:rsid w:val="00846395"/>
    <w:rsid w:val="008468F3"/>
    <w:rsid w:val="00846BF6"/>
    <w:rsid w:val="0084725A"/>
    <w:rsid w:val="008501EE"/>
    <w:rsid w:val="008505BF"/>
    <w:rsid w:val="00850826"/>
    <w:rsid w:val="00850905"/>
    <w:rsid w:val="0085163D"/>
    <w:rsid w:val="00851ACB"/>
    <w:rsid w:val="00851B6C"/>
    <w:rsid w:val="00851C0F"/>
    <w:rsid w:val="00852026"/>
    <w:rsid w:val="00852839"/>
    <w:rsid w:val="00852C91"/>
    <w:rsid w:val="00853582"/>
    <w:rsid w:val="008537BC"/>
    <w:rsid w:val="00853DDA"/>
    <w:rsid w:val="008550F6"/>
    <w:rsid w:val="008552E7"/>
    <w:rsid w:val="008554BD"/>
    <w:rsid w:val="00855697"/>
    <w:rsid w:val="0085595C"/>
    <w:rsid w:val="00856268"/>
    <w:rsid w:val="008562A8"/>
    <w:rsid w:val="008567C1"/>
    <w:rsid w:val="008567EC"/>
    <w:rsid w:val="008572A4"/>
    <w:rsid w:val="00857781"/>
    <w:rsid w:val="0086150B"/>
    <w:rsid w:val="008615F0"/>
    <w:rsid w:val="00861B22"/>
    <w:rsid w:val="00861E33"/>
    <w:rsid w:val="00862151"/>
    <w:rsid w:val="008623BB"/>
    <w:rsid w:val="008623DD"/>
    <w:rsid w:val="008627E6"/>
    <w:rsid w:val="008629CC"/>
    <w:rsid w:val="00862ED4"/>
    <w:rsid w:val="0086342B"/>
    <w:rsid w:val="00863792"/>
    <w:rsid w:val="00863A72"/>
    <w:rsid w:val="00863AD1"/>
    <w:rsid w:val="00863E07"/>
    <w:rsid w:val="00864677"/>
    <w:rsid w:val="00864752"/>
    <w:rsid w:val="00865047"/>
    <w:rsid w:val="00865180"/>
    <w:rsid w:val="00865252"/>
    <w:rsid w:val="00865706"/>
    <w:rsid w:val="00866905"/>
    <w:rsid w:val="00870592"/>
    <w:rsid w:val="00870D68"/>
    <w:rsid w:val="0087135B"/>
    <w:rsid w:val="00871FCC"/>
    <w:rsid w:val="00872709"/>
    <w:rsid w:val="00873092"/>
    <w:rsid w:val="00873139"/>
    <w:rsid w:val="00873641"/>
    <w:rsid w:val="0087473F"/>
    <w:rsid w:val="00874A78"/>
    <w:rsid w:val="00874BE6"/>
    <w:rsid w:val="00874CC2"/>
    <w:rsid w:val="008751BD"/>
    <w:rsid w:val="00875368"/>
    <w:rsid w:val="00875645"/>
    <w:rsid w:val="008759D2"/>
    <w:rsid w:val="008760B8"/>
    <w:rsid w:val="008760CA"/>
    <w:rsid w:val="00876153"/>
    <w:rsid w:val="00876C24"/>
    <w:rsid w:val="00877232"/>
    <w:rsid w:val="008775F6"/>
    <w:rsid w:val="00877797"/>
    <w:rsid w:val="00877CFB"/>
    <w:rsid w:val="00877FCA"/>
    <w:rsid w:val="008803F1"/>
    <w:rsid w:val="00880E94"/>
    <w:rsid w:val="00880FDE"/>
    <w:rsid w:val="00881465"/>
    <w:rsid w:val="00883331"/>
    <w:rsid w:val="008836A2"/>
    <w:rsid w:val="0088489B"/>
    <w:rsid w:val="008849E7"/>
    <w:rsid w:val="008856D7"/>
    <w:rsid w:val="00885A96"/>
    <w:rsid w:val="00886671"/>
    <w:rsid w:val="00886708"/>
    <w:rsid w:val="0088707B"/>
    <w:rsid w:val="00887149"/>
    <w:rsid w:val="0088715B"/>
    <w:rsid w:val="0088721D"/>
    <w:rsid w:val="00887291"/>
    <w:rsid w:val="008873EB"/>
    <w:rsid w:val="0088769A"/>
    <w:rsid w:val="00890334"/>
    <w:rsid w:val="00890620"/>
    <w:rsid w:val="008907ED"/>
    <w:rsid w:val="008908C1"/>
    <w:rsid w:val="00890903"/>
    <w:rsid w:val="0089239C"/>
    <w:rsid w:val="0089375D"/>
    <w:rsid w:val="00894D45"/>
    <w:rsid w:val="00895185"/>
    <w:rsid w:val="008952CB"/>
    <w:rsid w:val="008958ED"/>
    <w:rsid w:val="008959E2"/>
    <w:rsid w:val="00896076"/>
    <w:rsid w:val="0089616A"/>
    <w:rsid w:val="008967A9"/>
    <w:rsid w:val="00896CC9"/>
    <w:rsid w:val="008A0076"/>
    <w:rsid w:val="008A0112"/>
    <w:rsid w:val="008A09FD"/>
    <w:rsid w:val="008A0C1D"/>
    <w:rsid w:val="008A0C5F"/>
    <w:rsid w:val="008A1161"/>
    <w:rsid w:val="008A12C1"/>
    <w:rsid w:val="008A1A77"/>
    <w:rsid w:val="008A1AF8"/>
    <w:rsid w:val="008A21E9"/>
    <w:rsid w:val="008A2855"/>
    <w:rsid w:val="008A2C92"/>
    <w:rsid w:val="008A34DD"/>
    <w:rsid w:val="008A4268"/>
    <w:rsid w:val="008A4623"/>
    <w:rsid w:val="008A4730"/>
    <w:rsid w:val="008A48B8"/>
    <w:rsid w:val="008A49C7"/>
    <w:rsid w:val="008A51BD"/>
    <w:rsid w:val="008A5701"/>
    <w:rsid w:val="008A5D4B"/>
    <w:rsid w:val="008A5F81"/>
    <w:rsid w:val="008A61EF"/>
    <w:rsid w:val="008A6965"/>
    <w:rsid w:val="008A702B"/>
    <w:rsid w:val="008A73C0"/>
    <w:rsid w:val="008A791A"/>
    <w:rsid w:val="008B1C57"/>
    <w:rsid w:val="008B27DB"/>
    <w:rsid w:val="008B2D10"/>
    <w:rsid w:val="008B302B"/>
    <w:rsid w:val="008B37DE"/>
    <w:rsid w:val="008B4771"/>
    <w:rsid w:val="008B49EC"/>
    <w:rsid w:val="008B51D9"/>
    <w:rsid w:val="008B53FE"/>
    <w:rsid w:val="008B5A8C"/>
    <w:rsid w:val="008B6077"/>
    <w:rsid w:val="008B66B9"/>
    <w:rsid w:val="008B71F9"/>
    <w:rsid w:val="008B72B1"/>
    <w:rsid w:val="008B74B7"/>
    <w:rsid w:val="008B75E2"/>
    <w:rsid w:val="008B7765"/>
    <w:rsid w:val="008B788E"/>
    <w:rsid w:val="008B7E62"/>
    <w:rsid w:val="008B7F72"/>
    <w:rsid w:val="008C108F"/>
    <w:rsid w:val="008C1479"/>
    <w:rsid w:val="008C1A8A"/>
    <w:rsid w:val="008C1DDC"/>
    <w:rsid w:val="008C1E08"/>
    <w:rsid w:val="008C2628"/>
    <w:rsid w:val="008C35BD"/>
    <w:rsid w:val="008C3C33"/>
    <w:rsid w:val="008C402B"/>
    <w:rsid w:val="008C43D5"/>
    <w:rsid w:val="008C44A1"/>
    <w:rsid w:val="008C52DB"/>
    <w:rsid w:val="008C5BF6"/>
    <w:rsid w:val="008C64A0"/>
    <w:rsid w:val="008C6AFF"/>
    <w:rsid w:val="008C73A2"/>
    <w:rsid w:val="008C7E36"/>
    <w:rsid w:val="008D16A4"/>
    <w:rsid w:val="008D19C0"/>
    <w:rsid w:val="008D1B04"/>
    <w:rsid w:val="008D1E3B"/>
    <w:rsid w:val="008D26B8"/>
    <w:rsid w:val="008D2A52"/>
    <w:rsid w:val="008D2D79"/>
    <w:rsid w:val="008D3588"/>
    <w:rsid w:val="008D372A"/>
    <w:rsid w:val="008D3FCD"/>
    <w:rsid w:val="008D432B"/>
    <w:rsid w:val="008D4903"/>
    <w:rsid w:val="008D59E9"/>
    <w:rsid w:val="008D6CB7"/>
    <w:rsid w:val="008D6DAD"/>
    <w:rsid w:val="008D719A"/>
    <w:rsid w:val="008D75D5"/>
    <w:rsid w:val="008E017D"/>
    <w:rsid w:val="008E031C"/>
    <w:rsid w:val="008E0A4E"/>
    <w:rsid w:val="008E0E68"/>
    <w:rsid w:val="008E12C4"/>
    <w:rsid w:val="008E12FD"/>
    <w:rsid w:val="008E3242"/>
    <w:rsid w:val="008E3F23"/>
    <w:rsid w:val="008E3FD9"/>
    <w:rsid w:val="008E4270"/>
    <w:rsid w:val="008E4D9A"/>
    <w:rsid w:val="008E60CC"/>
    <w:rsid w:val="008E712A"/>
    <w:rsid w:val="008E7E4B"/>
    <w:rsid w:val="008F055E"/>
    <w:rsid w:val="008F088B"/>
    <w:rsid w:val="008F1254"/>
    <w:rsid w:val="008F29C5"/>
    <w:rsid w:val="008F3797"/>
    <w:rsid w:val="008F4023"/>
    <w:rsid w:val="008F5373"/>
    <w:rsid w:val="008F5B60"/>
    <w:rsid w:val="008F5F27"/>
    <w:rsid w:val="008F5F2F"/>
    <w:rsid w:val="008F757E"/>
    <w:rsid w:val="008F7694"/>
    <w:rsid w:val="008F7B60"/>
    <w:rsid w:val="0090022C"/>
    <w:rsid w:val="009003F7"/>
    <w:rsid w:val="00901004"/>
    <w:rsid w:val="00901500"/>
    <w:rsid w:val="00901611"/>
    <w:rsid w:val="00901E48"/>
    <w:rsid w:val="00901F82"/>
    <w:rsid w:val="00902362"/>
    <w:rsid w:val="00902651"/>
    <w:rsid w:val="00903726"/>
    <w:rsid w:val="0090388C"/>
    <w:rsid w:val="0090404E"/>
    <w:rsid w:val="009041E7"/>
    <w:rsid w:val="009052E7"/>
    <w:rsid w:val="0090580C"/>
    <w:rsid w:val="0090658A"/>
    <w:rsid w:val="0090658D"/>
    <w:rsid w:val="00906C58"/>
    <w:rsid w:val="00906CC1"/>
    <w:rsid w:val="009074C5"/>
    <w:rsid w:val="00907646"/>
    <w:rsid w:val="009079D1"/>
    <w:rsid w:val="00907E0B"/>
    <w:rsid w:val="00910274"/>
    <w:rsid w:val="009104CA"/>
    <w:rsid w:val="00910575"/>
    <w:rsid w:val="009107F5"/>
    <w:rsid w:val="00911C1D"/>
    <w:rsid w:val="00911C2E"/>
    <w:rsid w:val="00912545"/>
    <w:rsid w:val="00912CF2"/>
    <w:rsid w:val="00913A24"/>
    <w:rsid w:val="009140E4"/>
    <w:rsid w:val="00914692"/>
    <w:rsid w:val="00914960"/>
    <w:rsid w:val="0091577B"/>
    <w:rsid w:val="00915D1B"/>
    <w:rsid w:val="00915F59"/>
    <w:rsid w:val="0091688F"/>
    <w:rsid w:val="00917A18"/>
    <w:rsid w:val="0092012D"/>
    <w:rsid w:val="00920D7F"/>
    <w:rsid w:val="00921463"/>
    <w:rsid w:val="00922336"/>
    <w:rsid w:val="0092269A"/>
    <w:rsid w:val="009231EE"/>
    <w:rsid w:val="009236DB"/>
    <w:rsid w:val="00924926"/>
    <w:rsid w:val="00924B31"/>
    <w:rsid w:val="00924DF2"/>
    <w:rsid w:val="009266AB"/>
    <w:rsid w:val="00927105"/>
    <w:rsid w:val="00927481"/>
    <w:rsid w:val="00927FEB"/>
    <w:rsid w:val="0093002E"/>
    <w:rsid w:val="009300FB"/>
    <w:rsid w:val="00930A28"/>
    <w:rsid w:val="009312B5"/>
    <w:rsid w:val="00931E27"/>
    <w:rsid w:val="0093243C"/>
    <w:rsid w:val="00932846"/>
    <w:rsid w:val="00933F97"/>
    <w:rsid w:val="00935B35"/>
    <w:rsid w:val="00936265"/>
    <w:rsid w:val="00936D1F"/>
    <w:rsid w:val="009371AD"/>
    <w:rsid w:val="009378C8"/>
    <w:rsid w:val="00937D48"/>
    <w:rsid w:val="0094031D"/>
    <w:rsid w:val="0094062D"/>
    <w:rsid w:val="00940642"/>
    <w:rsid w:val="00940860"/>
    <w:rsid w:val="00940944"/>
    <w:rsid w:val="009416C9"/>
    <w:rsid w:val="009419E2"/>
    <w:rsid w:val="00941DFB"/>
    <w:rsid w:val="009426F9"/>
    <w:rsid w:val="00943219"/>
    <w:rsid w:val="00943417"/>
    <w:rsid w:val="009438E8"/>
    <w:rsid w:val="00943C3F"/>
    <w:rsid w:val="00945AA9"/>
    <w:rsid w:val="0094786E"/>
    <w:rsid w:val="0095020A"/>
    <w:rsid w:val="0095034B"/>
    <w:rsid w:val="00950502"/>
    <w:rsid w:val="00950E47"/>
    <w:rsid w:val="00951A4F"/>
    <w:rsid w:val="00952C4D"/>
    <w:rsid w:val="00952E32"/>
    <w:rsid w:val="00953465"/>
    <w:rsid w:val="00953471"/>
    <w:rsid w:val="009536DB"/>
    <w:rsid w:val="009538B6"/>
    <w:rsid w:val="00953BDF"/>
    <w:rsid w:val="0095409E"/>
    <w:rsid w:val="009555A4"/>
    <w:rsid w:val="00955C87"/>
    <w:rsid w:val="00955E7D"/>
    <w:rsid w:val="00956CAB"/>
    <w:rsid w:val="00957344"/>
    <w:rsid w:val="00957685"/>
    <w:rsid w:val="00957849"/>
    <w:rsid w:val="00960007"/>
    <w:rsid w:val="00960853"/>
    <w:rsid w:val="00960CBC"/>
    <w:rsid w:val="00960CD5"/>
    <w:rsid w:val="00961550"/>
    <w:rsid w:val="00961938"/>
    <w:rsid w:val="00961F87"/>
    <w:rsid w:val="00962299"/>
    <w:rsid w:val="00966411"/>
    <w:rsid w:val="00966445"/>
    <w:rsid w:val="00966676"/>
    <w:rsid w:val="00966B8E"/>
    <w:rsid w:val="00967429"/>
    <w:rsid w:val="00970B68"/>
    <w:rsid w:val="00971299"/>
    <w:rsid w:val="0097185C"/>
    <w:rsid w:val="00971A8E"/>
    <w:rsid w:val="00972A80"/>
    <w:rsid w:val="00972CE7"/>
    <w:rsid w:val="009733C3"/>
    <w:rsid w:val="00974377"/>
    <w:rsid w:val="00974E87"/>
    <w:rsid w:val="00974F9A"/>
    <w:rsid w:val="00975C3E"/>
    <w:rsid w:val="0097608A"/>
    <w:rsid w:val="0097652B"/>
    <w:rsid w:val="00976E9B"/>
    <w:rsid w:val="009775E2"/>
    <w:rsid w:val="00977A93"/>
    <w:rsid w:val="009803BD"/>
    <w:rsid w:val="009807EE"/>
    <w:rsid w:val="00980BC0"/>
    <w:rsid w:val="00981761"/>
    <w:rsid w:val="00981AAE"/>
    <w:rsid w:val="00981B22"/>
    <w:rsid w:val="00982668"/>
    <w:rsid w:val="00983321"/>
    <w:rsid w:val="009833F9"/>
    <w:rsid w:val="00983EF7"/>
    <w:rsid w:val="00983FE7"/>
    <w:rsid w:val="00984018"/>
    <w:rsid w:val="00984387"/>
    <w:rsid w:val="0098459E"/>
    <w:rsid w:val="00985418"/>
    <w:rsid w:val="009857C1"/>
    <w:rsid w:val="00985A24"/>
    <w:rsid w:val="00985B8E"/>
    <w:rsid w:val="00986855"/>
    <w:rsid w:val="00987628"/>
    <w:rsid w:val="00987668"/>
    <w:rsid w:val="009878B1"/>
    <w:rsid w:val="00990540"/>
    <w:rsid w:val="009905DB"/>
    <w:rsid w:val="0099084D"/>
    <w:rsid w:val="00990AB8"/>
    <w:rsid w:val="00990B75"/>
    <w:rsid w:val="00991037"/>
    <w:rsid w:val="00991361"/>
    <w:rsid w:val="00991384"/>
    <w:rsid w:val="009915BF"/>
    <w:rsid w:val="00991B11"/>
    <w:rsid w:val="00991E33"/>
    <w:rsid w:val="00991F13"/>
    <w:rsid w:val="00992872"/>
    <w:rsid w:val="00992C32"/>
    <w:rsid w:val="00992F7F"/>
    <w:rsid w:val="00992F9C"/>
    <w:rsid w:val="00993F0B"/>
    <w:rsid w:val="00994177"/>
    <w:rsid w:val="0099464A"/>
    <w:rsid w:val="0099486E"/>
    <w:rsid w:val="009948AF"/>
    <w:rsid w:val="00994EDE"/>
    <w:rsid w:val="0099558D"/>
    <w:rsid w:val="009958E4"/>
    <w:rsid w:val="00996C95"/>
    <w:rsid w:val="00996D4B"/>
    <w:rsid w:val="009A0592"/>
    <w:rsid w:val="009A0EC7"/>
    <w:rsid w:val="009A1336"/>
    <w:rsid w:val="009A1557"/>
    <w:rsid w:val="009A1618"/>
    <w:rsid w:val="009A1792"/>
    <w:rsid w:val="009A1850"/>
    <w:rsid w:val="009A2DE9"/>
    <w:rsid w:val="009A4A01"/>
    <w:rsid w:val="009A50F8"/>
    <w:rsid w:val="009A51A7"/>
    <w:rsid w:val="009A5943"/>
    <w:rsid w:val="009A5A71"/>
    <w:rsid w:val="009A60A2"/>
    <w:rsid w:val="009A6EBE"/>
    <w:rsid w:val="009A7024"/>
    <w:rsid w:val="009A788B"/>
    <w:rsid w:val="009A78EB"/>
    <w:rsid w:val="009A7F2A"/>
    <w:rsid w:val="009B0258"/>
    <w:rsid w:val="009B0430"/>
    <w:rsid w:val="009B08B6"/>
    <w:rsid w:val="009B0F05"/>
    <w:rsid w:val="009B10FE"/>
    <w:rsid w:val="009B11D9"/>
    <w:rsid w:val="009B122B"/>
    <w:rsid w:val="009B1580"/>
    <w:rsid w:val="009B19D1"/>
    <w:rsid w:val="009B1C85"/>
    <w:rsid w:val="009B20A4"/>
    <w:rsid w:val="009B3118"/>
    <w:rsid w:val="009B37EC"/>
    <w:rsid w:val="009B3970"/>
    <w:rsid w:val="009B3A52"/>
    <w:rsid w:val="009B3B4E"/>
    <w:rsid w:val="009B3F3E"/>
    <w:rsid w:val="009B41E9"/>
    <w:rsid w:val="009B470A"/>
    <w:rsid w:val="009B4940"/>
    <w:rsid w:val="009B4B4B"/>
    <w:rsid w:val="009B6079"/>
    <w:rsid w:val="009B63CB"/>
    <w:rsid w:val="009B6B70"/>
    <w:rsid w:val="009B6E0B"/>
    <w:rsid w:val="009B7155"/>
    <w:rsid w:val="009B7FD5"/>
    <w:rsid w:val="009C0872"/>
    <w:rsid w:val="009C094D"/>
    <w:rsid w:val="009C0B42"/>
    <w:rsid w:val="009C1B37"/>
    <w:rsid w:val="009C1E5C"/>
    <w:rsid w:val="009C36D7"/>
    <w:rsid w:val="009C39A1"/>
    <w:rsid w:val="009C420D"/>
    <w:rsid w:val="009C4A2C"/>
    <w:rsid w:val="009C53B6"/>
    <w:rsid w:val="009C554B"/>
    <w:rsid w:val="009C56EE"/>
    <w:rsid w:val="009C5A25"/>
    <w:rsid w:val="009C5EF7"/>
    <w:rsid w:val="009C6458"/>
    <w:rsid w:val="009C6993"/>
    <w:rsid w:val="009C6BAD"/>
    <w:rsid w:val="009C6FBC"/>
    <w:rsid w:val="009C74CD"/>
    <w:rsid w:val="009D022E"/>
    <w:rsid w:val="009D0648"/>
    <w:rsid w:val="009D090B"/>
    <w:rsid w:val="009D096E"/>
    <w:rsid w:val="009D13F1"/>
    <w:rsid w:val="009D1757"/>
    <w:rsid w:val="009D2ED8"/>
    <w:rsid w:val="009D3599"/>
    <w:rsid w:val="009D3975"/>
    <w:rsid w:val="009D4232"/>
    <w:rsid w:val="009D459C"/>
    <w:rsid w:val="009D46D3"/>
    <w:rsid w:val="009D4A71"/>
    <w:rsid w:val="009D4F0E"/>
    <w:rsid w:val="009D5111"/>
    <w:rsid w:val="009D56EF"/>
    <w:rsid w:val="009D5890"/>
    <w:rsid w:val="009D6039"/>
    <w:rsid w:val="009D6086"/>
    <w:rsid w:val="009D62DD"/>
    <w:rsid w:val="009D6781"/>
    <w:rsid w:val="009D68F2"/>
    <w:rsid w:val="009D7B90"/>
    <w:rsid w:val="009D7DF4"/>
    <w:rsid w:val="009E10B1"/>
    <w:rsid w:val="009E1767"/>
    <w:rsid w:val="009E1B1B"/>
    <w:rsid w:val="009E2762"/>
    <w:rsid w:val="009E2A9A"/>
    <w:rsid w:val="009E2B81"/>
    <w:rsid w:val="009E5A3B"/>
    <w:rsid w:val="009E63A8"/>
    <w:rsid w:val="009E67D7"/>
    <w:rsid w:val="009E688B"/>
    <w:rsid w:val="009E68A6"/>
    <w:rsid w:val="009E751A"/>
    <w:rsid w:val="009E7717"/>
    <w:rsid w:val="009E7FF7"/>
    <w:rsid w:val="009F19AB"/>
    <w:rsid w:val="009F225F"/>
    <w:rsid w:val="009F22D2"/>
    <w:rsid w:val="009F2B93"/>
    <w:rsid w:val="009F32B5"/>
    <w:rsid w:val="009F3413"/>
    <w:rsid w:val="009F3545"/>
    <w:rsid w:val="009F496D"/>
    <w:rsid w:val="009F4A6C"/>
    <w:rsid w:val="009F591C"/>
    <w:rsid w:val="009F5CD0"/>
    <w:rsid w:val="009F6267"/>
    <w:rsid w:val="009F7084"/>
    <w:rsid w:val="009F7234"/>
    <w:rsid w:val="009F7CC6"/>
    <w:rsid w:val="009F7D52"/>
    <w:rsid w:val="00A00849"/>
    <w:rsid w:val="00A00F87"/>
    <w:rsid w:val="00A01048"/>
    <w:rsid w:val="00A02371"/>
    <w:rsid w:val="00A023B5"/>
    <w:rsid w:val="00A02B8B"/>
    <w:rsid w:val="00A02E78"/>
    <w:rsid w:val="00A03348"/>
    <w:rsid w:val="00A037DE"/>
    <w:rsid w:val="00A03E7E"/>
    <w:rsid w:val="00A040ED"/>
    <w:rsid w:val="00A0432A"/>
    <w:rsid w:val="00A0444B"/>
    <w:rsid w:val="00A0541E"/>
    <w:rsid w:val="00A05C56"/>
    <w:rsid w:val="00A06378"/>
    <w:rsid w:val="00A07AEE"/>
    <w:rsid w:val="00A07DAD"/>
    <w:rsid w:val="00A10B41"/>
    <w:rsid w:val="00A10C4F"/>
    <w:rsid w:val="00A10CE3"/>
    <w:rsid w:val="00A11BA2"/>
    <w:rsid w:val="00A11C2D"/>
    <w:rsid w:val="00A11DE3"/>
    <w:rsid w:val="00A11E7E"/>
    <w:rsid w:val="00A12089"/>
    <w:rsid w:val="00A12150"/>
    <w:rsid w:val="00A12289"/>
    <w:rsid w:val="00A12363"/>
    <w:rsid w:val="00A1275C"/>
    <w:rsid w:val="00A13AFA"/>
    <w:rsid w:val="00A13C5D"/>
    <w:rsid w:val="00A1453B"/>
    <w:rsid w:val="00A14F01"/>
    <w:rsid w:val="00A14FC4"/>
    <w:rsid w:val="00A1506D"/>
    <w:rsid w:val="00A151FC"/>
    <w:rsid w:val="00A15C9E"/>
    <w:rsid w:val="00A168DB"/>
    <w:rsid w:val="00A170A9"/>
    <w:rsid w:val="00A17443"/>
    <w:rsid w:val="00A20575"/>
    <w:rsid w:val="00A20642"/>
    <w:rsid w:val="00A207F9"/>
    <w:rsid w:val="00A20899"/>
    <w:rsid w:val="00A20C01"/>
    <w:rsid w:val="00A2126A"/>
    <w:rsid w:val="00A212BE"/>
    <w:rsid w:val="00A213E6"/>
    <w:rsid w:val="00A233B9"/>
    <w:rsid w:val="00A23687"/>
    <w:rsid w:val="00A23FD7"/>
    <w:rsid w:val="00A24187"/>
    <w:rsid w:val="00A24A60"/>
    <w:rsid w:val="00A24F44"/>
    <w:rsid w:val="00A25E62"/>
    <w:rsid w:val="00A26545"/>
    <w:rsid w:val="00A26B98"/>
    <w:rsid w:val="00A26C6C"/>
    <w:rsid w:val="00A27937"/>
    <w:rsid w:val="00A27AF3"/>
    <w:rsid w:val="00A306E7"/>
    <w:rsid w:val="00A30BE5"/>
    <w:rsid w:val="00A31509"/>
    <w:rsid w:val="00A3246F"/>
    <w:rsid w:val="00A324DF"/>
    <w:rsid w:val="00A32B2F"/>
    <w:rsid w:val="00A333BB"/>
    <w:rsid w:val="00A3478F"/>
    <w:rsid w:val="00A3488F"/>
    <w:rsid w:val="00A34A24"/>
    <w:rsid w:val="00A34B11"/>
    <w:rsid w:val="00A351D2"/>
    <w:rsid w:val="00A3564F"/>
    <w:rsid w:val="00A35D17"/>
    <w:rsid w:val="00A36B09"/>
    <w:rsid w:val="00A36EBC"/>
    <w:rsid w:val="00A374E9"/>
    <w:rsid w:val="00A377BC"/>
    <w:rsid w:val="00A37A6F"/>
    <w:rsid w:val="00A37AF1"/>
    <w:rsid w:val="00A407E2"/>
    <w:rsid w:val="00A40991"/>
    <w:rsid w:val="00A426D4"/>
    <w:rsid w:val="00A4277B"/>
    <w:rsid w:val="00A43914"/>
    <w:rsid w:val="00A43E2C"/>
    <w:rsid w:val="00A449BD"/>
    <w:rsid w:val="00A450DD"/>
    <w:rsid w:val="00A459AC"/>
    <w:rsid w:val="00A45CA8"/>
    <w:rsid w:val="00A45DB7"/>
    <w:rsid w:val="00A45E5C"/>
    <w:rsid w:val="00A46ECF"/>
    <w:rsid w:val="00A479BD"/>
    <w:rsid w:val="00A47A1D"/>
    <w:rsid w:val="00A47FC9"/>
    <w:rsid w:val="00A50CD4"/>
    <w:rsid w:val="00A5174D"/>
    <w:rsid w:val="00A52212"/>
    <w:rsid w:val="00A52580"/>
    <w:rsid w:val="00A52865"/>
    <w:rsid w:val="00A53174"/>
    <w:rsid w:val="00A53943"/>
    <w:rsid w:val="00A53996"/>
    <w:rsid w:val="00A545FD"/>
    <w:rsid w:val="00A546E0"/>
    <w:rsid w:val="00A54A36"/>
    <w:rsid w:val="00A54FC8"/>
    <w:rsid w:val="00A55138"/>
    <w:rsid w:val="00A55875"/>
    <w:rsid w:val="00A55D75"/>
    <w:rsid w:val="00A569C1"/>
    <w:rsid w:val="00A575F6"/>
    <w:rsid w:val="00A601F4"/>
    <w:rsid w:val="00A627A7"/>
    <w:rsid w:val="00A62BD0"/>
    <w:rsid w:val="00A63013"/>
    <w:rsid w:val="00A63591"/>
    <w:rsid w:val="00A63DA3"/>
    <w:rsid w:val="00A64679"/>
    <w:rsid w:val="00A64AA8"/>
    <w:rsid w:val="00A64F85"/>
    <w:rsid w:val="00A66014"/>
    <w:rsid w:val="00A663BC"/>
    <w:rsid w:val="00A6701F"/>
    <w:rsid w:val="00A670A0"/>
    <w:rsid w:val="00A6746E"/>
    <w:rsid w:val="00A70162"/>
    <w:rsid w:val="00A703AB"/>
    <w:rsid w:val="00A70585"/>
    <w:rsid w:val="00A70805"/>
    <w:rsid w:val="00A70DF6"/>
    <w:rsid w:val="00A72854"/>
    <w:rsid w:val="00A72AC3"/>
    <w:rsid w:val="00A732B5"/>
    <w:rsid w:val="00A73918"/>
    <w:rsid w:val="00A741D5"/>
    <w:rsid w:val="00A74B8C"/>
    <w:rsid w:val="00A75154"/>
    <w:rsid w:val="00A757C5"/>
    <w:rsid w:val="00A760B6"/>
    <w:rsid w:val="00A76D05"/>
    <w:rsid w:val="00A76EBD"/>
    <w:rsid w:val="00A77359"/>
    <w:rsid w:val="00A77BD0"/>
    <w:rsid w:val="00A77EFC"/>
    <w:rsid w:val="00A77F7B"/>
    <w:rsid w:val="00A80A5B"/>
    <w:rsid w:val="00A80E2D"/>
    <w:rsid w:val="00A81492"/>
    <w:rsid w:val="00A8152B"/>
    <w:rsid w:val="00A816C6"/>
    <w:rsid w:val="00A81BDE"/>
    <w:rsid w:val="00A81D7E"/>
    <w:rsid w:val="00A81E19"/>
    <w:rsid w:val="00A825D8"/>
    <w:rsid w:val="00A82C33"/>
    <w:rsid w:val="00A82FC6"/>
    <w:rsid w:val="00A83552"/>
    <w:rsid w:val="00A838BD"/>
    <w:rsid w:val="00A839BA"/>
    <w:rsid w:val="00A839D0"/>
    <w:rsid w:val="00A83FD0"/>
    <w:rsid w:val="00A84E20"/>
    <w:rsid w:val="00A85365"/>
    <w:rsid w:val="00A85768"/>
    <w:rsid w:val="00A858AD"/>
    <w:rsid w:val="00A85C28"/>
    <w:rsid w:val="00A874AE"/>
    <w:rsid w:val="00A874CB"/>
    <w:rsid w:val="00A87549"/>
    <w:rsid w:val="00A87979"/>
    <w:rsid w:val="00A9095E"/>
    <w:rsid w:val="00A90CC5"/>
    <w:rsid w:val="00A90E82"/>
    <w:rsid w:val="00A92725"/>
    <w:rsid w:val="00A92A2A"/>
    <w:rsid w:val="00A93A51"/>
    <w:rsid w:val="00A948EA"/>
    <w:rsid w:val="00A94958"/>
    <w:rsid w:val="00A95606"/>
    <w:rsid w:val="00A9575B"/>
    <w:rsid w:val="00A95834"/>
    <w:rsid w:val="00A9585D"/>
    <w:rsid w:val="00A961DB"/>
    <w:rsid w:val="00A96314"/>
    <w:rsid w:val="00A96745"/>
    <w:rsid w:val="00A96B9C"/>
    <w:rsid w:val="00AA0037"/>
    <w:rsid w:val="00AA070A"/>
    <w:rsid w:val="00AA1ED5"/>
    <w:rsid w:val="00AA29D5"/>
    <w:rsid w:val="00AA2BE2"/>
    <w:rsid w:val="00AA3E62"/>
    <w:rsid w:val="00AA4044"/>
    <w:rsid w:val="00AA5642"/>
    <w:rsid w:val="00AA5CA9"/>
    <w:rsid w:val="00AA5E9D"/>
    <w:rsid w:val="00AA6517"/>
    <w:rsid w:val="00AA7108"/>
    <w:rsid w:val="00AA7F92"/>
    <w:rsid w:val="00AB0C18"/>
    <w:rsid w:val="00AB1213"/>
    <w:rsid w:val="00AB2D7A"/>
    <w:rsid w:val="00AB3797"/>
    <w:rsid w:val="00AB4455"/>
    <w:rsid w:val="00AB465E"/>
    <w:rsid w:val="00AB47D4"/>
    <w:rsid w:val="00AB4A38"/>
    <w:rsid w:val="00AB4EA6"/>
    <w:rsid w:val="00AB55AE"/>
    <w:rsid w:val="00AB5827"/>
    <w:rsid w:val="00AB67DD"/>
    <w:rsid w:val="00AB6905"/>
    <w:rsid w:val="00AC06AF"/>
    <w:rsid w:val="00AC0D6B"/>
    <w:rsid w:val="00AC0E24"/>
    <w:rsid w:val="00AC17BD"/>
    <w:rsid w:val="00AC1AB2"/>
    <w:rsid w:val="00AC201D"/>
    <w:rsid w:val="00AC2117"/>
    <w:rsid w:val="00AC2AC0"/>
    <w:rsid w:val="00AC2F1E"/>
    <w:rsid w:val="00AC2FA5"/>
    <w:rsid w:val="00AC2FB5"/>
    <w:rsid w:val="00AC303F"/>
    <w:rsid w:val="00AC3A95"/>
    <w:rsid w:val="00AC3DB3"/>
    <w:rsid w:val="00AC4754"/>
    <w:rsid w:val="00AC47A8"/>
    <w:rsid w:val="00AC4CC9"/>
    <w:rsid w:val="00AC4D02"/>
    <w:rsid w:val="00AC4DAE"/>
    <w:rsid w:val="00AC5D0A"/>
    <w:rsid w:val="00AC5F56"/>
    <w:rsid w:val="00AC62CD"/>
    <w:rsid w:val="00AC70DD"/>
    <w:rsid w:val="00AC7D7F"/>
    <w:rsid w:val="00AC7EDC"/>
    <w:rsid w:val="00AD0D73"/>
    <w:rsid w:val="00AD1365"/>
    <w:rsid w:val="00AD1611"/>
    <w:rsid w:val="00AD1D1C"/>
    <w:rsid w:val="00AD1DF8"/>
    <w:rsid w:val="00AD1FAF"/>
    <w:rsid w:val="00AD29B0"/>
    <w:rsid w:val="00AD3497"/>
    <w:rsid w:val="00AD3881"/>
    <w:rsid w:val="00AD4167"/>
    <w:rsid w:val="00AD7016"/>
    <w:rsid w:val="00AD72C1"/>
    <w:rsid w:val="00AE0330"/>
    <w:rsid w:val="00AE051C"/>
    <w:rsid w:val="00AE1282"/>
    <w:rsid w:val="00AE18C8"/>
    <w:rsid w:val="00AE26AE"/>
    <w:rsid w:val="00AE2F48"/>
    <w:rsid w:val="00AE3A12"/>
    <w:rsid w:val="00AE3D19"/>
    <w:rsid w:val="00AE4733"/>
    <w:rsid w:val="00AE4855"/>
    <w:rsid w:val="00AE4AA6"/>
    <w:rsid w:val="00AE4CD6"/>
    <w:rsid w:val="00AE4D99"/>
    <w:rsid w:val="00AE5C84"/>
    <w:rsid w:val="00AE6959"/>
    <w:rsid w:val="00AE6A94"/>
    <w:rsid w:val="00AE7D92"/>
    <w:rsid w:val="00AF00F0"/>
    <w:rsid w:val="00AF021D"/>
    <w:rsid w:val="00AF031B"/>
    <w:rsid w:val="00AF04C7"/>
    <w:rsid w:val="00AF0851"/>
    <w:rsid w:val="00AF190D"/>
    <w:rsid w:val="00AF2CA1"/>
    <w:rsid w:val="00AF2E4D"/>
    <w:rsid w:val="00AF30E9"/>
    <w:rsid w:val="00AF3445"/>
    <w:rsid w:val="00AF39B2"/>
    <w:rsid w:val="00AF3BFE"/>
    <w:rsid w:val="00AF4419"/>
    <w:rsid w:val="00AF58F4"/>
    <w:rsid w:val="00AF6779"/>
    <w:rsid w:val="00AF75D8"/>
    <w:rsid w:val="00AF77B6"/>
    <w:rsid w:val="00AF7946"/>
    <w:rsid w:val="00AF7B89"/>
    <w:rsid w:val="00B00644"/>
    <w:rsid w:val="00B00D50"/>
    <w:rsid w:val="00B00F18"/>
    <w:rsid w:val="00B01012"/>
    <w:rsid w:val="00B01413"/>
    <w:rsid w:val="00B018FD"/>
    <w:rsid w:val="00B0194F"/>
    <w:rsid w:val="00B01CD8"/>
    <w:rsid w:val="00B02559"/>
    <w:rsid w:val="00B0299D"/>
    <w:rsid w:val="00B02B9B"/>
    <w:rsid w:val="00B02FE0"/>
    <w:rsid w:val="00B033AD"/>
    <w:rsid w:val="00B039E6"/>
    <w:rsid w:val="00B04C05"/>
    <w:rsid w:val="00B0516A"/>
    <w:rsid w:val="00B05399"/>
    <w:rsid w:val="00B055F8"/>
    <w:rsid w:val="00B05C19"/>
    <w:rsid w:val="00B06A1F"/>
    <w:rsid w:val="00B07185"/>
    <w:rsid w:val="00B07A0F"/>
    <w:rsid w:val="00B07D7D"/>
    <w:rsid w:val="00B07FF2"/>
    <w:rsid w:val="00B10015"/>
    <w:rsid w:val="00B101BC"/>
    <w:rsid w:val="00B11170"/>
    <w:rsid w:val="00B11305"/>
    <w:rsid w:val="00B1135B"/>
    <w:rsid w:val="00B11836"/>
    <w:rsid w:val="00B11E6D"/>
    <w:rsid w:val="00B1242A"/>
    <w:rsid w:val="00B12705"/>
    <w:rsid w:val="00B131DE"/>
    <w:rsid w:val="00B13886"/>
    <w:rsid w:val="00B13CCF"/>
    <w:rsid w:val="00B14238"/>
    <w:rsid w:val="00B14302"/>
    <w:rsid w:val="00B144D0"/>
    <w:rsid w:val="00B14B89"/>
    <w:rsid w:val="00B15DC1"/>
    <w:rsid w:val="00B16ACE"/>
    <w:rsid w:val="00B173E7"/>
    <w:rsid w:val="00B17D4E"/>
    <w:rsid w:val="00B17D6E"/>
    <w:rsid w:val="00B203C8"/>
    <w:rsid w:val="00B21022"/>
    <w:rsid w:val="00B2164B"/>
    <w:rsid w:val="00B21D9C"/>
    <w:rsid w:val="00B226F7"/>
    <w:rsid w:val="00B2356F"/>
    <w:rsid w:val="00B23918"/>
    <w:rsid w:val="00B250DF"/>
    <w:rsid w:val="00B25EC9"/>
    <w:rsid w:val="00B26EB7"/>
    <w:rsid w:val="00B273E7"/>
    <w:rsid w:val="00B27DB9"/>
    <w:rsid w:val="00B303D0"/>
    <w:rsid w:val="00B3122A"/>
    <w:rsid w:val="00B32B6D"/>
    <w:rsid w:val="00B33957"/>
    <w:rsid w:val="00B34B93"/>
    <w:rsid w:val="00B34E82"/>
    <w:rsid w:val="00B3564F"/>
    <w:rsid w:val="00B3566D"/>
    <w:rsid w:val="00B35851"/>
    <w:rsid w:val="00B35C93"/>
    <w:rsid w:val="00B3665C"/>
    <w:rsid w:val="00B36694"/>
    <w:rsid w:val="00B36728"/>
    <w:rsid w:val="00B36782"/>
    <w:rsid w:val="00B3754A"/>
    <w:rsid w:val="00B37916"/>
    <w:rsid w:val="00B37A7A"/>
    <w:rsid w:val="00B37C54"/>
    <w:rsid w:val="00B37E7E"/>
    <w:rsid w:val="00B408C0"/>
    <w:rsid w:val="00B40AFB"/>
    <w:rsid w:val="00B40FB7"/>
    <w:rsid w:val="00B41F7C"/>
    <w:rsid w:val="00B4202B"/>
    <w:rsid w:val="00B42082"/>
    <w:rsid w:val="00B4232F"/>
    <w:rsid w:val="00B44869"/>
    <w:rsid w:val="00B44F12"/>
    <w:rsid w:val="00B44FBA"/>
    <w:rsid w:val="00B450F0"/>
    <w:rsid w:val="00B452C2"/>
    <w:rsid w:val="00B45400"/>
    <w:rsid w:val="00B46230"/>
    <w:rsid w:val="00B46828"/>
    <w:rsid w:val="00B46996"/>
    <w:rsid w:val="00B469D4"/>
    <w:rsid w:val="00B46B5A"/>
    <w:rsid w:val="00B46B72"/>
    <w:rsid w:val="00B47A20"/>
    <w:rsid w:val="00B47EA2"/>
    <w:rsid w:val="00B47F5B"/>
    <w:rsid w:val="00B500FC"/>
    <w:rsid w:val="00B5097D"/>
    <w:rsid w:val="00B5137C"/>
    <w:rsid w:val="00B51652"/>
    <w:rsid w:val="00B5185C"/>
    <w:rsid w:val="00B5187D"/>
    <w:rsid w:val="00B51A33"/>
    <w:rsid w:val="00B51B6F"/>
    <w:rsid w:val="00B526A0"/>
    <w:rsid w:val="00B55249"/>
    <w:rsid w:val="00B557DC"/>
    <w:rsid w:val="00B559D1"/>
    <w:rsid w:val="00B55BE7"/>
    <w:rsid w:val="00B56688"/>
    <w:rsid w:val="00B56B92"/>
    <w:rsid w:val="00B56D41"/>
    <w:rsid w:val="00B56EBD"/>
    <w:rsid w:val="00B57E8A"/>
    <w:rsid w:val="00B6008A"/>
    <w:rsid w:val="00B60A04"/>
    <w:rsid w:val="00B613B7"/>
    <w:rsid w:val="00B61A7E"/>
    <w:rsid w:val="00B61F82"/>
    <w:rsid w:val="00B6201D"/>
    <w:rsid w:val="00B622C9"/>
    <w:rsid w:val="00B62E13"/>
    <w:rsid w:val="00B633BB"/>
    <w:rsid w:val="00B6359A"/>
    <w:rsid w:val="00B636C7"/>
    <w:rsid w:val="00B6407B"/>
    <w:rsid w:val="00B641E1"/>
    <w:rsid w:val="00B64246"/>
    <w:rsid w:val="00B64433"/>
    <w:rsid w:val="00B65044"/>
    <w:rsid w:val="00B652C0"/>
    <w:rsid w:val="00B66617"/>
    <w:rsid w:val="00B66862"/>
    <w:rsid w:val="00B67E39"/>
    <w:rsid w:val="00B70466"/>
    <w:rsid w:val="00B7105C"/>
    <w:rsid w:val="00B7161C"/>
    <w:rsid w:val="00B71E82"/>
    <w:rsid w:val="00B71FBE"/>
    <w:rsid w:val="00B7268A"/>
    <w:rsid w:val="00B72731"/>
    <w:rsid w:val="00B728C5"/>
    <w:rsid w:val="00B72BC9"/>
    <w:rsid w:val="00B72C52"/>
    <w:rsid w:val="00B72C9C"/>
    <w:rsid w:val="00B72CBE"/>
    <w:rsid w:val="00B7352A"/>
    <w:rsid w:val="00B744C5"/>
    <w:rsid w:val="00B74794"/>
    <w:rsid w:val="00B74A01"/>
    <w:rsid w:val="00B74DF2"/>
    <w:rsid w:val="00B766EB"/>
    <w:rsid w:val="00B76AC2"/>
    <w:rsid w:val="00B77D08"/>
    <w:rsid w:val="00B80026"/>
    <w:rsid w:val="00B800D6"/>
    <w:rsid w:val="00B80334"/>
    <w:rsid w:val="00B80794"/>
    <w:rsid w:val="00B80BFD"/>
    <w:rsid w:val="00B80D96"/>
    <w:rsid w:val="00B81579"/>
    <w:rsid w:val="00B817DC"/>
    <w:rsid w:val="00B823E2"/>
    <w:rsid w:val="00B82B18"/>
    <w:rsid w:val="00B83BB1"/>
    <w:rsid w:val="00B83E24"/>
    <w:rsid w:val="00B83F34"/>
    <w:rsid w:val="00B841FF"/>
    <w:rsid w:val="00B84AC2"/>
    <w:rsid w:val="00B84EEA"/>
    <w:rsid w:val="00B850F0"/>
    <w:rsid w:val="00B854AF"/>
    <w:rsid w:val="00B857F6"/>
    <w:rsid w:val="00B85EB0"/>
    <w:rsid w:val="00B865BA"/>
    <w:rsid w:val="00B90119"/>
    <w:rsid w:val="00B90863"/>
    <w:rsid w:val="00B91AF6"/>
    <w:rsid w:val="00B91F15"/>
    <w:rsid w:val="00B922D5"/>
    <w:rsid w:val="00B92919"/>
    <w:rsid w:val="00B92966"/>
    <w:rsid w:val="00B92AAF"/>
    <w:rsid w:val="00B930BF"/>
    <w:rsid w:val="00B93213"/>
    <w:rsid w:val="00B937A7"/>
    <w:rsid w:val="00B93BFC"/>
    <w:rsid w:val="00B94413"/>
    <w:rsid w:val="00B961CE"/>
    <w:rsid w:val="00B9622E"/>
    <w:rsid w:val="00B96B10"/>
    <w:rsid w:val="00B97245"/>
    <w:rsid w:val="00B9793A"/>
    <w:rsid w:val="00B97AE8"/>
    <w:rsid w:val="00B97E74"/>
    <w:rsid w:val="00B97F90"/>
    <w:rsid w:val="00BA0767"/>
    <w:rsid w:val="00BA0C62"/>
    <w:rsid w:val="00BA12D6"/>
    <w:rsid w:val="00BA13D2"/>
    <w:rsid w:val="00BA160A"/>
    <w:rsid w:val="00BA386A"/>
    <w:rsid w:val="00BA3ABE"/>
    <w:rsid w:val="00BA44B9"/>
    <w:rsid w:val="00BA4A50"/>
    <w:rsid w:val="00BA4AB6"/>
    <w:rsid w:val="00BA4AC0"/>
    <w:rsid w:val="00BA5618"/>
    <w:rsid w:val="00BA5BE3"/>
    <w:rsid w:val="00BA5E46"/>
    <w:rsid w:val="00BA5E85"/>
    <w:rsid w:val="00BA64C6"/>
    <w:rsid w:val="00BA66A1"/>
    <w:rsid w:val="00BA7387"/>
    <w:rsid w:val="00BA7562"/>
    <w:rsid w:val="00BA7AEB"/>
    <w:rsid w:val="00BA7F1D"/>
    <w:rsid w:val="00BB015A"/>
    <w:rsid w:val="00BB03FB"/>
    <w:rsid w:val="00BB063A"/>
    <w:rsid w:val="00BB0871"/>
    <w:rsid w:val="00BB1ECD"/>
    <w:rsid w:val="00BB27B9"/>
    <w:rsid w:val="00BB2CE1"/>
    <w:rsid w:val="00BB30AA"/>
    <w:rsid w:val="00BB33E7"/>
    <w:rsid w:val="00BB3667"/>
    <w:rsid w:val="00BB389E"/>
    <w:rsid w:val="00BB3CE8"/>
    <w:rsid w:val="00BB3DFA"/>
    <w:rsid w:val="00BB4004"/>
    <w:rsid w:val="00BB4E48"/>
    <w:rsid w:val="00BB5075"/>
    <w:rsid w:val="00BB533D"/>
    <w:rsid w:val="00BB6499"/>
    <w:rsid w:val="00BB71DA"/>
    <w:rsid w:val="00BB7679"/>
    <w:rsid w:val="00BB7F5B"/>
    <w:rsid w:val="00BC010B"/>
    <w:rsid w:val="00BC1AAB"/>
    <w:rsid w:val="00BC1CD6"/>
    <w:rsid w:val="00BC20BA"/>
    <w:rsid w:val="00BC27C8"/>
    <w:rsid w:val="00BC495A"/>
    <w:rsid w:val="00BC4C4C"/>
    <w:rsid w:val="00BC4D95"/>
    <w:rsid w:val="00BC4E31"/>
    <w:rsid w:val="00BC4E65"/>
    <w:rsid w:val="00BC4EB5"/>
    <w:rsid w:val="00BC4ED1"/>
    <w:rsid w:val="00BC56B6"/>
    <w:rsid w:val="00BC5BF3"/>
    <w:rsid w:val="00BC6420"/>
    <w:rsid w:val="00BC6465"/>
    <w:rsid w:val="00BC6852"/>
    <w:rsid w:val="00BC6E58"/>
    <w:rsid w:val="00BC7123"/>
    <w:rsid w:val="00BC7741"/>
    <w:rsid w:val="00BC7EDE"/>
    <w:rsid w:val="00BD00F4"/>
    <w:rsid w:val="00BD0415"/>
    <w:rsid w:val="00BD0EBF"/>
    <w:rsid w:val="00BD2133"/>
    <w:rsid w:val="00BD2529"/>
    <w:rsid w:val="00BD25AC"/>
    <w:rsid w:val="00BD3B9E"/>
    <w:rsid w:val="00BD4555"/>
    <w:rsid w:val="00BD46D0"/>
    <w:rsid w:val="00BD492B"/>
    <w:rsid w:val="00BD4EB4"/>
    <w:rsid w:val="00BD5AD2"/>
    <w:rsid w:val="00BD5E6E"/>
    <w:rsid w:val="00BD6A48"/>
    <w:rsid w:val="00BD6CA5"/>
    <w:rsid w:val="00BD7A95"/>
    <w:rsid w:val="00BD7F47"/>
    <w:rsid w:val="00BE02B1"/>
    <w:rsid w:val="00BE16A8"/>
    <w:rsid w:val="00BE1AA1"/>
    <w:rsid w:val="00BE1C36"/>
    <w:rsid w:val="00BE27FE"/>
    <w:rsid w:val="00BE35D3"/>
    <w:rsid w:val="00BE42F0"/>
    <w:rsid w:val="00BE4C02"/>
    <w:rsid w:val="00BE6092"/>
    <w:rsid w:val="00BE60DA"/>
    <w:rsid w:val="00BE6E78"/>
    <w:rsid w:val="00BF02D9"/>
    <w:rsid w:val="00BF0766"/>
    <w:rsid w:val="00BF0778"/>
    <w:rsid w:val="00BF0873"/>
    <w:rsid w:val="00BF0A11"/>
    <w:rsid w:val="00BF0DC0"/>
    <w:rsid w:val="00BF0E2C"/>
    <w:rsid w:val="00BF332B"/>
    <w:rsid w:val="00BF44A9"/>
    <w:rsid w:val="00BF4F71"/>
    <w:rsid w:val="00BF5764"/>
    <w:rsid w:val="00BF5872"/>
    <w:rsid w:val="00BF5C54"/>
    <w:rsid w:val="00BF5F99"/>
    <w:rsid w:val="00BF621B"/>
    <w:rsid w:val="00BF6995"/>
    <w:rsid w:val="00BF7D8E"/>
    <w:rsid w:val="00C00392"/>
    <w:rsid w:val="00C003F7"/>
    <w:rsid w:val="00C007EB"/>
    <w:rsid w:val="00C01095"/>
    <w:rsid w:val="00C0205D"/>
    <w:rsid w:val="00C0222D"/>
    <w:rsid w:val="00C0277B"/>
    <w:rsid w:val="00C031F7"/>
    <w:rsid w:val="00C0352F"/>
    <w:rsid w:val="00C039CD"/>
    <w:rsid w:val="00C0400C"/>
    <w:rsid w:val="00C05088"/>
    <w:rsid w:val="00C050B3"/>
    <w:rsid w:val="00C059CA"/>
    <w:rsid w:val="00C05A33"/>
    <w:rsid w:val="00C05E1E"/>
    <w:rsid w:val="00C06C4D"/>
    <w:rsid w:val="00C06DA9"/>
    <w:rsid w:val="00C06E16"/>
    <w:rsid w:val="00C06E8F"/>
    <w:rsid w:val="00C070CB"/>
    <w:rsid w:val="00C07CAF"/>
    <w:rsid w:val="00C10405"/>
    <w:rsid w:val="00C104E4"/>
    <w:rsid w:val="00C10944"/>
    <w:rsid w:val="00C11160"/>
    <w:rsid w:val="00C1202A"/>
    <w:rsid w:val="00C123FC"/>
    <w:rsid w:val="00C138FC"/>
    <w:rsid w:val="00C13B71"/>
    <w:rsid w:val="00C14978"/>
    <w:rsid w:val="00C165CF"/>
    <w:rsid w:val="00C16607"/>
    <w:rsid w:val="00C16A3A"/>
    <w:rsid w:val="00C16C46"/>
    <w:rsid w:val="00C16D9D"/>
    <w:rsid w:val="00C17271"/>
    <w:rsid w:val="00C17E82"/>
    <w:rsid w:val="00C21F15"/>
    <w:rsid w:val="00C22614"/>
    <w:rsid w:val="00C240FA"/>
    <w:rsid w:val="00C24226"/>
    <w:rsid w:val="00C2595B"/>
    <w:rsid w:val="00C25D68"/>
    <w:rsid w:val="00C25F40"/>
    <w:rsid w:val="00C262DA"/>
    <w:rsid w:val="00C264EC"/>
    <w:rsid w:val="00C268C4"/>
    <w:rsid w:val="00C272D2"/>
    <w:rsid w:val="00C27512"/>
    <w:rsid w:val="00C301C4"/>
    <w:rsid w:val="00C309A2"/>
    <w:rsid w:val="00C30EB2"/>
    <w:rsid w:val="00C31B80"/>
    <w:rsid w:val="00C324CB"/>
    <w:rsid w:val="00C32635"/>
    <w:rsid w:val="00C32D16"/>
    <w:rsid w:val="00C3344C"/>
    <w:rsid w:val="00C336DE"/>
    <w:rsid w:val="00C34257"/>
    <w:rsid w:val="00C343A9"/>
    <w:rsid w:val="00C347CE"/>
    <w:rsid w:val="00C3567C"/>
    <w:rsid w:val="00C35CA8"/>
    <w:rsid w:val="00C363D8"/>
    <w:rsid w:val="00C3661D"/>
    <w:rsid w:val="00C366C6"/>
    <w:rsid w:val="00C36EF6"/>
    <w:rsid w:val="00C37062"/>
    <w:rsid w:val="00C37BC2"/>
    <w:rsid w:val="00C401E1"/>
    <w:rsid w:val="00C40B0A"/>
    <w:rsid w:val="00C414C4"/>
    <w:rsid w:val="00C41ACA"/>
    <w:rsid w:val="00C41AE3"/>
    <w:rsid w:val="00C41B5D"/>
    <w:rsid w:val="00C42118"/>
    <w:rsid w:val="00C42DB9"/>
    <w:rsid w:val="00C4339C"/>
    <w:rsid w:val="00C43C22"/>
    <w:rsid w:val="00C43FD6"/>
    <w:rsid w:val="00C44551"/>
    <w:rsid w:val="00C44A83"/>
    <w:rsid w:val="00C44CF6"/>
    <w:rsid w:val="00C4517C"/>
    <w:rsid w:val="00C45493"/>
    <w:rsid w:val="00C45557"/>
    <w:rsid w:val="00C459F1"/>
    <w:rsid w:val="00C45AF6"/>
    <w:rsid w:val="00C46064"/>
    <w:rsid w:val="00C465B1"/>
    <w:rsid w:val="00C46D89"/>
    <w:rsid w:val="00C47AC7"/>
    <w:rsid w:val="00C5096F"/>
    <w:rsid w:val="00C50D2D"/>
    <w:rsid w:val="00C51904"/>
    <w:rsid w:val="00C52059"/>
    <w:rsid w:val="00C52503"/>
    <w:rsid w:val="00C52C4F"/>
    <w:rsid w:val="00C5311A"/>
    <w:rsid w:val="00C534F3"/>
    <w:rsid w:val="00C53C0B"/>
    <w:rsid w:val="00C54941"/>
    <w:rsid w:val="00C54EFB"/>
    <w:rsid w:val="00C55B61"/>
    <w:rsid w:val="00C55E20"/>
    <w:rsid w:val="00C55ED4"/>
    <w:rsid w:val="00C5608A"/>
    <w:rsid w:val="00C5709E"/>
    <w:rsid w:val="00C5753D"/>
    <w:rsid w:val="00C60C95"/>
    <w:rsid w:val="00C614C0"/>
    <w:rsid w:val="00C6157D"/>
    <w:rsid w:val="00C61D90"/>
    <w:rsid w:val="00C61E00"/>
    <w:rsid w:val="00C6273D"/>
    <w:rsid w:val="00C62953"/>
    <w:rsid w:val="00C629C5"/>
    <w:rsid w:val="00C62D10"/>
    <w:rsid w:val="00C632A0"/>
    <w:rsid w:val="00C633F7"/>
    <w:rsid w:val="00C63487"/>
    <w:rsid w:val="00C63612"/>
    <w:rsid w:val="00C63BCA"/>
    <w:rsid w:val="00C647D1"/>
    <w:rsid w:val="00C64E63"/>
    <w:rsid w:val="00C64ED4"/>
    <w:rsid w:val="00C655D9"/>
    <w:rsid w:val="00C656A8"/>
    <w:rsid w:val="00C65E7C"/>
    <w:rsid w:val="00C66932"/>
    <w:rsid w:val="00C66C57"/>
    <w:rsid w:val="00C66D56"/>
    <w:rsid w:val="00C674C6"/>
    <w:rsid w:val="00C67F3F"/>
    <w:rsid w:val="00C70D54"/>
    <w:rsid w:val="00C71257"/>
    <w:rsid w:val="00C72312"/>
    <w:rsid w:val="00C7270A"/>
    <w:rsid w:val="00C72F7D"/>
    <w:rsid w:val="00C73125"/>
    <w:rsid w:val="00C7330C"/>
    <w:rsid w:val="00C733DE"/>
    <w:rsid w:val="00C73BB2"/>
    <w:rsid w:val="00C73D6A"/>
    <w:rsid w:val="00C740E8"/>
    <w:rsid w:val="00C74635"/>
    <w:rsid w:val="00C74721"/>
    <w:rsid w:val="00C75A6B"/>
    <w:rsid w:val="00C76722"/>
    <w:rsid w:val="00C76AA0"/>
    <w:rsid w:val="00C76B50"/>
    <w:rsid w:val="00C76C53"/>
    <w:rsid w:val="00C76D2F"/>
    <w:rsid w:val="00C7744C"/>
    <w:rsid w:val="00C7754A"/>
    <w:rsid w:val="00C77C0E"/>
    <w:rsid w:val="00C80735"/>
    <w:rsid w:val="00C80A01"/>
    <w:rsid w:val="00C8112B"/>
    <w:rsid w:val="00C8162E"/>
    <w:rsid w:val="00C818B9"/>
    <w:rsid w:val="00C81F45"/>
    <w:rsid w:val="00C825AD"/>
    <w:rsid w:val="00C82D92"/>
    <w:rsid w:val="00C83371"/>
    <w:rsid w:val="00C8394D"/>
    <w:rsid w:val="00C83D6E"/>
    <w:rsid w:val="00C84EDE"/>
    <w:rsid w:val="00C854A2"/>
    <w:rsid w:val="00C85A6A"/>
    <w:rsid w:val="00C862DF"/>
    <w:rsid w:val="00C86E28"/>
    <w:rsid w:val="00C86F77"/>
    <w:rsid w:val="00C87C48"/>
    <w:rsid w:val="00C90559"/>
    <w:rsid w:val="00C90B8E"/>
    <w:rsid w:val="00C90DFA"/>
    <w:rsid w:val="00C91004"/>
    <w:rsid w:val="00C91012"/>
    <w:rsid w:val="00C91D59"/>
    <w:rsid w:val="00C92B0F"/>
    <w:rsid w:val="00C93CC4"/>
    <w:rsid w:val="00C93F12"/>
    <w:rsid w:val="00C94B16"/>
    <w:rsid w:val="00C95641"/>
    <w:rsid w:val="00C95F62"/>
    <w:rsid w:val="00C9604E"/>
    <w:rsid w:val="00C96887"/>
    <w:rsid w:val="00C971C1"/>
    <w:rsid w:val="00C97718"/>
    <w:rsid w:val="00C97DE1"/>
    <w:rsid w:val="00CA0A62"/>
    <w:rsid w:val="00CA0BDE"/>
    <w:rsid w:val="00CA15ED"/>
    <w:rsid w:val="00CA1EB9"/>
    <w:rsid w:val="00CA285D"/>
    <w:rsid w:val="00CA2985"/>
    <w:rsid w:val="00CA2C4B"/>
    <w:rsid w:val="00CA34F5"/>
    <w:rsid w:val="00CA3B78"/>
    <w:rsid w:val="00CA3C52"/>
    <w:rsid w:val="00CA3D4C"/>
    <w:rsid w:val="00CA3E70"/>
    <w:rsid w:val="00CA4D0E"/>
    <w:rsid w:val="00CA5576"/>
    <w:rsid w:val="00CA5711"/>
    <w:rsid w:val="00CA5F11"/>
    <w:rsid w:val="00CA62F9"/>
    <w:rsid w:val="00CA6793"/>
    <w:rsid w:val="00CA6888"/>
    <w:rsid w:val="00CA6ACA"/>
    <w:rsid w:val="00CA6DAE"/>
    <w:rsid w:val="00CA7D8E"/>
    <w:rsid w:val="00CB0490"/>
    <w:rsid w:val="00CB093D"/>
    <w:rsid w:val="00CB0C04"/>
    <w:rsid w:val="00CB1665"/>
    <w:rsid w:val="00CB296F"/>
    <w:rsid w:val="00CB379C"/>
    <w:rsid w:val="00CB3F2E"/>
    <w:rsid w:val="00CB401F"/>
    <w:rsid w:val="00CB4618"/>
    <w:rsid w:val="00CB4E5A"/>
    <w:rsid w:val="00CB515A"/>
    <w:rsid w:val="00CB6C04"/>
    <w:rsid w:val="00CB6CB8"/>
    <w:rsid w:val="00CB6DFC"/>
    <w:rsid w:val="00CB77E1"/>
    <w:rsid w:val="00CC02E5"/>
    <w:rsid w:val="00CC0CE5"/>
    <w:rsid w:val="00CC136C"/>
    <w:rsid w:val="00CC1DAD"/>
    <w:rsid w:val="00CC1E15"/>
    <w:rsid w:val="00CC204C"/>
    <w:rsid w:val="00CC26D3"/>
    <w:rsid w:val="00CC286F"/>
    <w:rsid w:val="00CC29B4"/>
    <w:rsid w:val="00CC306F"/>
    <w:rsid w:val="00CC3512"/>
    <w:rsid w:val="00CC3B82"/>
    <w:rsid w:val="00CC3B92"/>
    <w:rsid w:val="00CC3DBA"/>
    <w:rsid w:val="00CC4108"/>
    <w:rsid w:val="00CC41EE"/>
    <w:rsid w:val="00CC4326"/>
    <w:rsid w:val="00CC4596"/>
    <w:rsid w:val="00CC4D00"/>
    <w:rsid w:val="00CC5590"/>
    <w:rsid w:val="00CC5754"/>
    <w:rsid w:val="00CC5EBC"/>
    <w:rsid w:val="00CC62BD"/>
    <w:rsid w:val="00CC69AC"/>
    <w:rsid w:val="00CC6DEF"/>
    <w:rsid w:val="00CC71D7"/>
    <w:rsid w:val="00CC738F"/>
    <w:rsid w:val="00CD1669"/>
    <w:rsid w:val="00CD19EF"/>
    <w:rsid w:val="00CD31ED"/>
    <w:rsid w:val="00CD3614"/>
    <w:rsid w:val="00CD3A6F"/>
    <w:rsid w:val="00CD3AC5"/>
    <w:rsid w:val="00CD426A"/>
    <w:rsid w:val="00CD4E52"/>
    <w:rsid w:val="00CD50B5"/>
    <w:rsid w:val="00CD5274"/>
    <w:rsid w:val="00CD52B9"/>
    <w:rsid w:val="00CD6A0A"/>
    <w:rsid w:val="00CD6ADD"/>
    <w:rsid w:val="00CD7047"/>
    <w:rsid w:val="00CD7B82"/>
    <w:rsid w:val="00CD7C09"/>
    <w:rsid w:val="00CE00AF"/>
    <w:rsid w:val="00CE142E"/>
    <w:rsid w:val="00CE16D6"/>
    <w:rsid w:val="00CE176F"/>
    <w:rsid w:val="00CE17E9"/>
    <w:rsid w:val="00CE3376"/>
    <w:rsid w:val="00CE417E"/>
    <w:rsid w:val="00CE4D2C"/>
    <w:rsid w:val="00CE4ED4"/>
    <w:rsid w:val="00CE54ED"/>
    <w:rsid w:val="00CE59E2"/>
    <w:rsid w:val="00CE5B50"/>
    <w:rsid w:val="00CE6380"/>
    <w:rsid w:val="00CE6B5A"/>
    <w:rsid w:val="00CE7BE6"/>
    <w:rsid w:val="00CE7F94"/>
    <w:rsid w:val="00CF0060"/>
    <w:rsid w:val="00CF20A9"/>
    <w:rsid w:val="00CF20C0"/>
    <w:rsid w:val="00CF2572"/>
    <w:rsid w:val="00CF2A52"/>
    <w:rsid w:val="00CF44F9"/>
    <w:rsid w:val="00CF47E7"/>
    <w:rsid w:val="00CF518F"/>
    <w:rsid w:val="00CF59E8"/>
    <w:rsid w:val="00CF5B73"/>
    <w:rsid w:val="00CF5C93"/>
    <w:rsid w:val="00CF68E9"/>
    <w:rsid w:val="00CF6A3C"/>
    <w:rsid w:val="00CF754C"/>
    <w:rsid w:val="00CF7CE1"/>
    <w:rsid w:val="00CF7EFC"/>
    <w:rsid w:val="00D0025E"/>
    <w:rsid w:val="00D0138B"/>
    <w:rsid w:val="00D0161D"/>
    <w:rsid w:val="00D019A6"/>
    <w:rsid w:val="00D02204"/>
    <w:rsid w:val="00D039C4"/>
    <w:rsid w:val="00D04056"/>
    <w:rsid w:val="00D05283"/>
    <w:rsid w:val="00D05331"/>
    <w:rsid w:val="00D053A1"/>
    <w:rsid w:val="00D061D3"/>
    <w:rsid w:val="00D06401"/>
    <w:rsid w:val="00D07EF0"/>
    <w:rsid w:val="00D106CB"/>
    <w:rsid w:val="00D1091C"/>
    <w:rsid w:val="00D11937"/>
    <w:rsid w:val="00D11E27"/>
    <w:rsid w:val="00D11EBF"/>
    <w:rsid w:val="00D12D8D"/>
    <w:rsid w:val="00D12F08"/>
    <w:rsid w:val="00D132CB"/>
    <w:rsid w:val="00D13B1C"/>
    <w:rsid w:val="00D14F86"/>
    <w:rsid w:val="00D153A5"/>
    <w:rsid w:val="00D157CD"/>
    <w:rsid w:val="00D160B5"/>
    <w:rsid w:val="00D163BD"/>
    <w:rsid w:val="00D16571"/>
    <w:rsid w:val="00D16DA5"/>
    <w:rsid w:val="00D209FF"/>
    <w:rsid w:val="00D20A1D"/>
    <w:rsid w:val="00D20BB7"/>
    <w:rsid w:val="00D20D66"/>
    <w:rsid w:val="00D20FD5"/>
    <w:rsid w:val="00D214E2"/>
    <w:rsid w:val="00D218C5"/>
    <w:rsid w:val="00D21DAE"/>
    <w:rsid w:val="00D22113"/>
    <w:rsid w:val="00D229A4"/>
    <w:rsid w:val="00D22EF9"/>
    <w:rsid w:val="00D23837"/>
    <w:rsid w:val="00D23FDE"/>
    <w:rsid w:val="00D24149"/>
    <w:rsid w:val="00D245AD"/>
    <w:rsid w:val="00D2490B"/>
    <w:rsid w:val="00D24F7C"/>
    <w:rsid w:val="00D2593F"/>
    <w:rsid w:val="00D25EDD"/>
    <w:rsid w:val="00D26CA2"/>
    <w:rsid w:val="00D27B24"/>
    <w:rsid w:val="00D3001A"/>
    <w:rsid w:val="00D3009E"/>
    <w:rsid w:val="00D3068B"/>
    <w:rsid w:val="00D31F56"/>
    <w:rsid w:val="00D3211F"/>
    <w:rsid w:val="00D32AB4"/>
    <w:rsid w:val="00D335B0"/>
    <w:rsid w:val="00D340D4"/>
    <w:rsid w:val="00D34107"/>
    <w:rsid w:val="00D345D9"/>
    <w:rsid w:val="00D34A3C"/>
    <w:rsid w:val="00D3502D"/>
    <w:rsid w:val="00D358AC"/>
    <w:rsid w:val="00D358E4"/>
    <w:rsid w:val="00D35C82"/>
    <w:rsid w:val="00D36294"/>
    <w:rsid w:val="00D36498"/>
    <w:rsid w:val="00D36EF0"/>
    <w:rsid w:val="00D37166"/>
    <w:rsid w:val="00D371E1"/>
    <w:rsid w:val="00D3779C"/>
    <w:rsid w:val="00D37AA6"/>
    <w:rsid w:val="00D37AC9"/>
    <w:rsid w:val="00D400FB"/>
    <w:rsid w:val="00D40A49"/>
    <w:rsid w:val="00D40FDF"/>
    <w:rsid w:val="00D410EF"/>
    <w:rsid w:val="00D41502"/>
    <w:rsid w:val="00D41CC8"/>
    <w:rsid w:val="00D41E06"/>
    <w:rsid w:val="00D41EBA"/>
    <w:rsid w:val="00D425B4"/>
    <w:rsid w:val="00D426B4"/>
    <w:rsid w:val="00D42A8B"/>
    <w:rsid w:val="00D43B50"/>
    <w:rsid w:val="00D43B86"/>
    <w:rsid w:val="00D43C69"/>
    <w:rsid w:val="00D4424A"/>
    <w:rsid w:val="00D44764"/>
    <w:rsid w:val="00D44B88"/>
    <w:rsid w:val="00D44E22"/>
    <w:rsid w:val="00D45A77"/>
    <w:rsid w:val="00D45FD7"/>
    <w:rsid w:val="00D464D2"/>
    <w:rsid w:val="00D46844"/>
    <w:rsid w:val="00D47A77"/>
    <w:rsid w:val="00D47B34"/>
    <w:rsid w:val="00D47B5E"/>
    <w:rsid w:val="00D47C3B"/>
    <w:rsid w:val="00D47C3C"/>
    <w:rsid w:val="00D50229"/>
    <w:rsid w:val="00D509E9"/>
    <w:rsid w:val="00D50ECB"/>
    <w:rsid w:val="00D50F0C"/>
    <w:rsid w:val="00D516DA"/>
    <w:rsid w:val="00D51721"/>
    <w:rsid w:val="00D517F7"/>
    <w:rsid w:val="00D52F5D"/>
    <w:rsid w:val="00D53889"/>
    <w:rsid w:val="00D538FF"/>
    <w:rsid w:val="00D53E22"/>
    <w:rsid w:val="00D53F14"/>
    <w:rsid w:val="00D54E18"/>
    <w:rsid w:val="00D54E98"/>
    <w:rsid w:val="00D55523"/>
    <w:rsid w:val="00D55D1F"/>
    <w:rsid w:val="00D55F51"/>
    <w:rsid w:val="00D565BC"/>
    <w:rsid w:val="00D56CC6"/>
    <w:rsid w:val="00D60832"/>
    <w:rsid w:val="00D6176B"/>
    <w:rsid w:val="00D617F5"/>
    <w:rsid w:val="00D6288A"/>
    <w:rsid w:val="00D629B7"/>
    <w:rsid w:val="00D63908"/>
    <w:rsid w:val="00D639DA"/>
    <w:rsid w:val="00D63FF4"/>
    <w:rsid w:val="00D64307"/>
    <w:rsid w:val="00D643A0"/>
    <w:rsid w:val="00D64EA8"/>
    <w:rsid w:val="00D6591F"/>
    <w:rsid w:val="00D65EE5"/>
    <w:rsid w:val="00D66B6B"/>
    <w:rsid w:val="00D70389"/>
    <w:rsid w:val="00D706E6"/>
    <w:rsid w:val="00D70908"/>
    <w:rsid w:val="00D70E56"/>
    <w:rsid w:val="00D70FC9"/>
    <w:rsid w:val="00D719FE"/>
    <w:rsid w:val="00D7290C"/>
    <w:rsid w:val="00D72A17"/>
    <w:rsid w:val="00D72A20"/>
    <w:rsid w:val="00D72B21"/>
    <w:rsid w:val="00D730BD"/>
    <w:rsid w:val="00D7356D"/>
    <w:rsid w:val="00D73593"/>
    <w:rsid w:val="00D7401A"/>
    <w:rsid w:val="00D74392"/>
    <w:rsid w:val="00D74663"/>
    <w:rsid w:val="00D74C2C"/>
    <w:rsid w:val="00D752A8"/>
    <w:rsid w:val="00D75572"/>
    <w:rsid w:val="00D7577B"/>
    <w:rsid w:val="00D76276"/>
    <w:rsid w:val="00D769D8"/>
    <w:rsid w:val="00D76C1C"/>
    <w:rsid w:val="00D76E2B"/>
    <w:rsid w:val="00D77192"/>
    <w:rsid w:val="00D7735F"/>
    <w:rsid w:val="00D7766B"/>
    <w:rsid w:val="00D776A8"/>
    <w:rsid w:val="00D80255"/>
    <w:rsid w:val="00D81557"/>
    <w:rsid w:val="00D816EE"/>
    <w:rsid w:val="00D81C96"/>
    <w:rsid w:val="00D82010"/>
    <w:rsid w:val="00D820DD"/>
    <w:rsid w:val="00D82220"/>
    <w:rsid w:val="00D8252A"/>
    <w:rsid w:val="00D8393E"/>
    <w:rsid w:val="00D844B2"/>
    <w:rsid w:val="00D84613"/>
    <w:rsid w:val="00D848EF"/>
    <w:rsid w:val="00D85766"/>
    <w:rsid w:val="00D85B5F"/>
    <w:rsid w:val="00D860A2"/>
    <w:rsid w:val="00D87621"/>
    <w:rsid w:val="00D87EB9"/>
    <w:rsid w:val="00D906D7"/>
    <w:rsid w:val="00D90809"/>
    <w:rsid w:val="00D914F1"/>
    <w:rsid w:val="00D914F6"/>
    <w:rsid w:val="00D9257D"/>
    <w:rsid w:val="00D92A9C"/>
    <w:rsid w:val="00D92FFB"/>
    <w:rsid w:val="00D9557B"/>
    <w:rsid w:val="00D9586A"/>
    <w:rsid w:val="00D95B76"/>
    <w:rsid w:val="00D95FB2"/>
    <w:rsid w:val="00D960D4"/>
    <w:rsid w:val="00D961D1"/>
    <w:rsid w:val="00D963CA"/>
    <w:rsid w:val="00D9660E"/>
    <w:rsid w:val="00D96812"/>
    <w:rsid w:val="00D9699E"/>
    <w:rsid w:val="00D97D9E"/>
    <w:rsid w:val="00DA1041"/>
    <w:rsid w:val="00DA1AF2"/>
    <w:rsid w:val="00DA1FF9"/>
    <w:rsid w:val="00DA23C3"/>
    <w:rsid w:val="00DA26B7"/>
    <w:rsid w:val="00DA2A34"/>
    <w:rsid w:val="00DA2DCA"/>
    <w:rsid w:val="00DA3433"/>
    <w:rsid w:val="00DA3455"/>
    <w:rsid w:val="00DA34DD"/>
    <w:rsid w:val="00DA37DA"/>
    <w:rsid w:val="00DA38D5"/>
    <w:rsid w:val="00DA4370"/>
    <w:rsid w:val="00DA48C1"/>
    <w:rsid w:val="00DA4F12"/>
    <w:rsid w:val="00DA5465"/>
    <w:rsid w:val="00DA5C8A"/>
    <w:rsid w:val="00DA5DB9"/>
    <w:rsid w:val="00DA63E9"/>
    <w:rsid w:val="00DA6617"/>
    <w:rsid w:val="00DA7242"/>
    <w:rsid w:val="00DA72B6"/>
    <w:rsid w:val="00DA77B1"/>
    <w:rsid w:val="00DA7B2A"/>
    <w:rsid w:val="00DB0433"/>
    <w:rsid w:val="00DB04A4"/>
    <w:rsid w:val="00DB0F1B"/>
    <w:rsid w:val="00DB1223"/>
    <w:rsid w:val="00DB1B5C"/>
    <w:rsid w:val="00DB202A"/>
    <w:rsid w:val="00DB26E5"/>
    <w:rsid w:val="00DB2C58"/>
    <w:rsid w:val="00DB2D0E"/>
    <w:rsid w:val="00DB2F50"/>
    <w:rsid w:val="00DB4468"/>
    <w:rsid w:val="00DB4B45"/>
    <w:rsid w:val="00DB52DA"/>
    <w:rsid w:val="00DB52F2"/>
    <w:rsid w:val="00DB54D5"/>
    <w:rsid w:val="00DB5659"/>
    <w:rsid w:val="00DB56B2"/>
    <w:rsid w:val="00DB6567"/>
    <w:rsid w:val="00DB67C9"/>
    <w:rsid w:val="00DB707B"/>
    <w:rsid w:val="00DB7421"/>
    <w:rsid w:val="00DB7C09"/>
    <w:rsid w:val="00DC0BCE"/>
    <w:rsid w:val="00DC150D"/>
    <w:rsid w:val="00DC1620"/>
    <w:rsid w:val="00DC1DE9"/>
    <w:rsid w:val="00DC1EED"/>
    <w:rsid w:val="00DC24CC"/>
    <w:rsid w:val="00DC2643"/>
    <w:rsid w:val="00DC3B6F"/>
    <w:rsid w:val="00DC476C"/>
    <w:rsid w:val="00DC546B"/>
    <w:rsid w:val="00DC5509"/>
    <w:rsid w:val="00DC5CA2"/>
    <w:rsid w:val="00DC651F"/>
    <w:rsid w:val="00DC669B"/>
    <w:rsid w:val="00DC68F7"/>
    <w:rsid w:val="00DC7191"/>
    <w:rsid w:val="00DC74AD"/>
    <w:rsid w:val="00DC77BE"/>
    <w:rsid w:val="00DC792E"/>
    <w:rsid w:val="00DC7CBE"/>
    <w:rsid w:val="00DC7D08"/>
    <w:rsid w:val="00DD0107"/>
    <w:rsid w:val="00DD0377"/>
    <w:rsid w:val="00DD1907"/>
    <w:rsid w:val="00DD2AFB"/>
    <w:rsid w:val="00DD3D13"/>
    <w:rsid w:val="00DD3E9A"/>
    <w:rsid w:val="00DD3F5E"/>
    <w:rsid w:val="00DD41D4"/>
    <w:rsid w:val="00DD43BD"/>
    <w:rsid w:val="00DD524B"/>
    <w:rsid w:val="00DD572C"/>
    <w:rsid w:val="00DD5983"/>
    <w:rsid w:val="00DD5C46"/>
    <w:rsid w:val="00DD5FF6"/>
    <w:rsid w:val="00DD60F2"/>
    <w:rsid w:val="00DD66D3"/>
    <w:rsid w:val="00DD7354"/>
    <w:rsid w:val="00DD780C"/>
    <w:rsid w:val="00DE108F"/>
    <w:rsid w:val="00DE15C5"/>
    <w:rsid w:val="00DE2CE6"/>
    <w:rsid w:val="00DE3598"/>
    <w:rsid w:val="00DE3648"/>
    <w:rsid w:val="00DE3E1E"/>
    <w:rsid w:val="00DE44AA"/>
    <w:rsid w:val="00DE4557"/>
    <w:rsid w:val="00DE465C"/>
    <w:rsid w:val="00DE480B"/>
    <w:rsid w:val="00DE4A3A"/>
    <w:rsid w:val="00DE4C06"/>
    <w:rsid w:val="00DE5A17"/>
    <w:rsid w:val="00DE6BA5"/>
    <w:rsid w:val="00DE6D02"/>
    <w:rsid w:val="00DE6FB5"/>
    <w:rsid w:val="00DE7754"/>
    <w:rsid w:val="00DE785B"/>
    <w:rsid w:val="00DE792C"/>
    <w:rsid w:val="00DE7A0B"/>
    <w:rsid w:val="00DE7D7D"/>
    <w:rsid w:val="00DF0572"/>
    <w:rsid w:val="00DF07B9"/>
    <w:rsid w:val="00DF1D1B"/>
    <w:rsid w:val="00DF237B"/>
    <w:rsid w:val="00DF23FC"/>
    <w:rsid w:val="00DF35EF"/>
    <w:rsid w:val="00DF410B"/>
    <w:rsid w:val="00DF4BB0"/>
    <w:rsid w:val="00DF54D2"/>
    <w:rsid w:val="00DF5BBF"/>
    <w:rsid w:val="00DF5DA7"/>
    <w:rsid w:val="00DF6AC5"/>
    <w:rsid w:val="00DF77D4"/>
    <w:rsid w:val="00E00072"/>
    <w:rsid w:val="00E0055A"/>
    <w:rsid w:val="00E00DE9"/>
    <w:rsid w:val="00E00F6D"/>
    <w:rsid w:val="00E01185"/>
    <w:rsid w:val="00E01197"/>
    <w:rsid w:val="00E02A0E"/>
    <w:rsid w:val="00E03420"/>
    <w:rsid w:val="00E038F0"/>
    <w:rsid w:val="00E0459D"/>
    <w:rsid w:val="00E04F88"/>
    <w:rsid w:val="00E051B5"/>
    <w:rsid w:val="00E0621D"/>
    <w:rsid w:val="00E063CB"/>
    <w:rsid w:val="00E06B0B"/>
    <w:rsid w:val="00E06B17"/>
    <w:rsid w:val="00E06D30"/>
    <w:rsid w:val="00E06DC1"/>
    <w:rsid w:val="00E06FFB"/>
    <w:rsid w:val="00E105F8"/>
    <w:rsid w:val="00E106C9"/>
    <w:rsid w:val="00E107C2"/>
    <w:rsid w:val="00E10D6B"/>
    <w:rsid w:val="00E10DBD"/>
    <w:rsid w:val="00E10DD6"/>
    <w:rsid w:val="00E112CF"/>
    <w:rsid w:val="00E11398"/>
    <w:rsid w:val="00E11704"/>
    <w:rsid w:val="00E12E64"/>
    <w:rsid w:val="00E13783"/>
    <w:rsid w:val="00E13DE7"/>
    <w:rsid w:val="00E149BC"/>
    <w:rsid w:val="00E15020"/>
    <w:rsid w:val="00E1503E"/>
    <w:rsid w:val="00E20AE0"/>
    <w:rsid w:val="00E20CD8"/>
    <w:rsid w:val="00E216DE"/>
    <w:rsid w:val="00E21A37"/>
    <w:rsid w:val="00E2215D"/>
    <w:rsid w:val="00E22B7F"/>
    <w:rsid w:val="00E22C57"/>
    <w:rsid w:val="00E22D95"/>
    <w:rsid w:val="00E233E6"/>
    <w:rsid w:val="00E23777"/>
    <w:rsid w:val="00E24062"/>
    <w:rsid w:val="00E245D7"/>
    <w:rsid w:val="00E24B6E"/>
    <w:rsid w:val="00E2539B"/>
    <w:rsid w:val="00E2629E"/>
    <w:rsid w:val="00E27101"/>
    <w:rsid w:val="00E273AF"/>
    <w:rsid w:val="00E27B24"/>
    <w:rsid w:val="00E305EE"/>
    <w:rsid w:val="00E30D3E"/>
    <w:rsid w:val="00E3127B"/>
    <w:rsid w:val="00E316AD"/>
    <w:rsid w:val="00E31822"/>
    <w:rsid w:val="00E318A3"/>
    <w:rsid w:val="00E31C6F"/>
    <w:rsid w:val="00E31EAC"/>
    <w:rsid w:val="00E326C6"/>
    <w:rsid w:val="00E32767"/>
    <w:rsid w:val="00E329C4"/>
    <w:rsid w:val="00E33018"/>
    <w:rsid w:val="00E337DA"/>
    <w:rsid w:val="00E33FDF"/>
    <w:rsid w:val="00E340F7"/>
    <w:rsid w:val="00E34C50"/>
    <w:rsid w:val="00E34E39"/>
    <w:rsid w:val="00E34EDD"/>
    <w:rsid w:val="00E351B1"/>
    <w:rsid w:val="00E3531B"/>
    <w:rsid w:val="00E35592"/>
    <w:rsid w:val="00E3597A"/>
    <w:rsid w:val="00E3660B"/>
    <w:rsid w:val="00E36D50"/>
    <w:rsid w:val="00E379E1"/>
    <w:rsid w:val="00E402A9"/>
    <w:rsid w:val="00E40D08"/>
    <w:rsid w:val="00E41507"/>
    <w:rsid w:val="00E4168A"/>
    <w:rsid w:val="00E41839"/>
    <w:rsid w:val="00E41BAA"/>
    <w:rsid w:val="00E41C00"/>
    <w:rsid w:val="00E427C6"/>
    <w:rsid w:val="00E429D3"/>
    <w:rsid w:val="00E43216"/>
    <w:rsid w:val="00E43BC7"/>
    <w:rsid w:val="00E44258"/>
    <w:rsid w:val="00E442A3"/>
    <w:rsid w:val="00E44991"/>
    <w:rsid w:val="00E44CBD"/>
    <w:rsid w:val="00E455BD"/>
    <w:rsid w:val="00E4586E"/>
    <w:rsid w:val="00E46139"/>
    <w:rsid w:val="00E466BB"/>
    <w:rsid w:val="00E4691F"/>
    <w:rsid w:val="00E46F94"/>
    <w:rsid w:val="00E476DC"/>
    <w:rsid w:val="00E4791F"/>
    <w:rsid w:val="00E479BF"/>
    <w:rsid w:val="00E47AE1"/>
    <w:rsid w:val="00E50819"/>
    <w:rsid w:val="00E50BE0"/>
    <w:rsid w:val="00E511E6"/>
    <w:rsid w:val="00E51F81"/>
    <w:rsid w:val="00E52F73"/>
    <w:rsid w:val="00E5304A"/>
    <w:rsid w:val="00E531BA"/>
    <w:rsid w:val="00E532B9"/>
    <w:rsid w:val="00E53645"/>
    <w:rsid w:val="00E536BD"/>
    <w:rsid w:val="00E56745"/>
    <w:rsid w:val="00E56A71"/>
    <w:rsid w:val="00E56EF4"/>
    <w:rsid w:val="00E573C3"/>
    <w:rsid w:val="00E575BE"/>
    <w:rsid w:val="00E579ED"/>
    <w:rsid w:val="00E602EA"/>
    <w:rsid w:val="00E60564"/>
    <w:rsid w:val="00E605CD"/>
    <w:rsid w:val="00E60636"/>
    <w:rsid w:val="00E6091C"/>
    <w:rsid w:val="00E63368"/>
    <w:rsid w:val="00E653F2"/>
    <w:rsid w:val="00E65B7D"/>
    <w:rsid w:val="00E65C6A"/>
    <w:rsid w:val="00E670E3"/>
    <w:rsid w:val="00E67ABD"/>
    <w:rsid w:val="00E70251"/>
    <w:rsid w:val="00E70266"/>
    <w:rsid w:val="00E70294"/>
    <w:rsid w:val="00E70F5C"/>
    <w:rsid w:val="00E71DD0"/>
    <w:rsid w:val="00E71E5A"/>
    <w:rsid w:val="00E72246"/>
    <w:rsid w:val="00E727CE"/>
    <w:rsid w:val="00E72D36"/>
    <w:rsid w:val="00E72ED0"/>
    <w:rsid w:val="00E73328"/>
    <w:rsid w:val="00E73EFF"/>
    <w:rsid w:val="00E7414C"/>
    <w:rsid w:val="00E7596D"/>
    <w:rsid w:val="00E7633C"/>
    <w:rsid w:val="00E770B8"/>
    <w:rsid w:val="00E77C56"/>
    <w:rsid w:val="00E804B9"/>
    <w:rsid w:val="00E810A7"/>
    <w:rsid w:val="00E81D2E"/>
    <w:rsid w:val="00E82BC0"/>
    <w:rsid w:val="00E836AD"/>
    <w:rsid w:val="00E83AB9"/>
    <w:rsid w:val="00E842E7"/>
    <w:rsid w:val="00E8496C"/>
    <w:rsid w:val="00E84DD4"/>
    <w:rsid w:val="00E84FD0"/>
    <w:rsid w:val="00E853A8"/>
    <w:rsid w:val="00E85440"/>
    <w:rsid w:val="00E854D3"/>
    <w:rsid w:val="00E878B3"/>
    <w:rsid w:val="00E87F49"/>
    <w:rsid w:val="00E903A2"/>
    <w:rsid w:val="00E91971"/>
    <w:rsid w:val="00E91ADF"/>
    <w:rsid w:val="00E920DA"/>
    <w:rsid w:val="00E9213D"/>
    <w:rsid w:val="00E924EA"/>
    <w:rsid w:val="00E93A03"/>
    <w:rsid w:val="00E942BC"/>
    <w:rsid w:val="00E957C9"/>
    <w:rsid w:val="00E95E68"/>
    <w:rsid w:val="00E9606E"/>
    <w:rsid w:val="00E9618B"/>
    <w:rsid w:val="00E96855"/>
    <w:rsid w:val="00E971EB"/>
    <w:rsid w:val="00E97481"/>
    <w:rsid w:val="00E975A3"/>
    <w:rsid w:val="00E97CD3"/>
    <w:rsid w:val="00EA024C"/>
    <w:rsid w:val="00EA03B1"/>
    <w:rsid w:val="00EA13EA"/>
    <w:rsid w:val="00EA20D4"/>
    <w:rsid w:val="00EA2177"/>
    <w:rsid w:val="00EA2F75"/>
    <w:rsid w:val="00EA33E4"/>
    <w:rsid w:val="00EA408A"/>
    <w:rsid w:val="00EA4BC8"/>
    <w:rsid w:val="00EA5272"/>
    <w:rsid w:val="00EA53A5"/>
    <w:rsid w:val="00EA5CC7"/>
    <w:rsid w:val="00EA5D46"/>
    <w:rsid w:val="00EA5DC8"/>
    <w:rsid w:val="00EA65EC"/>
    <w:rsid w:val="00EA6674"/>
    <w:rsid w:val="00EA6CC9"/>
    <w:rsid w:val="00EA71F1"/>
    <w:rsid w:val="00EA78EC"/>
    <w:rsid w:val="00EA7A70"/>
    <w:rsid w:val="00EA7B96"/>
    <w:rsid w:val="00EA7F2B"/>
    <w:rsid w:val="00EB1BEB"/>
    <w:rsid w:val="00EB1CEF"/>
    <w:rsid w:val="00EB2F91"/>
    <w:rsid w:val="00EB3444"/>
    <w:rsid w:val="00EB38B3"/>
    <w:rsid w:val="00EB39F1"/>
    <w:rsid w:val="00EB418A"/>
    <w:rsid w:val="00EB4492"/>
    <w:rsid w:val="00EB45AB"/>
    <w:rsid w:val="00EB46B1"/>
    <w:rsid w:val="00EB6E6E"/>
    <w:rsid w:val="00EB786A"/>
    <w:rsid w:val="00EB7A8B"/>
    <w:rsid w:val="00EC07AA"/>
    <w:rsid w:val="00EC07ED"/>
    <w:rsid w:val="00EC0955"/>
    <w:rsid w:val="00EC12EE"/>
    <w:rsid w:val="00EC1771"/>
    <w:rsid w:val="00EC1985"/>
    <w:rsid w:val="00EC1FB3"/>
    <w:rsid w:val="00EC2533"/>
    <w:rsid w:val="00EC25A0"/>
    <w:rsid w:val="00EC343E"/>
    <w:rsid w:val="00EC34FA"/>
    <w:rsid w:val="00EC46BB"/>
    <w:rsid w:val="00EC4C30"/>
    <w:rsid w:val="00EC4E8B"/>
    <w:rsid w:val="00EC5C9C"/>
    <w:rsid w:val="00EC7495"/>
    <w:rsid w:val="00EC7A46"/>
    <w:rsid w:val="00ED0046"/>
    <w:rsid w:val="00ED0143"/>
    <w:rsid w:val="00ED03EA"/>
    <w:rsid w:val="00ED04C8"/>
    <w:rsid w:val="00ED0BBC"/>
    <w:rsid w:val="00ED2147"/>
    <w:rsid w:val="00ED2B06"/>
    <w:rsid w:val="00ED2C5D"/>
    <w:rsid w:val="00ED3015"/>
    <w:rsid w:val="00ED3C40"/>
    <w:rsid w:val="00ED427C"/>
    <w:rsid w:val="00ED4B4A"/>
    <w:rsid w:val="00ED5DE7"/>
    <w:rsid w:val="00ED5FD6"/>
    <w:rsid w:val="00ED69E0"/>
    <w:rsid w:val="00ED7256"/>
    <w:rsid w:val="00ED751B"/>
    <w:rsid w:val="00ED7D82"/>
    <w:rsid w:val="00ED7EEF"/>
    <w:rsid w:val="00EE0429"/>
    <w:rsid w:val="00EE0696"/>
    <w:rsid w:val="00EE1513"/>
    <w:rsid w:val="00EE15C4"/>
    <w:rsid w:val="00EE166E"/>
    <w:rsid w:val="00EE1FB1"/>
    <w:rsid w:val="00EE2EC3"/>
    <w:rsid w:val="00EE314E"/>
    <w:rsid w:val="00EE3295"/>
    <w:rsid w:val="00EE4D1B"/>
    <w:rsid w:val="00EE5161"/>
    <w:rsid w:val="00EE55C7"/>
    <w:rsid w:val="00EE5808"/>
    <w:rsid w:val="00EE593E"/>
    <w:rsid w:val="00EE5C2A"/>
    <w:rsid w:val="00EE5DE9"/>
    <w:rsid w:val="00EE6AE5"/>
    <w:rsid w:val="00EE6CD2"/>
    <w:rsid w:val="00EE6F59"/>
    <w:rsid w:val="00EE7318"/>
    <w:rsid w:val="00EE7DF3"/>
    <w:rsid w:val="00EF06BA"/>
    <w:rsid w:val="00EF0CA2"/>
    <w:rsid w:val="00EF0DF1"/>
    <w:rsid w:val="00EF0EFD"/>
    <w:rsid w:val="00EF2112"/>
    <w:rsid w:val="00EF226A"/>
    <w:rsid w:val="00EF303F"/>
    <w:rsid w:val="00EF3353"/>
    <w:rsid w:val="00EF39FA"/>
    <w:rsid w:val="00EF4102"/>
    <w:rsid w:val="00EF458B"/>
    <w:rsid w:val="00EF4682"/>
    <w:rsid w:val="00EF4688"/>
    <w:rsid w:val="00EF4C46"/>
    <w:rsid w:val="00EF4FF7"/>
    <w:rsid w:val="00EF5422"/>
    <w:rsid w:val="00EF5E7F"/>
    <w:rsid w:val="00EF5EE6"/>
    <w:rsid w:val="00EF60A0"/>
    <w:rsid w:val="00EF6E3F"/>
    <w:rsid w:val="00EF79E0"/>
    <w:rsid w:val="00F004A3"/>
    <w:rsid w:val="00F00512"/>
    <w:rsid w:val="00F00A13"/>
    <w:rsid w:val="00F00DE9"/>
    <w:rsid w:val="00F014E9"/>
    <w:rsid w:val="00F01FF3"/>
    <w:rsid w:val="00F02912"/>
    <w:rsid w:val="00F04912"/>
    <w:rsid w:val="00F0656D"/>
    <w:rsid w:val="00F06ECF"/>
    <w:rsid w:val="00F079A2"/>
    <w:rsid w:val="00F07B03"/>
    <w:rsid w:val="00F07C63"/>
    <w:rsid w:val="00F07E80"/>
    <w:rsid w:val="00F10432"/>
    <w:rsid w:val="00F10447"/>
    <w:rsid w:val="00F106D5"/>
    <w:rsid w:val="00F11C00"/>
    <w:rsid w:val="00F11EB0"/>
    <w:rsid w:val="00F121FB"/>
    <w:rsid w:val="00F125BB"/>
    <w:rsid w:val="00F1430C"/>
    <w:rsid w:val="00F15088"/>
    <w:rsid w:val="00F153F4"/>
    <w:rsid w:val="00F1672A"/>
    <w:rsid w:val="00F16D1D"/>
    <w:rsid w:val="00F170D1"/>
    <w:rsid w:val="00F17495"/>
    <w:rsid w:val="00F17A52"/>
    <w:rsid w:val="00F17BBD"/>
    <w:rsid w:val="00F17CDE"/>
    <w:rsid w:val="00F2040A"/>
    <w:rsid w:val="00F22410"/>
    <w:rsid w:val="00F225B0"/>
    <w:rsid w:val="00F229F4"/>
    <w:rsid w:val="00F22E1E"/>
    <w:rsid w:val="00F22E91"/>
    <w:rsid w:val="00F230F6"/>
    <w:rsid w:val="00F23356"/>
    <w:rsid w:val="00F23427"/>
    <w:rsid w:val="00F23707"/>
    <w:rsid w:val="00F237FF"/>
    <w:rsid w:val="00F241F6"/>
    <w:rsid w:val="00F245E8"/>
    <w:rsid w:val="00F24F12"/>
    <w:rsid w:val="00F25290"/>
    <w:rsid w:val="00F25C51"/>
    <w:rsid w:val="00F267E1"/>
    <w:rsid w:val="00F26B8B"/>
    <w:rsid w:val="00F26C6A"/>
    <w:rsid w:val="00F27218"/>
    <w:rsid w:val="00F2722C"/>
    <w:rsid w:val="00F30717"/>
    <w:rsid w:val="00F307BD"/>
    <w:rsid w:val="00F30FCF"/>
    <w:rsid w:val="00F314CD"/>
    <w:rsid w:val="00F3185D"/>
    <w:rsid w:val="00F31868"/>
    <w:rsid w:val="00F32380"/>
    <w:rsid w:val="00F32558"/>
    <w:rsid w:val="00F3318F"/>
    <w:rsid w:val="00F33209"/>
    <w:rsid w:val="00F35441"/>
    <w:rsid w:val="00F3548B"/>
    <w:rsid w:val="00F35587"/>
    <w:rsid w:val="00F35C02"/>
    <w:rsid w:val="00F361F6"/>
    <w:rsid w:val="00F3731D"/>
    <w:rsid w:val="00F37465"/>
    <w:rsid w:val="00F37602"/>
    <w:rsid w:val="00F37C0E"/>
    <w:rsid w:val="00F37C3B"/>
    <w:rsid w:val="00F40061"/>
    <w:rsid w:val="00F40328"/>
    <w:rsid w:val="00F406B4"/>
    <w:rsid w:val="00F40A56"/>
    <w:rsid w:val="00F41719"/>
    <w:rsid w:val="00F417EF"/>
    <w:rsid w:val="00F41B2A"/>
    <w:rsid w:val="00F41F4F"/>
    <w:rsid w:val="00F42A64"/>
    <w:rsid w:val="00F42E86"/>
    <w:rsid w:val="00F432DA"/>
    <w:rsid w:val="00F44AC5"/>
    <w:rsid w:val="00F44C54"/>
    <w:rsid w:val="00F44EEB"/>
    <w:rsid w:val="00F45559"/>
    <w:rsid w:val="00F45E3C"/>
    <w:rsid w:val="00F46A14"/>
    <w:rsid w:val="00F475C1"/>
    <w:rsid w:val="00F47B4F"/>
    <w:rsid w:val="00F5109C"/>
    <w:rsid w:val="00F51409"/>
    <w:rsid w:val="00F51E91"/>
    <w:rsid w:val="00F51F96"/>
    <w:rsid w:val="00F52056"/>
    <w:rsid w:val="00F5233D"/>
    <w:rsid w:val="00F5278E"/>
    <w:rsid w:val="00F52C55"/>
    <w:rsid w:val="00F52D50"/>
    <w:rsid w:val="00F53ACF"/>
    <w:rsid w:val="00F53D2A"/>
    <w:rsid w:val="00F53D8E"/>
    <w:rsid w:val="00F5461B"/>
    <w:rsid w:val="00F54A1E"/>
    <w:rsid w:val="00F54D55"/>
    <w:rsid w:val="00F55032"/>
    <w:rsid w:val="00F559D6"/>
    <w:rsid w:val="00F55E3D"/>
    <w:rsid w:val="00F567AA"/>
    <w:rsid w:val="00F56A65"/>
    <w:rsid w:val="00F56C19"/>
    <w:rsid w:val="00F56DE1"/>
    <w:rsid w:val="00F57408"/>
    <w:rsid w:val="00F5763D"/>
    <w:rsid w:val="00F5771F"/>
    <w:rsid w:val="00F578DC"/>
    <w:rsid w:val="00F57B6F"/>
    <w:rsid w:val="00F57BA6"/>
    <w:rsid w:val="00F60113"/>
    <w:rsid w:val="00F609F4"/>
    <w:rsid w:val="00F60C6D"/>
    <w:rsid w:val="00F60CC3"/>
    <w:rsid w:val="00F61744"/>
    <w:rsid w:val="00F61A33"/>
    <w:rsid w:val="00F61C2F"/>
    <w:rsid w:val="00F63A00"/>
    <w:rsid w:val="00F63E86"/>
    <w:rsid w:val="00F64B5A"/>
    <w:rsid w:val="00F65082"/>
    <w:rsid w:val="00F65309"/>
    <w:rsid w:val="00F653D2"/>
    <w:rsid w:val="00F65E7B"/>
    <w:rsid w:val="00F6641A"/>
    <w:rsid w:val="00F66984"/>
    <w:rsid w:val="00F67172"/>
    <w:rsid w:val="00F67790"/>
    <w:rsid w:val="00F67C6C"/>
    <w:rsid w:val="00F67D23"/>
    <w:rsid w:val="00F7122F"/>
    <w:rsid w:val="00F719AF"/>
    <w:rsid w:val="00F71D91"/>
    <w:rsid w:val="00F72890"/>
    <w:rsid w:val="00F73355"/>
    <w:rsid w:val="00F733E9"/>
    <w:rsid w:val="00F73AEF"/>
    <w:rsid w:val="00F73B97"/>
    <w:rsid w:val="00F74051"/>
    <w:rsid w:val="00F75445"/>
    <w:rsid w:val="00F75929"/>
    <w:rsid w:val="00F759D2"/>
    <w:rsid w:val="00F75B6F"/>
    <w:rsid w:val="00F75C40"/>
    <w:rsid w:val="00F76EF2"/>
    <w:rsid w:val="00F777D7"/>
    <w:rsid w:val="00F77934"/>
    <w:rsid w:val="00F8030F"/>
    <w:rsid w:val="00F80786"/>
    <w:rsid w:val="00F809B5"/>
    <w:rsid w:val="00F80B9B"/>
    <w:rsid w:val="00F80E39"/>
    <w:rsid w:val="00F81005"/>
    <w:rsid w:val="00F816E3"/>
    <w:rsid w:val="00F830D9"/>
    <w:rsid w:val="00F841A7"/>
    <w:rsid w:val="00F85229"/>
    <w:rsid w:val="00F86166"/>
    <w:rsid w:val="00F86AE9"/>
    <w:rsid w:val="00F86D78"/>
    <w:rsid w:val="00F87B36"/>
    <w:rsid w:val="00F87C64"/>
    <w:rsid w:val="00F90CC0"/>
    <w:rsid w:val="00F91984"/>
    <w:rsid w:val="00F91E87"/>
    <w:rsid w:val="00F91F73"/>
    <w:rsid w:val="00F927F7"/>
    <w:rsid w:val="00F92D72"/>
    <w:rsid w:val="00F9300F"/>
    <w:rsid w:val="00F9344C"/>
    <w:rsid w:val="00F94C15"/>
    <w:rsid w:val="00F95456"/>
    <w:rsid w:val="00F955C3"/>
    <w:rsid w:val="00F95737"/>
    <w:rsid w:val="00F959B4"/>
    <w:rsid w:val="00F95D4E"/>
    <w:rsid w:val="00F965E4"/>
    <w:rsid w:val="00F9740C"/>
    <w:rsid w:val="00F97D0B"/>
    <w:rsid w:val="00FA0F3C"/>
    <w:rsid w:val="00FA1B39"/>
    <w:rsid w:val="00FA2B88"/>
    <w:rsid w:val="00FA34B5"/>
    <w:rsid w:val="00FA56D7"/>
    <w:rsid w:val="00FA5F54"/>
    <w:rsid w:val="00FA5F68"/>
    <w:rsid w:val="00FA64DF"/>
    <w:rsid w:val="00FA6595"/>
    <w:rsid w:val="00FA661F"/>
    <w:rsid w:val="00FA667C"/>
    <w:rsid w:val="00FA6781"/>
    <w:rsid w:val="00FA6D20"/>
    <w:rsid w:val="00FA6F06"/>
    <w:rsid w:val="00FA7412"/>
    <w:rsid w:val="00FA7748"/>
    <w:rsid w:val="00FB05E8"/>
    <w:rsid w:val="00FB0CDA"/>
    <w:rsid w:val="00FB0DE3"/>
    <w:rsid w:val="00FB16E3"/>
    <w:rsid w:val="00FB1880"/>
    <w:rsid w:val="00FB1C6B"/>
    <w:rsid w:val="00FB28A6"/>
    <w:rsid w:val="00FB33FC"/>
    <w:rsid w:val="00FB3A54"/>
    <w:rsid w:val="00FB43C9"/>
    <w:rsid w:val="00FB4D2E"/>
    <w:rsid w:val="00FB4F9A"/>
    <w:rsid w:val="00FB519D"/>
    <w:rsid w:val="00FB5A7A"/>
    <w:rsid w:val="00FB64CA"/>
    <w:rsid w:val="00FB6586"/>
    <w:rsid w:val="00FB6D64"/>
    <w:rsid w:val="00FB6E7A"/>
    <w:rsid w:val="00FB739F"/>
    <w:rsid w:val="00FB77F2"/>
    <w:rsid w:val="00FC0922"/>
    <w:rsid w:val="00FC1E59"/>
    <w:rsid w:val="00FC2369"/>
    <w:rsid w:val="00FC27A3"/>
    <w:rsid w:val="00FC3885"/>
    <w:rsid w:val="00FC3E21"/>
    <w:rsid w:val="00FC3F69"/>
    <w:rsid w:val="00FC4467"/>
    <w:rsid w:val="00FC5334"/>
    <w:rsid w:val="00FC5A12"/>
    <w:rsid w:val="00FC5AEB"/>
    <w:rsid w:val="00FC5ECB"/>
    <w:rsid w:val="00FC5F72"/>
    <w:rsid w:val="00FC620D"/>
    <w:rsid w:val="00FC689C"/>
    <w:rsid w:val="00FC68C6"/>
    <w:rsid w:val="00FC6BBB"/>
    <w:rsid w:val="00FC7040"/>
    <w:rsid w:val="00FD05DD"/>
    <w:rsid w:val="00FD09CD"/>
    <w:rsid w:val="00FD0F45"/>
    <w:rsid w:val="00FD1992"/>
    <w:rsid w:val="00FD2BFE"/>
    <w:rsid w:val="00FD2DF9"/>
    <w:rsid w:val="00FD402C"/>
    <w:rsid w:val="00FD43C8"/>
    <w:rsid w:val="00FD43F7"/>
    <w:rsid w:val="00FD47B7"/>
    <w:rsid w:val="00FD4EF5"/>
    <w:rsid w:val="00FD53F0"/>
    <w:rsid w:val="00FD554C"/>
    <w:rsid w:val="00FD59A0"/>
    <w:rsid w:val="00FD5D37"/>
    <w:rsid w:val="00FD5DFC"/>
    <w:rsid w:val="00FD6CB2"/>
    <w:rsid w:val="00FD749B"/>
    <w:rsid w:val="00FD76F5"/>
    <w:rsid w:val="00FD79E6"/>
    <w:rsid w:val="00FD7A91"/>
    <w:rsid w:val="00FD7E13"/>
    <w:rsid w:val="00FE051F"/>
    <w:rsid w:val="00FE0D18"/>
    <w:rsid w:val="00FE1020"/>
    <w:rsid w:val="00FE16DE"/>
    <w:rsid w:val="00FE1D53"/>
    <w:rsid w:val="00FE2256"/>
    <w:rsid w:val="00FE31AF"/>
    <w:rsid w:val="00FE33DA"/>
    <w:rsid w:val="00FE4FE6"/>
    <w:rsid w:val="00FE5BC8"/>
    <w:rsid w:val="00FE5E0D"/>
    <w:rsid w:val="00FE7133"/>
    <w:rsid w:val="00FE77F2"/>
    <w:rsid w:val="00FE78C6"/>
    <w:rsid w:val="00FF0D1D"/>
    <w:rsid w:val="00FF0E06"/>
    <w:rsid w:val="00FF1784"/>
    <w:rsid w:val="00FF190A"/>
    <w:rsid w:val="00FF1B07"/>
    <w:rsid w:val="00FF21C4"/>
    <w:rsid w:val="00FF30EC"/>
    <w:rsid w:val="00FF395F"/>
    <w:rsid w:val="00FF4C21"/>
    <w:rsid w:val="00FF4D09"/>
    <w:rsid w:val="00FF57BE"/>
    <w:rsid w:val="00FF5958"/>
    <w:rsid w:val="00FF5AB0"/>
    <w:rsid w:val="00FF5E4D"/>
    <w:rsid w:val="00FF6974"/>
    <w:rsid w:val="00FF69D5"/>
    <w:rsid w:val="00FF74B1"/>
    <w:rsid w:val="01212E5F"/>
    <w:rsid w:val="022D017E"/>
    <w:rsid w:val="08354784"/>
    <w:rsid w:val="0BC10BB5"/>
    <w:rsid w:val="0F3550C8"/>
    <w:rsid w:val="0FD022B3"/>
    <w:rsid w:val="0FFC5BE6"/>
    <w:rsid w:val="10AF4A06"/>
    <w:rsid w:val="11ED1CC8"/>
    <w:rsid w:val="11ED40C5"/>
    <w:rsid w:val="12D1665C"/>
    <w:rsid w:val="133C4A16"/>
    <w:rsid w:val="13DD2F85"/>
    <w:rsid w:val="144733D0"/>
    <w:rsid w:val="1820146A"/>
    <w:rsid w:val="187A7FF0"/>
    <w:rsid w:val="1B7F02E1"/>
    <w:rsid w:val="1F100D66"/>
    <w:rsid w:val="227B52F5"/>
    <w:rsid w:val="248B3E83"/>
    <w:rsid w:val="25357564"/>
    <w:rsid w:val="25D725DE"/>
    <w:rsid w:val="25DE7557"/>
    <w:rsid w:val="26347A30"/>
    <w:rsid w:val="273322D8"/>
    <w:rsid w:val="27AE3812"/>
    <w:rsid w:val="288B1BDE"/>
    <w:rsid w:val="2A8F652A"/>
    <w:rsid w:val="2C363094"/>
    <w:rsid w:val="2EF461DA"/>
    <w:rsid w:val="2FCC6F2B"/>
    <w:rsid w:val="2FD228A9"/>
    <w:rsid w:val="339949EA"/>
    <w:rsid w:val="35436173"/>
    <w:rsid w:val="35594117"/>
    <w:rsid w:val="37983B97"/>
    <w:rsid w:val="38711EC0"/>
    <w:rsid w:val="38F6689C"/>
    <w:rsid w:val="3B380D9F"/>
    <w:rsid w:val="3C49495D"/>
    <w:rsid w:val="3DFEE384"/>
    <w:rsid w:val="3E116A78"/>
    <w:rsid w:val="3EEA1430"/>
    <w:rsid w:val="3FB3C7F7"/>
    <w:rsid w:val="40527220"/>
    <w:rsid w:val="413B30A4"/>
    <w:rsid w:val="41885E41"/>
    <w:rsid w:val="4602165C"/>
    <w:rsid w:val="4740402F"/>
    <w:rsid w:val="48353A66"/>
    <w:rsid w:val="48755A36"/>
    <w:rsid w:val="49CB3958"/>
    <w:rsid w:val="4B3F3EDE"/>
    <w:rsid w:val="4BD74836"/>
    <w:rsid w:val="4C9D4CFE"/>
    <w:rsid w:val="4DE81F80"/>
    <w:rsid w:val="4F852DF6"/>
    <w:rsid w:val="4F980081"/>
    <w:rsid w:val="509D6D2F"/>
    <w:rsid w:val="512E279E"/>
    <w:rsid w:val="516B39C7"/>
    <w:rsid w:val="51943490"/>
    <w:rsid w:val="52F41F62"/>
    <w:rsid w:val="53654D54"/>
    <w:rsid w:val="549A4653"/>
    <w:rsid w:val="55851320"/>
    <w:rsid w:val="56091A90"/>
    <w:rsid w:val="561873AF"/>
    <w:rsid w:val="58D05D56"/>
    <w:rsid w:val="5A403211"/>
    <w:rsid w:val="5C252EE1"/>
    <w:rsid w:val="5D7F0ECF"/>
    <w:rsid w:val="5FEF4354"/>
    <w:rsid w:val="65606C57"/>
    <w:rsid w:val="659C4337"/>
    <w:rsid w:val="65EE02F9"/>
    <w:rsid w:val="68321936"/>
    <w:rsid w:val="684B47A9"/>
    <w:rsid w:val="69283D05"/>
    <w:rsid w:val="69C6726E"/>
    <w:rsid w:val="6A874015"/>
    <w:rsid w:val="6AC03BFA"/>
    <w:rsid w:val="6CAD3F7A"/>
    <w:rsid w:val="6E9309E1"/>
    <w:rsid w:val="704229CD"/>
    <w:rsid w:val="70C5777E"/>
    <w:rsid w:val="70D97571"/>
    <w:rsid w:val="71FA304E"/>
    <w:rsid w:val="72E27499"/>
    <w:rsid w:val="72F5541E"/>
    <w:rsid w:val="73BF7EF2"/>
    <w:rsid w:val="76FE290B"/>
    <w:rsid w:val="78C230D4"/>
    <w:rsid w:val="8D7FE3BD"/>
    <w:rsid w:val="8FFFC615"/>
    <w:rsid w:val="B9772DF2"/>
    <w:rsid w:val="BBEA1AA2"/>
    <w:rsid w:val="CBD77CE9"/>
    <w:rsid w:val="DBFD6E08"/>
    <w:rsid w:val="DDBF573A"/>
    <w:rsid w:val="EFFBB674"/>
    <w:rsid w:val="F2CBB267"/>
    <w:rsid w:val="FAFF1E09"/>
    <w:rsid w:val="FBF2A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link w:val="25"/>
    <w:autoRedefine/>
    <w:qFormat/>
    <w:uiPriority w:val="0"/>
    <w:pPr>
      <w:keepNext/>
      <w:keepLines/>
      <w:spacing w:before="340" w:after="330" w:line="578" w:lineRule="auto"/>
      <w:jc w:val="center"/>
      <w:outlineLvl w:val="0"/>
    </w:pPr>
    <w:rPr>
      <w:rFonts w:ascii="Arial" w:hAnsi="Arial" w:eastAsia="宋体" w:cs="Times New Roman"/>
      <w:b/>
      <w:bCs/>
      <w:kern w:val="44"/>
      <w:sz w:val="24"/>
      <w:szCs w:val="44"/>
      <w:lang w:eastAsia="zh-CN"/>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6"/>
    <w:autoRedefine/>
    <w:semiHidden/>
    <w:unhideWhenUsed/>
    <w:qFormat/>
    <w:uiPriority w:val="99"/>
  </w:style>
  <w:style w:type="paragraph" w:styleId="4">
    <w:name w:val="Body Text"/>
    <w:basedOn w:val="1"/>
    <w:autoRedefine/>
    <w:qFormat/>
    <w:uiPriority w:val="1"/>
    <w:pPr>
      <w:ind w:left="121"/>
    </w:pPr>
    <w:rPr>
      <w:rFonts w:ascii="宋体" w:hAnsi="宋体" w:eastAsia="宋体"/>
      <w:sz w:val="24"/>
      <w:szCs w:val="24"/>
    </w:rPr>
  </w:style>
  <w:style w:type="paragraph" w:styleId="5">
    <w:name w:val="Balloon Text"/>
    <w:basedOn w:val="1"/>
    <w:link w:val="24"/>
    <w:autoRedefine/>
    <w:unhideWhenUsed/>
    <w:qFormat/>
    <w:uiPriority w:val="99"/>
    <w:rPr>
      <w:sz w:val="18"/>
      <w:szCs w:val="18"/>
    </w:rPr>
  </w:style>
  <w:style w:type="paragraph" w:styleId="6">
    <w:name w:val="footer"/>
    <w:basedOn w:val="1"/>
    <w:link w:val="23"/>
    <w:autoRedefine/>
    <w:unhideWhenUsed/>
    <w:qFormat/>
    <w:uiPriority w:val="99"/>
    <w:pPr>
      <w:tabs>
        <w:tab w:val="center" w:pos="4153"/>
        <w:tab w:val="right" w:pos="8306"/>
      </w:tabs>
      <w:snapToGrid w:val="0"/>
    </w:pPr>
    <w:rPr>
      <w:sz w:val="18"/>
      <w:szCs w:val="18"/>
    </w:rPr>
  </w:style>
  <w:style w:type="paragraph" w:styleId="7">
    <w:name w:val="header"/>
    <w:basedOn w:val="1"/>
    <w:link w:val="2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33"/>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sz w:val="24"/>
      <w:szCs w:val="24"/>
      <w:lang w:eastAsia="zh-CN"/>
    </w:rPr>
  </w:style>
  <w:style w:type="paragraph" w:styleId="9">
    <w:name w:val="Normal (Web)"/>
    <w:basedOn w:val="1"/>
    <w:autoRedefine/>
    <w:unhideWhenUsed/>
    <w:qFormat/>
    <w:uiPriority w:val="99"/>
    <w:pPr>
      <w:widowControl/>
      <w:spacing w:before="100" w:beforeAutospacing="1" w:after="100" w:afterAutospacing="1"/>
    </w:pPr>
    <w:rPr>
      <w:rFonts w:ascii="宋体" w:hAnsi="宋体" w:eastAsia="宋体" w:cs="宋体"/>
      <w:sz w:val="24"/>
      <w:szCs w:val="24"/>
      <w:lang w:eastAsia="zh-CN"/>
    </w:rPr>
  </w:style>
  <w:style w:type="paragraph" w:styleId="10">
    <w:name w:val="annotation subject"/>
    <w:basedOn w:val="3"/>
    <w:next w:val="3"/>
    <w:link w:val="27"/>
    <w:autoRedefine/>
    <w:semiHidden/>
    <w:unhideWhenUsed/>
    <w:qFormat/>
    <w:uiPriority w:val="99"/>
    <w:rPr>
      <w:b/>
      <w:bCs/>
    </w:rPr>
  </w:style>
  <w:style w:type="table" w:styleId="12">
    <w:name w:val="Table Grid"/>
    <w:basedOn w:val="11"/>
    <w:autoRedefine/>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semiHidden/>
    <w:unhideWhenUsed/>
    <w:qFormat/>
    <w:uiPriority w:val="99"/>
    <w:rPr>
      <w:color w:val="0000FF"/>
      <w:u w:val="single"/>
    </w:rPr>
  </w:style>
  <w:style w:type="character" w:styleId="16">
    <w:name w:val="annotation reference"/>
    <w:basedOn w:val="13"/>
    <w:autoRedefine/>
    <w:semiHidden/>
    <w:unhideWhenUsed/>
    <w:qFormat/>
    <w:uiPriority w:val="99"/>
    <w:rPr>
      <w:sz w:val="21"/>
      <w:szCs w:val="21"/>
    </w:rPr>
  </w:style>
  <w:style w:type="table" w:customStyle="1" w:styleId="17">
    <w:name w:val="Table Normal"/>
    <w:autoRedefine/>
    <w:semiHidden/>
    <w:unhideWhenUsed/>
    <w:qFormat/>
    <w:uiPriority w:val="2"/>
    <w:tblPr>
      <w:tblCellMar>
        <w:top w:w="0" w:type="dxa"/>
        <w:left w:w="0" w:type="dxa"/>
        <w:bottom w:w="0" w:type="dxa"/>
        <w:right w:w="0" w:type="dxa"/>
      </w:tblCellMar>
    </w:tblPr>
  </w:style>
  <w:style w:type="paragraph" w:customStyle="1" w:styleId="18">
    <w:name w:val="标题 11"/>
    <w:basedOn w:val="1"/>
    <w:autoRedefine/>
    <w:qFormat/>
    <w:uiPriority w:val="1"/>
    <w:pPr>
      <w:spacing w:before="22"/>
      <w:ind w:left="121"/>
      <w:outlineLvl w:val="1"/>
    </w:pPr>
    <w:rPr>
      <w:rFonts w:ascii="宋体" w:hAnsi="宋体" w:eastAsia="宋体"/>
      <w:b/>
      <w:bCs/>
      <w:sz w:val="27"/>
      <w:szCs w:val="27"/>
    </w:rPr>
  </w:style>
  <w:style w:type="paragraph" w:customStyle="1" w:styleId="19">
    <w:name w:val="标题 21"/>
    <w:basedOn w:val="1"/>
    <w:autoRedefine/>
    <w:qFormat/>
    <w:uiPriority w:val="1"/>
    <w:pPr>
      <w:ind w:left="121"/>
      <w:outlineLvl w:val="2"/>
    </w:pPr>
    <w:rPr>
      <w:rFonts w:ascii="黑体" w:hAnsi="黑体" w:eastAsia="黑体"/>
      <w:b/>
      <w:bCs/>
      <w:sz w:val="24"/>
      <w:szCs w:val="24"/>
    </w:rPr>
  </w:style>
  <w:style w:type="paragraph" w:styleId="20">
    <w:name w:val="List Paragraph"/>
    <w:basedOn w:val="1"/>
    <w:autoRedefine/>
    <w:qFormat/>
    <w:uiPriority w:val="34"/>
    <w:pPr>
      <w:numPr>
        <w:ilvl w:val="0"/>
        <w:numId w:val="1"/>
      </w:numPr>
      <w:spacing w:line="360" w:lineRule="auto"/>
    </w:pPr>
  </w:style>
  <w:style w:type="paragraph" w:customStyle="1" w:styleId="21">
    <w:name w:val="Table Paragraph"/>
    <w:basedOn w:val="1"/>
    <w:autoRedefine/>
    <w:qFormat/>
    <w:uiPriority w:val="1"/>
  </w:style>
  <w:style w:type="character" w:customStyle="1" w:styleId="22">
    <w:name w:val="页眉 字符"/>
    <w:basedOn w:val="13"/>
    <w:link w:val="7"/>
    <w:autoRedefine/>
    <w:qFormat/>
    <w:uiPriority w:val="99"/>
    <w:rPr>
      <w:sz w:val="18"/>
      <w:szCs w:val="18"/>
    </w:rPr>
  </w:style>
  <w:style w:type="character" w:customStyle="1" w:styleId="23">
    <w:name w:val="页脚 字符"/>
    <w:basedOn w:val="13"/>
    <w:link w:val="6"/>
    <w:autoRedefine/>
    <w:qFormat/>
    <w:uiPriority w:val="99"/>
    <w:rPr>
      <w:sz w:val="18"/>
      <w:szCs w:val="18"/>
    </w:rPr>
  </w:style>
  <w:style w:type="character" w:customStyle="1" w:styleId="24">
    <w:name w:val="批注框文本 字符"/>
    <w:basedOn w:val="13"/>
    <w:link w:val="5"/>
    <w:autoRedefine/>
    <w:qFormat/>
    <w:uiPriority w:val="99"/>
    <w:rPr>
      <w:sz w:val="18"/>
      <w:szCs w:val="18"/>
    </w:rPr>
  </w:style>
  <w:style w:type="character" w:customStyle="1" w:styleId="25">
    <w:name w:val="标题 1 字符"/>
    <w:basedOn w:val="13"/>
    <w:link w:val="2"/>
    <w:autoRedefine/>
    <w:qFormat/>
    <w:uiPriority w:val="0"/>
    <w:rPr>
      <w:rFonts w:ascii="Arial" w:hAnsi="Arial" w:eastAsia="宋体" w:cs="Times New Roman"/>
      <w:b/>
      <w:bCs/>
      <w:kern w:val="44"/>
      <w:sz w:val="24"/>
      <w:szCs w:val="44"/>
      <w:lang w:eastAsia="zh-CN"/>
    </w:rPr>
  </w:style>
  <w:style w:type="character" w:customStyle="1" w:styleId="26">
    <w:name w:val="批注文字 字符"/>
    <w:basedOn w:val="13"/>
    <w:link w:val="3"/>
    <w:autoRedefine/>
    <w:semiHidden/>
    <w:qFormat/>
    <w:uiPriority w:val="99"/>
  </w:style>
  <w:style w:type="character" w:customStyle="1" w:styleId="27">
    <w:name w:val="批注主题 字符"/>
    <w:basedOn w:val="26"/>
    <w:link w:val="10"/>
    <w:autoRedefine/>
    <w:semiHidden/>
    <w:qFormat/>
    <w:uiPriority w:val="99"/>
    <w:rPr>
      <w:b/>
      <w:bCs/>
    </w:rPr>
  </w:style>
  <w:style w:type="paragraph" w:customStyle="1" w:styleId="28">
    <w:name w:val="修订1"/>
    <w:autoRedefine/>
    <w:hidden/>
    <w:semiHidden/>
    <w:qFormat/>
    <w:uiPriority w:val="99"/>
    <w:rPr>
      <w:rFonts w:asciiTheme="minorHAnsi" w:hAnsiTheme="minorHAnsi" w:eastAsiaTheme="minorEastAsia" w:cstheme="minorBidi"/>
      <w:sz w:val="22"/>
      <w:szCs w:val="22"/>
      <w:lang w:val="en-US" w:eastAsia="en-US" w:bidi="ar-SA"/>
    </w:rPr>
  </w:style>
  <w:style w:type="character" w:customStyle="1" w:styleId="29">
    <w:name w:val="005正文 Char"/>
    <w:link w:val="30"/>
    <w:autoRedefine/>
    <w:qFormat/>
    <w:uiPriority w:val="0"/>
    <w:rPr>
      <w:rFonts w:ascii="Times New Roman" w:hAnsi="Times New Roman" w:eastAsia="宋体" w:cs="Times New Roman"/>
      <w:sz w:val="24"/>
    </w:rPr>
  </w:style>
  <w:style w:type="paragraph" w:customStyle="1" w:styleId="30">
    <w:name w:val="005正文"/>
    <w:basedOn w:val="1"/>
    <w:link w:val="29"/>
    <w:autoRedefine/>
    <w:qFormat/>
    <w:uiPriority w:val="0"/>
    <w:pPr>
      <w:adjustRightInd w:val="0"/>
      <w:snapToGrid w:val="0"/>
      <w:spacing w:beforeLines="50" w:line="360" w:lineRule="auto"/>
      <w:ind w:firstLine="200" w:firstLineChars="200"/>
      <w:jc w:val="both"/>
    </w:pPr>
    <w:rPr>
      <w:rFonts w:ascii="Times New Roman" w:hAnsi="Times New Roman" w:eastAsia="宋体" w:cs="Times New Roman"/>
      <w:sz w:val="24"/>
    </w:rPr>
  </w:style>
  <w:style w:type="paragraph" w:customStyle="1" w:styleId="31">
    <w:name w:val="表格-航宇科技"/>
    <w:basedOn w:val="1"/>
    <w:link w:val="32"/>
    <w:autoRedefine/>
    <w:semiHidden/>
    <w:qFormat/>
    <w:uiPriority w:val="0"/>
    <w:pPr>
      <w:autoSpaceDE w:val="0"/>
      <w:autoSpaceDN w:val="0"/>
      <w:adjustRightInd w:val="0"/>
      <w:jc w:val="center"/>
    </w:pPr>
    <w:rPr>
      <w:rFonts w:ascii="Times New Roman" w:hAnsi="Times New Roman" w:eastAsia="宋体" w:cs="Tahoma"/>
      <w:sz w:val="21"/>
      <w:szCs w:val="24"/>
      <w:lang w:eastAsia="zh-CN"/>
    </w:rPr>
  </w:style>
  <w:style w:type="character" w:customStyle="1" w:styleId="32">
    <w:name w:val="表格-航宇科技 字符"/>
    <w:basedOn w:val="13"/>
    <w:link w:val="31"/>
    <w:autoRedefine/>
    <w:semiHidden/>
    <w:qFormat/>
    <w:uiPriority w:val="0"/>
    <w:rPr>
      <w:rFonts w:ascii="Times New Roman" w:hAnsi="Times New Roman" w:eastAsia="宋体" w:cs="Tahoma"/>
      <w:sz w:val="21"/>
      <w:szCs w:val="24"/>
    </w:rPr>
  </w:style>
  <w:style w:type="character" w:customStyle="1" w:styleId="33">
    <w:name w:val="HTML 预设格式 字符"/>
    <w:basedOn w:val="13"/>
    <w:link w:val="8"/>
    <w:autoRedefine/>
    <w:semiHidden/>
    <w:qFormat/>
    <w:uiPriority w:val="99"/>
    <w:rPr>
      <w:rFonts w:ascii="宋体" w:hAnsi="宋体" w:eastAsia="宋体" w:cs="宋体"/>
      <w:sz w:val="24"/>
      <w:szCs w:val="24"/>
    </w:rPr>
  </w:style>
  <w:style w:type="paragraph" w:customStyle="1" w:styleId="34">
    <w:name w:val="004四级标题"/>
    <w:basedOn w:val="1"/>
    <w:autoRedefine/>
    <w:qFormat/>
    <w:uiPriority w:val="0"/>
    <w:pPr>
      <w:keepNext/>
      <w:keepLines/>
      <w:adjustRightInd w:val="0"/>
      <w:snapToGrid w:val="0"/>
      <w:spacing w:beforeLines="50" w:after="20" w:line="360" w:lineRule="auto"/>
      <w:ind w:firstLine="200" w:firstLineChars="200"/>
      <w:jc w:val="both"/>
      <w:outlineLvl w:val="3"/>
    </w:pPr>
    <w:rPr>
      <w:rFonts w:ascii="Times New Roman" w:hAnsi="Times New Roman" w:eastAsia="宋体" w:cs="Times New Roman"/>
      <w:b/>
      <w:bCs/>
      <w:kern w:val="2"/>
      <w:sz w:val="24"/>
      <w:szCs w:val="28"/>
      <w:lang w:eastAsia="zh-CN"/>
    </w:rPr>
  </w:style>
  <w:style w:type="paragraph" w:customStyle="1" w:styleId="35">
    <w:name w:val="修订2"/>
    <w:autoRedefine/>
    <w:hidden/>
    <w:semiHidden/>
    <w:qFormat/>
    <w:uiPriority w:val="99"/>
    <w:rPr>
      <w:rFonts w:asciiTheme="minorHAnsi" w:hAnsiTheme="minorHAnsi" w:eastAsiaTheme="minorEastAsia" w:cstheme="minorBidi"/>
      <w:sz w:val="22"/>
      <w:szCs w:val="22"/>
      <w:lang w:val="en-US" w:eastAsia="en-US" w:bidi="ar-SA"/>
    </w:rPr>
  </w:style>
  <w:style w:type="paragraph" w:customStyle="1" w:styleId="36">
    <w:name w:val="修订3"/>
    <w:autoRedefine/>
    <w:hidden/>
    <w:semiHidden/>
    <w:qFormat/>
    <w:uiPriority w:val="99"/>
    <w:rPr>
      <w:rFonts w:asciiTheme="minorHAnsi" w:hAnsiTheme="minorHAnsi" w:eastAsiaTheme="minorEastAsia" w:cstheme="minorBidi"/>
      <w:sz w:val="22"/>
      <w:szCs w:val="22"/>
      <w:lang w:val="en-US" w:eastAsia="en-US" w:bidi="ar-SA"/>
    </w:rPr>
  </w:style>
  <w:style w:type="paragraph" w:customStyle="1" w:styleId="37">
    <w:name w:val="p2"/>
    <w:basedOn w:val="1"/>
    <w:qFormat/>
    <w:uiPriority w:val="0"/>
    <w:rPr>
      <w:rFonts w:ascii="Helvetica Neue" w:hAnsi="Helvetica Neue" w:eastAsia="Helvetica Neue" w:cs="Times New Roman"/>
      <w:sz w:val="26"/>
      <w:szCs w:val="26"/>
      <w:lang w:eastAsia="zh-CN"/>
    </w:rPr>
  </w:style>
  <w:style w:type="paragraph" w:customStyle="1" w:styleId="38">
    <w:name w:val="First Paragraph"/>
    <w:basedOn w:val="4"/>
    <w:next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3613</Words>
  <Characters>3984</Characters>
  <Lines>29</Lines>
  <Paragraphs>8</Paragraphs>
  <TotalTime>3</TotalTime>
  <ScaleCrop>false</ScaleCrop>
  <LinksUpToDate>false</LinksUpToDate>
  <CharactersWithSpaces>4071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2026-08-26T08:55:00Z</dcterms:created>
  <dc:creator>zengyun</dc:creator>
  <cp:lastModifiedBy>杨荣宣</cp:lastModifiedBy>
  <cp:lastPrinted>2024-01-06T09:08:00Z</cp:lastPrinted>
  <dcterms:modified xsi:type="dcterms:W3CDTF">2026-08-26T08:58:56Z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2021-04-29T00:00:00Z</vt:filetime>
  </property>
  <property fmtid="{D5CDD505-2E9C-101B-9397-08002B2CF9AE}" pid="3" name="Creator">
    <vt:lpwstr>Microsoft® Office Word 2007</vt:lpwstr>
  </property>
  <property fmtid="{D5CDD505-2E9C-101B-9397-08002B2CF9AE}" pid="4" name="LastSaved">
    <vt:filetime>2021-07-07T00:00:00Z</vt:filetime>
  </property>
  <property fmtid="{D5CDD505-2E9C-101B-9397-08002B2CF9AE}" pid="5" name="KSOProductBuildVer">
    <vt:lpwstr>2052-12.1.0.28043</vt:lpwstr>
  </property>
  <property fmtid="{D5CDD505-2E9C-101B-9397-08002B2CF9AE}" pid="6" name="ICV">
    <vt:lpwstr>E87E8F80EABE4EE89EFE464AD4CDF83D_13</vt:lpwstr>
  </property>
  <property fmtid="{D5CDD505-2E9C-101B-9397-08002B2CF9AE}" pid="7" name="KSOTemplateDocerSaveRecord">
    <vt:lpwstr>eyJoZGlkIjoiMDA3Y2I5OThlNjc3YjFjODlhY2EzYWI1NjcxZWM1OGYiLCJ1c2VySWQiOiI0NzgyNjExOTgifQ==</vt:lpwstr>
  </property>
</Properties>
</file>