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3C1BA">
      <w:pPr>
        <w:spacing w:before="156" w:beforeLines="50" w:after="156" w:afterLines="50" w:line="400" w:lineRule="exact"/>
        <w:rPr>
          <w:rFonts w:ascii="宋体" w:hAnsi="宋体"/>
          <w:b/>
          <w:iCs/>
          <w:color w:val="000000"/>
          <w:sz w:val="24"/>
        </w:rPr>
      </w:pPr>
      <w:bookmarkStart w:id="0" w:name="_GoBack"/>
      <w:bookmarkEnd w:id="0"/>
      <w:r>
        <w:rPr>
          <w:rFonts w:hint="eastAsia" w:ascii="宋体" w:hAnsi="宋体"/>
          <w:b/>
          <w:iCs/>
          <w:color w:val="000000"/>
          <w:sz w:val="24"/>
        </w:rPr>
        <w:t>证券代码：6</w:t>
      </w:r>
      <w:r>
        <w:rPr>
          <w:rFonts w:ascii="宋体" w:hAnsi="宋体"/>
          <w:b/>
          <w:iCs/>
          <w:color w:val="000000"/>
          <w:sz w:val="24"/>
        </w:rPr>
        <w:t xml:space="preserve">88268                                   </w:t>
      </w:r>
      <w:r>
        <w:rPr>
          <w:rFonts w:hint="eastAsia" w:ascii="宋体" w:hAnsi="宋体"/>
          <w:b/>
          <w:iCs/>
          <w:color w:val="000000"/>
          <w:sz w:val="24"/>
        </w:rPr>
        <w:t>证券简称：华特气体</w:t>
      </w:r>
    </w:p>
    <w:p w14:paraId="042D792A">
      <w:pPr>
        <w:spacing w:before="156" w:beforeLines="50" w:after="156" w:afterLines="50" w:line="400" w:lineRule="exact"/>
        <w:jc w:val="center"/>
        <w:rPr>
          <w:rFonts w:ascii="黑体" w:hAnsi="黑体" w:eastAsia="黑体" w:cs="黑体"/>
          <w:b/>
          <w:bCs/>
          <w:iCs/>
          <w:color w:val="000000"/>
          <w:sz w:val="36"/>
          <w:szCs w:val="36"/>
        </w:rPr>
      </w:pPr>
      <w:r>
        <w:rPr>
          <w:rFonts w:hint="eastAsia" w:ascii="黑体" w:hAnsi="黑体" w:eastAsia="黑体" w:cs="黑体"/>
          <w:b/>
          <w:bCs/>
          <w:iCs/>
          <w:color w:val="000000"/>
          <w:sz w:val="36"/>
          <w:szCs w:val="36"/>
        </w:rPr>
        <w:t>广东华特气体股份有限公司</w:t>
      </w:r>
    </w:p>
    <w:p w14:paraId="195F9CE9">
      <w:pPr>
        <w:spacing w:before="156" w:beforeLines="50" w:after="156" w:afterLines="50" w:line="400" w:lineRule="exact"/>
        <w:jc w:val="center"/>
        <w:rPr>
          <w:rFonts w:ascii="黑体" w:hAnsi="黑体" w:eastAsia="黑体" w:cs="黑体"/>
          <w:b/>
          <w:bCs/>
          <w:iCs/>
          <w:color w:val="000000"/>
          <w:sz w:val="36"/>
          <w:szCs w:val="36"/>
        </w:rPr>
      </w:pPr>
      <w:r>
        <w:rPr>
          <w:rFonts w:hint="eastAsia" w:ascii="黑体" w:hAnsi="黑体" w:eastAsia="黑体" w:cs="黑体"/>
          <w:b/>
          <w:bCs/>
          <w:iCs/>
          <w:color w:val="000000"/>
          <w:sz w:val="36"/>
          <w:szCs w:val="36"/>
        </w:rPr>
        <w:t>投资者关系活动记录表</w:t>
      </w:r>
    </w:p>
    <w:p w14:paraId="2722814F">
      <w:pPr>
        <w:spacing w:line="400" w:lineRule="exact"/>
        <w:jc w:val="right"/>
        <w:rPr>
          <w:rFonts w:hint="eastAsia" w:ascii="宋体" w:hAnsi="宋体" w:eastAsia="宋体"/>
          <w:bCs/>
          <w:iCs/>
          <w:color w:val="000000"/>
          <w:sz w:val="24"/>
          <w:lang w:eastAsia="zh-CN"/>
        </w:rPr>
      </w:pPr>
      <w:r>
        <w:rPr>
          <w:rFonts w:hint="eastAsia" w:ascii="宋体" w:hAnsi="宋体"/>
          <w:bCs/>
          <w:iCs/>
          <w:color w:val="000000"/>
          <w:sz w:val="24"/>
        </w:rPr>
        <w:t>编号：2026</w:t>
      </w:r>
      <w:r>
        <w:rPr>
          <w:rFonts w:ascii="宋体" w:hAnsi="宋体"/>
          <w:bCs/>
          <w:iCs/>
          <w:color w:val="000000"/>
          <w:sz w:val="24"/>
        </w:rPr>
        <w:t>-00</w:t>
      </w:r>
      <w:r>
        <w:rPr>
          <w:rFonts w:hint="default" w:ascii="宋体" w:hAnsi="宋体"/>
          <w:bCs/>
          <w:iCs/>
          <w:color w:val="000000"/>
          <w:sz w:val="24"/>
          <w:lang w:val="en-US"/>
        </w:rPr>
        <w:t>5</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614"/>
      </w:tblGrid>
      <w:tr w14:paraId="4D23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4187BF49">
            <w:pPr>
              <w:spacing w:line="480" w:lineRule="atLeast"/>
              <w:rPr>
                <w:rFonts w:ascii="宋体" w:hAnsi="宋体"/>
                <w:bCs/>
                <w:iCs/>
                <w:color w:val="000000"/>
                <w:sz w:val="24"/>
              </w:rPr>
            </w:pPr>
            <w:r>
              <w:rPr>
                <w:rFonts w:hint="eastAsia" w:ascii="宋体" w:hAnsi="宋体"/>
                <w:bCs/>
                <w:iCs/>
                <w:color w:val="000000"/>
                <w:sz w:val="24"/>
              </w:rPr>
              <w:t>投资者关系活动类别</w:t>
            </w:r>
          </w:p>
          <w:p w14:paraId="26FC046D">
            <w:pPr>
              <w:spacing w:line="480" w:lineRule="atLeast"/>
              <w:rPr>
                <w:rFonts w:ascii="宋体" w:hAnsi="宋体"/>
                <w:bCs/>
                <w:iCs/>
                <w:color w:val="000000"/>
                <w:sz w:val="24"/>
              </w:rPr>
            </w:pP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0BE7F5E6">
            <w:pPr>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 xml:space="preserve">特定对象调研 </w:t>
            </w:r>
            <w:r>
              <w:rPr>
                <w:rFonts w:ascii="宋体" w:hAnsi="宋体"/>
                <w:sz w:val="24"/>
              </w:rPr>
              <w:t xml:space="preserve">   </w:t>
            </w:r>
            <w:r>
              <w:rPr>
                <w:rFonts w:hint="eastAsia" w:ascii="宋体" w:hAnsi="宋体"/>
                <w:bCs/>
                <w:iCs/>
                <w:color w:val="000000"/>
                <w:sz w:val="24"/>
              </w:rPr>
              <w:t>□</w:t>
            </w:r>
            <w:r>
              <w:rPr>
                <w:rFonts w:hint="eastAsia" w:ascii="宋体" w:hAnsi="宋体"/>
                <w:sz w:val="24"/>
              </w:rPr>
              <w:t>分析师会议</w:t>
            </w:r>
          </w:p>
          <w:p w14:paraId="154B6F74">
            <w:pPr>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 xml:space="preserve">媒体采访 </w:t>
            </w:r>
            <w:r>
              <w:rPr>
                <w:rFonts w:ascii="宋体" w:hAnsi="宋体"/>
                <w:sz w:val="24"/>
              </w:rPr>
              <w:t xml:space="preserve">       </w:t>
            </w:r>
            <w:r>
              <w:rPr>
                <w:rFonts w:hint="eastAsia" w:ascii="宋体" w:hAnsi="宋体"/>
                <w:bCs/>
                <w:iCs/>
                <w:color w:val="000000"/>
                <w:sz w:val="24"/>
              </w:rPr>
              <w:t>□</w:t>
            </w:r>
            <w:r>
              <w:rPr>
                <w:rFonts w:hint="eastAsia" w:ascii="宋体" w:hAnsi="宋体"/>
                <w:sz w:val="24"/>
              </w:rPr>
              <w:t>业绩说明会</w:t>
            </w:r>
          </w:p>
          <w:p w14:paraId="20E38853">
            <w:pPr>
              <w:spacing w:line="480" w:lineRule="atLeast"/>
              <w:rPr>
                <w:rFonts w:ascii="宋体" w:hAnsi="宋体"/>
                <w:bCs/>
                <w:iCs/>
                <w:color w:val="000000"/>
                <w:sz w:val="24"/>
              </w:rPr>
            </w:pPr>
            <w:r>
              <w:rPr>
                <w:rFonts w:hint="eastAsia" w:ascii="宋体" w:hAnsi="宋体"/>
                <w:bCs/>
                <w:iCs/>
                <w:color w:val="000000"/>
                <w:sz w:val="24"/>
              </w:rPr>
              <w:sym w:font="Wingdings 2" w:char="00A3"/>
            </w:r>
            <w:r>
              <w:rPr>
                <w:rFonts w:hint="eastAsia" w:ascii="宋体" w:hAnsi="宋体"/>
                <w:sz w:val="24"/>
              </w:rPr>
              <w:t xml:space="preserve">新闻发布会 </w:t>
            </w:r>
            <w:r>
              <w:rPr>
                <w:rFonts w:ascii="宋体" w:hAnsi="宋体"/>
                <w:sz w:val="24"/>
              </w:rPr>
              <w:t xml:space="preserve">     </w:t>
            </w:r>
            <w:r>
              <w:rPr>
                <w:rFonts w:hint="eastAsia" w:ascii="宋体" w:hAnsi="宋体"/>
                <w:bCs/>
                <w:iCs/>
                <w:color w:val="000000"/>
                <w:sz w:val="24"/>
              </w:rPr>
              <w:t>□</w:t>
            </w:r>
            <w:r>
              <w:rPr>
                <w:rFonts w:hint="eastAsia" w:ascii="宋体" w:hAnsi="宋体"/>
                <w:sz w:val="24"/>
              </w:rPr>
              <w:t>路演活动</w:t>
            </w:r>
          </w:p>
          <w:p w14:paraId="28BDA984">
            <w:pPr>
              <w:tabs>
                <w:tab w:val="left" w:pos="3045"/>
                <w:tab w:val="center" w:pos="3199"/>
              </w:tabs>
              <w:spacing w:line="480" w:lineRule="atLeast"/>
              <w:rPr>
                <w:rFonts w:ascii="宋体" w:hAnsi="宋体"/>
                <w:bCs/>
                <w:iCs/>
                <w:color w:val="000000"/>
                <w:sz w:val="24"/>
              </w:rPr>
            </w:pPr>
            <w:r>
              <w:rPr>
                <w:rFonts w:hint="eastAsia" w:ascii="宋体" w:hAnsi="宋体"/>
                <w:bCs/>
                <w:iCs/>
                <w:color w:val="000000"/>
                <w:sz w:val="24"/>
              </w:rPr>
              <w:t>□</w:t>
            </w:r>
            <w:r>
              <w:rPr>
                <w:rFonts w:hint="eastAsia" w:ascii="宋体" w:hAnsi="宋体"/>
                <w:sz w:val="24"/>
              </w:rPr>
              <w:t>现场参观</w:t>
            </w:r>
            <w:r>
              <w:rPr>
                <w:rFonts w:hint="eastAsia" w:ascii="宋体" w:hAnsi="宋体"/>
                <w:bCs/>
                <w:iCs/>
                <w:color w:val="000000"/>
                <w:sz w:val="24"/>
              </w:rPr>
              <w:tab/>
            </w:r>
          </w:p>
          <w:p w14:paraId="7364D65B">
            <w:pPr>
              <w:rPr>
                <w:rFonts w:ascii="宋体" w:hAnsi="宋体"/>
                <w:sz w:val="28"/>
                <w:szCs w:val="28"/>
              </w:rPr>
            </w:pPr>
            <w:r>
              <w:rPr>
                <w:rFonts w:hint="eastAsia" w:ascii="宋体" w:hAnsi="宋体"/>
                <w:bCs/>
                <w:iCs/>
                <w:color w:val="000000"/>
                <w:sz w:val="24"/>
              </w:rPr>
              <w:t>□</w:t>
            </w:r>
            <w:r>
              <w:rPr>
                <w:rFonts w:hint="eastAsia" w:ascii="宋体" w:hAnsi="宋体"/>
                <w:sz w:val="24"/>
              </w:rPr>
              <w:t>其他</w:t>
            </w:r>
          </w:p>
        </w:tc>
      </w:tr>
      <w:tr w14:paraId="6A54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08" w:type="dxa"/>
            <w:tcBorders>
              <w:top w:val="single" w:color="auto" w:sz="4" w:space="0"/>
              <w:left w:val="single" w:color="auto" w:sz="4" w:space="0"/>
              <w:bottom w:val="single" w:color="auto" w:sz="4" w:space="0"/>
              <w:right w:val="single" w:color="auto" w:sz="4" w:space="0"/>
            </w:tcBorders>
            <w:shd w:val="clear" w:color="auto" w:fill="auto"/>
          </w:tcPr>
          <w:p w14:paraId="48FC938B">
            <w:pPr>
              <w:spacing w:line="480" w:lineRule="atLeast"/>
              <w:rPr>
                <w:rFonts w:ascii="宋体" w:hAnsi="宋体"/>
                <w:bCs/>
                <w:iCs/>
                <w:color w:val="000000"/>
                <w:sz w:val="24"/>
              </w:rPr>
            </w:pPr>
            <w:r>
              <w:rPr>
                <w:rFonts w:hint="eastAsia" w:ascii="宋体" w:hAnsi="宋体"/>
                <w:bCs/>
                <w:iCs/>
                <w:color w:val="000000"/>
                <w:sz w:val="24"/>
              </w:rPr>
              <w:t>参与单位名称</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47CC6ABB">
            <w:pPr>
              <w:spacing w:line="360" w:lineRule="auto"/>
              <w:rPr>
                <w:rFonts w:ascii="宋体" w:hAnsi="宋体"/>
                <w:sz w:val="24"/>
              </w:rPr>
            </w:pPr>
            <w:r>
              <w:rPr>
                <w:rFonts w:hint="eastAsia" w:ascii="宋体" w:hAnsi="宋体"/>
                <w:sz w:val="24"/>
              </w:rPr>
              <w:t>J.P.MORGANSECURITIES(ASIAPACIFIC)LIMITED</w:t>
            </w:r>
            <w:r>
              <w:rPr>
                <w:rFonts w:hint="eastAsia" w:ascii="宋体" w:hAnsi="宋体"/>
                <w:sz w:val="24"/>
                <w:lang w:eastAsia="zh-CN"/>
              </w:rPr>
              <w:t>、</w:t>
            </w:r>
            <w:r>
              <w:rPr>
                <w:rFonts w:hint="eastAsia" w:ascii="宋体" w:hAnsi="宋体"/>
                <w:sz w:val="24"/>
              </w:rPr>
              <w:t>爱建证券</w:t>
            </w:r>
            <w:r>
              <w:rPr>
                <w:rFonts w:hint="eastAsia" w:ascii="宋体" w:hAnsi="宋体"/>
                <w:sz w:val="24"/>
                <w:lang w:eastAsia="zh-CN"/>
              </w:rPr>
              <w:t>、</w:t>
            </w:r>
            <w:r>
              <w:rPr>
                <w:rFonts w:hint="eastAsia" w:ascii="宋体" w:hAnsi="宋体"/>
                <w:sz w:val="24"/>
              </w:rPr>
              <w:t>北京京管泰富基金</w:t>
            </w:r>
            <w:r>
              <w:rPr>
                <w:rFonts w:hint="eastAsia" w:ascii="宋体" w:hAnsi="宋体"/>
                <w:sz w:val="24"/>
                <w:lang w:eastAsia="zh-CN"/>
              </w:rPr>
              <w:t>、</w:t>
            </w:r>
            <w:r>
              <w:rPr>
                <w:rFonts w:hint="eastAsia" w:ascii="宋体" w:hAnsi="宋体"/>
                <w:sz w:val="24"/>
              </w:rPr>
              <w:t>财达证券</w:t>
            </w:r>
            <w:r>
              <w:rPr>
                <w:rFonts w:hint="eastAsia" w:ascii="宋体" w:hAnsi="宋体"/>
                <w:sz w:val="24"/>
                <w:lang w:eastAsia="zh-CN"/>
              </w:rPr>
              <w:t>、</w:t>
            </w:r>
            <w:r>
              <w:rPr>
                <w:rFonts w:hint="eastAsia" w:ascii="宋体" w:hAnsi="宋体"/>
                <w:sz w:val="24"/>
              </w:rPr>
              <w:t>财通证券</w:t>
            </w:r>
            <w:r>
              <w:rPr>
                <w:rFonts w:hint="eastAsia" w:ascii="宋体" w:hAnsi="宋体"/>
                <w:sz w:val="24"/>
                <w:lang w:eastAsia="zh-CN"/>
              </w:rPr>
              <w:t>、</w:t>
            </w:r>
            <w:r>
              <w:rPr>
                <w:rFonts w:hint="eastAsia" w:ascii="宋体" w:hAnsi="宋体"/>
                <w:sz w:val="24"/>
              </w:rPr>
              <w:t>第一上海证券</w:t>
            </w:r>
            <w:r>
              <w:rPr>
                <w:rFonts w:hint="eastAsia" w:ascii="宋体" w:hAnsi="宋体"/>
                <w:sz w:val="24"/>
                <w:lang w:eastAsia="zh-CN"/>
              </w:rPr>
              <w:t>、</w:t>
            </w:r>
            <w:r>
              <w:rPr>
                <w:rFonts w:hint="eastAsia" w:ascii="宋体" w:hAnsi="宋体"/>
                <w:sz w:val="24"/>
              </w:rPr>
              <w:t>东方财富证券</w:t>
            </w:r>
            <w:r>
              <w:rPr>
                <w:rFonts w:hint="eastAsia" w:ascii="宋体" w:hAnsi="宋体"/>
                <w:sz w:val="24"/>
                <w:lang w:eastAsia="zh-CN"/>
              </w:rPr>
              <w:t>、</w:t>
            </w:r>
            <w:r>
              <w:rPr>
                <w:rFonts w:hint="eastAsia" w:ascii="宋体" w:hAnsi="宋体"/>
                <w:sz w:val="24"/>
              </w:rPr>
              <w:t>光大保德信基金</w:t>
            </w:r>
            <w:r>
              <w:rPr>
                <w:rFonts w:hint="eastAsia" w:ascii="宋体" w:hAnsi="宋体"/>
                <w:sz w:val="24"/>
                <w:lang w:eastAsia="zh-CN"/>
              </w:rPr>
              <w:t>、</w:t>
            </w:r>
            <w:r>
              <w:rPr>
                <w:rFonts w:hint="eastAsia" w:ascii="宋体" w:hAnsi="宋体"/>
                <w:sz w:val="24"/>
              </w:rPr>
              <w:t>光大证券</w:t>
            </w:r>
            <w:r>
              <w:rPr>
                <w:rFonts w:hint="eastAsia" w:ascii="宋体" w:hAnsi="宋体"/>
                <w:sz w:val="24"/>
                <w:lang w:eastAsia="zh-CN"/>
              </w:rPr>
              <w:t>、</w:t>
            </w:r>
            <w:r>
              <w:rPr>
                <w:rFonts w:hint="eastAsia" w:ascii="宋体" w:hAnsi="宋体"/>
                <w:sz w:val="24"/>
              </w:rPr>
              <w:t>广州瑞民投资</w:t>
            </w:r>
            <w:r>
              <w:rPr>
                <w:rFonts w:hint="eastAsia" w:ascii="宋体" w:hAnsi="宋体"/>
                <w:sz w:val="24"/>
                <w:lang w:eastAsia="zh-CN"/>
              </w:rPr>
              <w:t>、</w:t>
            </w:r>
            <w:r>
              <w:rPr>
                <w:rFonts w:hint="eastAsia" w:ascii="宋体" w:hAnsi="宋体"/>
                <w:sz w:val="24"/>
              </w:rPr>
              <w:t>国华兴益保险资产</w:t>
            </w:r>
            <w:r>
              <w:rPr>
                <w:rFonts w:hint="eastAsia" w:ascii="宋体" w:hAnsi="宋体"/>
                <w:sz w:val="24"/>
                <w:lang w:eastAsia="zh-CN"/>
              </w:rPr>
              <w:t>、</w:t>
            </w:r>
            <w:r>
              <w:rPr>
                <w:rFonts w:hint="eastAsia" w:ascii="宋体" w:hAnsi="宋体"/>
                <w:sz w:val="24"/>
              </w:rPr>
              <w:t>国泰海通证券</w:t>
            </w:r>
            <w:r>
              <w:rPr>
                <w:rFonts w:hint="eastAsia" w:ascii="宋体" w:hAnsi="宋体"/>
                <w:sz w:val="24"/>
                <w:lang w:eastAsia="zh-CN"/>
              </w:rPr>
              <w:t>、</w:t>
            </w:r>
            <w:r>
              <w:rPr>
                <w:rFonts w:hint="eastAsia" w:ascii="宋体" w:hAnsi="宋体"/>
                <w:sz w:val="24"/>
              </w:rPr>
              <w:t>海南进化论私募基金</w:t>
            </w:r>
            <w:r>
              <w:rPr>
                <w:rFonts w:hint="eastAsia" w:ascii="宋体" w:hAnsi="宋体"/>
                <w:sz w:val="24"/>
                <w:lang w:eastAsia="zh-CN"/>
              </w:rPr>
              <w:t>、</w:t>
            </w:r>
            <w:r>
              <w:rPr>
                <w:rFonts w:hint="eastAsia" w:ascii="宋体" w:hAnsi="宋体"/>
                <w:sz w:val="24"/>
              </w:rPr>
              <w:t>杭州君煦投资</w:t>
            </w:r>
            <w:r>
              <w:rPr>
                <w:rFonts w:hint="eastAsia" w:ascii="宋体" w:hAnsi="宋体"/>
                <w:sz w:val="24"/>
                <w:lang w:eastAsia="zh-CN"/>
              </w:rPr>
              <w:t>、</w:t>
            </w:r>
            <w:r>
              <w:rPr>
                <w:rFonts w:hint="eastAsia" w:ascii="宋体" w:hAnsi="宋体"/>
                <w:sz w:val="24"/>
              </w:rPr>
              <w:t>和谐健康保险</w:t>
            </w:r>
            <w:r>
              <w:rPr>
                <w:rFonts w:hint="eastAsia" w:ascii="宋体" w:hAnsi="宋体"/>
                <w:sz w:val="24"/>
                <w:lang w:eastAsia="zh-CN"/>
              </w:rPr>
              <w:t>、</w:t>
            </w:r>
            <w:r>
              <w:rPr>
                <w:rFonts w:hint="eastAsia" w:ascii="宋体" w:hAnsi="宋体"/>
                <w:sz w:val="24"/>
              </w:rPr>
              <w:t>鸿运私募基金</w:t>
            </w:r>
            <w:r>
              <w:rPr>
                <w:rFonts w:hint="eastAsia" w:ascii="宋体" w:hAnsi="宋体"/>
                <w:sz w:val="24"/>
                <w:lang w:eastAsia="zh-CN"/>
              </w:rPr>
              <w:t>、</w:t>
            </w:r>
            <w:r>
              <w:rPr>
                <w:rFonts w:hint="eastAsia" w:ascii="宋体" w:hAnsi="宋体"/>
                <w:sz w:val="24"/>
              </w:rPr>
              <w:t>华创证券</w:t>
            </w:r>
            <w:r>
              <w:rPr>
                <w:rFonts w:hint="eastAsia" w:ascii="宋体" w:hAnsi="宋体"/>
                <w:sz w:val="24"/>
                <w:lang w:eastAsia="zh-CN"/>
              </w:rPr>
              <w:t>、</w:t>
            </w:r>
            <w:r>
              <w:rPr>
                <w:rFonts w:hint="eastAsia" w:ascii="宋体" w:hAnsi="宋体"/>
                <w:sz w:val="24"/>
              </w:rPr>
              <w:t>华西证券</w:t>
            </w:r>
            <w:r>
              <w:rPr>
                <w:rFonts w:hint="eastAsia" w:ascii="宋体" w:hAnsi="宋体"/>
                <w:sz w:val="24"/>
                <w:lang w:eastAsia="zh-CN"/>
              </w:rPr>
              <w:t>、</w:t>
            </w:r>
            <w:r>
              <w:rPr>
                <w:rFonts w:hint="eastAsia" w:ascii="宋体" w:hAnsi="宋体"/>
                <w:sz w:val="24"/>
              </w:rPr>
              <w:t>华鑫证券</w:t>
            </w:r>
            <w:r>
              <w:rPr>
                <w:rFonts w:hint="eastAsia" w:ascii="宋体" w:hAnsi="宋体"/>
                <w:sz w:val="24"/>
                <w:lang w:eastAsia="zh-CN"/>
              </w:rPr>
              <w:t>、</w:t>
            </w:r>
            <w:r>
              <w:rPr>
                <w:rFonts w:hint="eastAsia" w:ascii="宋体" w:hAnsi="宋体"/>
                <w:sz w:val="24"/>
              </w:rPr>
              <w:t>马可波罗中国资产</w:t>
            </w:r>
            <w:r>
              <w:rPr>
                <w:rFonts w:hint="eastAsia" w:ascii="宋体" w:hAnsi="宋体"/>
                <w:sz w:val="24"/>
                <w:lang w:eastAsia="zh-CN"/>
              </w:rPr>
              <w:t>、</w:t>
            </w:r>
            <w:r>
              <w:rPr>
                <w:rFonts w:hint="eastAsia" w:ascii="宋体" w:hAnsi="宋体"/>
                <w:sz w:val="24"/>
              </w:rPr>
              <w:t>南方基金</w:t>
            </w:r>
            <w:r>
              <w:rPr>
                <w:rFonts w:hint="eastAsia" w:ascii="宋体" w:hAnsi="宋体"/>
                <w:sz w:val="24"/>
                <w:lang w:eastAsia="zh-CN"/>
              </w:rPr>
              <w:t>、</w:t>
            </w:r>
            <w:r>
              <w:rPr>
                <w:rFonts w:hint="eastAsia" w:ascii="宋体" w:hAnsi="宋体"/>
                <w:sz w:val="24"/>
              </w:rPr>
              <w:t>诺安基金</w:t>
            </w:r>
            <w:r>
              <w:rPr>
                <w:rFonts w:hint="eastAsia" w:ascii="宋体" w:hAnsi="宋体"/>
                <w:sz w:val="24"/>
                <w:lang w:eastAsia="zh-CN"/>
              </w:rPr>
              <w:t>、</w:t>
            </w:r>
            <w:r>
              <w:rPr>
                <w:rFonts w:hint="eastAsia" w:ascii="宋体" w:hAnsi="宋体"/>
                <w:sz w:val="24"/>
              </w:rPr>
              <w:t>鹏扬基金</w:t>
            </w:r>
            <w:r>
              <w:rPr>
                <w:rFonts w:hint="eastAsia" w:ascii="宋体" w:hAnsi="宋体"/>
                <w:sz w:val="24"/>
                <w:lang w:eastAsia="zh-CN"/>
              </w:rPr>
              <w:t>、</w:t>
            </w:r>
            <w:r>
              <w:rPr>
                <w:rFonts w:hint="eastAsia" w:ascii="宋体" w:hAnsi="宋体"/>
                <w:sz w:val="24"/>
              </w:rPr>
              <w:t>平安基金</w:t>
            </w:r>
            <w:r>
              <w:rPr>
                <w:rFonts w:hint="eastAsia" w:ascii="宋体" w:hAnsi="宋体"/>
                <w:sz w:val="24"/>
                <w:lang w:eastAsia="zh-CN"/>
              </w:rPr>
              <w:t>、</w:t>
            </w:r>
            <w:r>
              <w:rPr>
                <w:rFonts w:hint="eastAsia" w:ascii="宋体" w:hAnsi="宋体"/>
                <w:sz w:val="24"/>
              </w:rPr>
              <w:t>平安证券</w:t>
            </w:r>
            <w:r>
              <w:rPr>
                <w:rFonts w:hint="eastAsia" w:ascii="宋体" w:hAnsi="宋体"/>
                <w:sz w:val="24"/>
                <w:lang w:eastAsia="zh-CN"/>
              </w:rPr>
              <w:t>、</w:t>
            </w:r>
            <w:r>
              <w:rPr>
                <w:rFonts w:hint="eastAsia" w:ascii="宋体" w:hAnsi="宋体"/>
                <w:sz w:val="24"/>
              </w:rPr>
              <w:t>浦银理财</w:t>
            </w:r>
            <w:r>
              <w:rPr>
                <w:rFonts w:hint="eastAsia" w:ascii="宋体" w:hAnsi="宋体"/>
                <w:sz w:val="24"/>
                <w:lang w:eastAsia="zh-CN"/>
              </w:rPr>
              <w:t>、</w:t>
            </w:r>
            <w:r>
              <w:rPr>
                <w:rFonts w:hint="eastAsia" w:ascii="宋体" w:hAnsi="宋体"/>
                <w:sz w:val="24"/>
              </w:rPr>
              <w:t>瑞银集团</w:t>
            </w:r>
            <w:r>
              <w:rPr>
                <w:rFonts w:hint="eastAsia" w:ascii="宋体" w:hAnsi="宋体"/>
                <w:sz w:val="24"/>
                <w:lang w:eastAsia="zh-CN"/>
              </w:rPr>
              <w:t>、</w:t>
            </w:r>
            <w:r>
              <w:rPr>
                <w:rFonts w:hint="eastAsia" w:ascii="宋体" w:hAnsi="宋体"/>
                <w:sz w:val="24"/>
              </w:rPr>
              <w:t>山西证券</w:t>
            </w:r>
            <w:r>
              <w:rPr>
                <w:rFonts w:hint="eastAsia" w:ascii="宋体" w:hAnsi="宋体"/>
                <w:sz w:val="24"/>
                <w:lang w:eastAsia="zh-CN"/>
              </w:rPr>
              <w:t>、</w:t>
            </w:r>
            <w:r>
              <w:rPr>
                <w:rFonts w:hint="eastAsia" w:ascii="宋体" w:hAnsi="宋体"/>
                <w:sz w:val="24"/>
              </w:rPr>
              <w:t>上海博笃投资</w:t>
            </w:r>
            <w:r>
              <w:rPr>
                <w:rFonts w:hint="eastAsia" w:ascii="宋体" w:hAnsi="宋体"/>
                <w:sz w:val="24"/>
                <w:lang w:eastAsia="zh-CN"/>
              </w:rPr>
              <w:t>、</w:t>
            </w:r>
            <w:r>
              <w:rPr>
                <w:rFonts w:hint="eastAsia" w:ascii="宋体" w:hAnsi="宋体"/>
                <w:sz w:val="24"/>
              </w:rPr>
              <w:t>上海道仁资产</w:t>
            </w:r>
            <w:r>
              <w:rPr>
                <w:rFonts w:hint="eastAsia" w:ascii="宋体" w:hAnsi="宋体"/>
                <w:sz w:val="24"/>
                <w:lang w:eastAsia="zh-CN"/>
              </w:rPr>
              <w:t>、</w:t>
            </w:r>
            <w:r>
              <w:rPr>
                <w:rFonts w:hint="eastAsia" w:ascii="宋体" w:hAnsi="宋体"/>
                <w:sz w:val="24"/>
              </w:rPr>
              <w:t>上海方物私募基金</w:t>
            </w:r>
            <w:r>
              <w:rPr>
                <w:rFonts w:hint="eastAsia" w:ascii="宋体" w:hAnsi="宋体"/>
                <w:sz w:val="24"/>
                <w:lang w:eastAsia="zh-CN"/>
              </w:rPr>
              <w:t>、</w:t>
            </w:r>
            <w:r>
              <w:rPr>
                <w:rFonts w:hint="eastAsia" w:ascii="宋体" w:hAnsi="宋体"/>
                <w:sz w:val="24"/>
              </w:rPr>
              <w:t>上海河清龙樾企业管理</w:t>
            </w:r>
            <w:r>
              <w:rPr>
                <w:rFonts w:hint="eastAsia" w:ascii="宋体" w:hAnsi="宋体"/>
                <w:sz w:val="24"/>
                <w:lang w:eastAsia="zh-CN"/>
              </w:rPr>
              <w:t>、</w:t>
            </w:r>
            <w:r>
              <w:rPr>
                <w:rFonts w:hint="eastAsia" w:ascii="宋体" w:hAnsi="宋体"/>
                <w:sz w:val="24"/>
              </w:rPr>
              <w:t>上海嘉世私募基金</w:t>
            </w:r>
            <w:r>
              <w:rPr>
                <w:rFonts w:hint="eastAsia" w:ascii="宋体" w:hAnsi="宋体"/>
                <w:sz w:val="24"/>
                <w:lang w:eastAsia="zh-CN"/>
              </w:rPr>
              <w:t>、</w:t>
            </w:r>
            <w:r>
              <w:rPr>
                <w:rFonts w:hint="eastAsia" w:ascii="宋体" w:hAnsi="宋体"/>
                <w:sz w:val="24"/>
              </w:rPr>
              <w:t>上海开思私募基金</w:t>
            </w:r>
            <w:r>
              <w:rPr>
                <w:rFonts w:hint="eastAsia" w:ascii="宋体" w:hAnsi="宋体"/>
                <w:sz w:val="24"/>
                <w:lang w:eastAsia="zh-CN"/>
              </w:rPr>
              <w:t>、</w:t>
            </w:r>
            <w:r>
              <w:rPr>
                <w:rFonts w:hint="eastAsia" w:ascii="宋体" w:hAnsi="宋体"/>
                <w:sz w:val="24"/>
              </w:rPr>
              <w:t>上海米牛投资</w:t>
            </w:r>
            <w:r>
              <w:rPr>
                <w:rFonts w:hint="eastAsia" w:ascii="宋体" w:hAnsi="宋体"/>
                <w:sz w:val="24"/>
                <w:lang w:eastAsia="zh-CN"/>
              </w:rPr>
              <w:t>、</w:t>
            </w:r>
            <w:r>
              <w:rPr>
                <w:rFonts w:hint="eastAsia" w:ascii="宋体" w:hAnsi="宋体"/>
                <w:sz w:val="24"/>
              </w:rPr>
              <w:t>上海朴信投资</w:t>
            </w:r>
            <w:r>
              <w:rPr>
                <w:rFonts w:hint="eastAsia" w:ascii="宋体" w:hAnsi="宋体"/>
                <w:sz w:val="24"/>
                <w:lang w:eastAsia="zh-CN"/>
              </w:rPr>
              <w:t>、</w:t>
            </w:r>
            <w:r>
              <w:rPr>
                <w:rFonts w:hint="eastAsia" w:ascii="宋体" w:hAnsi="宋体"/>
                <w:sz w:val="24"/>
              </w:rPr>
              <w:t>上海泉汐投资</w:t>
            </w:r>
            <w:r>
              <w:rPr>
                <w:rFonts w:hint="eastAsia" w:ascii="宋体" w:hAnsi="宋体"/>
                <w:sz w:val="24"/>
                <w:lang w:eastAsia="zh-CN"/>
              </w:rPr>
              <w:t>、</w:t>
            </w:r>
            <w:r>
              <w:rPr>
                <w:rFonts w:hint="eastAsia" w:ascii="宋体" w:hAnsi="宋体"/>
                <w:sz w:val="24"/>
              </w:rPr>
              <w:t>上海润义投资</w:t>
            </w:r>
            <w:r>
              <w:rPr>
                <w:rFonts w:hint="eastAsia" w:ascii="宋体" w:hAnsi="宋体"/>
                <w:sz w:val="24"/>
                <w:lang w:eastAsia="zh-CN"/>
              </w:rPr>
              <w:t>、</w:t>
            </w:r>
            <w:r>
              <w:rPr>
                <w:rFonts w:hint="eastAsia" w:ascii="宋体" w:hAnsi="宋体"/>
                <w:sz w:val="24"/>
              </w:rPr>
              <w:t>上海远海私募基金</w:t>
            </w:r>
            <w:r>
              <w:rPr>
                <w:rFonts w:hint="eastAsia" w:ascii="宋体" w:hAnsi="宋体"/>
                <w:sz w:val="24"/>
                <w:lang w:eastAsia="zh-CN"/>
              </w:rPr>
              <w:t>、</w:t>
            </w:r>
            <w:r>
              <w:rPr>
                <w:rFonts w:hint="eastAsia" w:ascii="宋体" w:hAnsi="宋体"/>
                <w:sz w:val="24"/>
              </w:rPr>
              <w:t>深圳丞毅投资</w:t>
            </w:r>
            <w:r>
              <w:rPr>
                <w:rFonts w:hint="eastAsia" w:ascii="宋体" w:hAnsi="宋体"/>
                <w:sz w:val="24"/>
                <w:lang w:eastAsia="zh-CN"/>
              </w:rPr>
              <w:t>、</w:t>
            </w:r>
            <w:r>
              <w:rPr>
                <w:rFonts w:hint="eastAsia" w:ascii="宋体" w:hAnsi="宋体"/>
                <w:sz w:val="24"/>
              </w:rPr>
              <w:t>深圳市国晖投资</w:t>
            </w:r>
            <w:r>
              <w:rPr>
                <w:rFonts w:hint="eastAsia" w:ascii="宋体" w:hAnsi="宋体"/>
                <w:sz w:val="24"/>
                <w:lang w:eastAsia="zh-CN"/>
              </w:rPr>
              <w:t>、</w:t>
            </w:r>
            <w:r>
              <w:rPr>
                <w:rFonts w:hint="eastAsia" w:ascii="宋体" w:hAnsi="宋体"/>
                <w:sz w:val="24"/>
              </w:rPr>
              <w:t>深圳市明辉投资</w:t>
            </w:r>
            <w:r>
              <w:rPr>
                <w:rFonts w:hint="eastAsia" w:ascii="宋体" w:hAnsi="宋体"/>
                <w:sz w:val="24"/>
                <w:lang w:eastAsia="zh-CN"/>
              </w:rPr>
              <w:t>、</w:t>
            </w:r>
            <w:r>
              <w:rPr>
                <w:rFonts w:hint="eastAsia" w:ascii="宋体" w:hAnsi="宋体"/>
                <w:sz w:val="24"/>
              </w:rPr>
              <w:t>深圳拓森投资</w:t>
            </w:r>
            <w:r>
              <w:rPr>
                <w:rFonts w:hint="eastAsia" w:ascii="宋体" w:hAnsi="宋体"/>
                <w:sz w:val="24"/>
                <w:lang w:eastAsia="zh-CN"/>
              </w:rPr>
              <w:t>、</w:t>
            </w:r>
            <w:r>
              <w:rPr>
                <w:rFonts w:hint="eastAsia" w:ascii="宋体" w:hAnsi="宋体"/>
                <w:sz w:val="24"/>
              </w:rPr>
              <w:t>太平资产</w:t>
            </w:r>
            <w:r>
              <w:rPr>
                <w:rFonts w:hint="eastAsia" w:ascii="宋体" w:hAnsi="宋体"/>
                <w:sz w:val="24"/>
                <w:lang w:eastAsia="zh-CN"/>
              </w:rPr>
              <w:t>、</w:t>
            </w:r>
            <w:r>
              <w:rPr>
                <w:rFonts w:hint="eastAsia" w:ascii="宋体" w:hAnsi="宋体"/>
                <w:sz w:val="24"/>
              </w:rPr>
              <w:t>泰山财产保险</w:t>
            </w:r>
            <w:r>
              <w:rPr>
                <w:rFonts w:hint="eastAsia" w:ascii="宋体" w:hAnsi="宋体"/>
                <w:sz w:val="24"/>
                <w:lang w:eastAsia="zh-CN"/>
              </w:rPr>
              <w:t>、</w:t>
            </w:r>
            <w:r>
              <w:rPr>
                <w:rFonts w:hint="eastAsia" w:ascii="宋体" w:hAnsi="宋体"/>
                <w:sz w:val="24"/>
              </w:rPr>
              <w:t>天风证券</w:t>
            </w:r>
            <w:r>
              <w:rPr>
                <w:rFonts w:hint="eastAsia" w:ascii="宋体" w:hAnsi="宋体"/>
                <w:sz w:val="24"/>
                <w:lang w:eastAsia="zh-CN"/>
              </w:rPr>
              <w:t>、</w:t>
            </w:r>
            <w:r>
              <w:rPr>
                <w:rFonts w:hint="eastAsia" w:ascii="宋体" w:hAnsi="宋体"/>
                <w:sz w:val="24"/>
              </w:rPr>
              <w:t>天惠投资</w:t>
            </w:r>
            <w:r>
              <w:rPr>
                <w:rFonts w:hint="eastAsia" w:ascii="宋体" w:hAnsi="宋体"/>
                <w:sz w:val="24"/>
                <w:lang w:eastAsia="zh-CN"/>
              </w:rPr>
              <w:t>、</w:t>
            </w:r>
            <w:r>
              <w:rPr>
                <w:rFonts w:hint="eastAsia" w:ascii="宋体" w:hAnsi="宋体"/>
                <w:sz w:val="24"/>
              </w:rPr>
              <w:t>同泰基金</w:t>
            </w:r>
            <w:r>
              <w:rPr>
                <w:rFonts w:hint="eastAsia" w:ascii="宋体" w:hAnsi="宋体"/>
                <w:sz w:val="24"/>
                <w:lang w:eastAsia="zh-CN"/>
              </w:rPr>
              <w:t>、</w:t>
            </w:r>
            <w:r>
              <w:rPr>
                <w:rFonts w:hint="eastAsia" w:ascii="宋体" w:hAnsi="宋体"/>
                <w:sz w:val="24"/>
              </w:rPr>
              <w:t>亚太财产保险</w:t>
            </w:r>
            <w:r>
              <w:rPr>
                <w:rFonts w:hint="eastAsia" w:ascii="宋体" w:hAnsi="宋体"/>
                <w:sz w:val="24"/>
                <w:lang w:eastAsia="zh-CN"/>
              </w:rPr>
              <w:t>、</w:t>
            </w:r>
            <w:r>
              <w:rPr>
                <w:rFonts w:hint="eastAsia" w:ascii="宋体" w:hAnsi="宋体"/>
                <w:sz w:val="24"/>
              </w:rPr>
              <w:t>野村投资</w:t>
            </w:r>
            <w:r>
              <w:rPr>
                <w:rFonts w:hint="eastAsia" w:ascii="宋体" w:hAnsi="宋体"/>
                <w:sz w:val="24"/>
                <w:lang w:eastAsia="zh-CN"/>
              </w:rPr>
              <w:t>、</w:t>
            </w:r>
            <w:r>
              <w:rPr>
                <w:rFonts w:hint="eastAsia" w:ascii="宋体" w:hAnsi="宋体"/>
                <w:sz w:val="24"/>
              </w:rPr>
              <w:t>赢舟资产</w:t>
            </w:r>
            <w:r>
              <w:rPr>
                <w:rFonts w:hint="eastAsia" w:ascii="宋体" w:hAnsi="宋体"/>
                <w:sz w:val="24"/>
                <w:lang w:eastAsia="zh-CN"/>
              </w:rPr>
              <w:t>、</w:t>
            </w:r>
            <w:r>
              <w:rPr>
                <w:rFonts w:hint="eastAsia" w:ascii="宋体" w:hAnsi="宋体"/>
                <w:sz w:val="24"/>
              </w:rPr>
              <w:t>永赢基金</w:t>
            </w:r>
            <w:r>
              <w:rPr>
                <w:rFonts w:hint="eastAsia" w:ascii="宋体" w:hAnsi="宋体"/>
                <w:sz w:val="24"/>
                <w:lang w:eastAsia="zh-CN"/>
              </w:rPr>
              <w:t>、</w:t>
            </w:r>
            <w:r>
              <w:rPr>
                <w:rFonts w:hint="eastAsia" w:ascii="宋体" w:hAnsi="宋体"/>
                <w:sz w:val="24"/>
              </w:rPr>
              <w:t>涌金资产</w:t>
            </w:r>
            <w:r>
              <w:rPr>
                <w:rFonts w:hint="eastAsia" w:ascii="宋体" w:hAnsi="宋体"/>
                <w:sz w:val="24"/>
                <w:lang w:eastAsia="zh-CN"/>
              </w:rPr>
              <w:t>、</w:t>
            </w:r>
            <w:r>
              <w:rPr>
                <w:rFonts w:hint="eastAsia" w:ascii="宋体" w:hAnsi="宋体"/>
                <w:sz w:val="24"/>
              </w:rPr>
              <w:t>云南约牛软件</w:t>
            </w:r>
            <w:r>
              <w:rPr>
                <w:rFonts w:hint="eastAsia" w:ascii="宋体" w:hAnsi="宋体"/>
                <w:sz w:val="24"/>
                <w:lang w:eastAsia="zh-CN"/>
              </w:rPr>
              <w:t>、</w:t>
            </w:r>
            <w:r>
              <w:rPr>
                <w:rFonts w:hint="eastAsia" w:ascii="宋体" w:hAnsi="宋体"/>
                <w:sz w:val="24"/>
              </w:rPr>
              <w:t>浙商证券</w:t>
            </w:r>
            <w:r>
              <w:rPr>
                <w:rFonts w:hint="eastAsia" w:ascii="宋体" w:hAnsi="宋体"/>
                <w:sz w:val="24"/>
                <w:lang w:eastAsia="zh-CN"/>
              </w:rPr>
              <w:t>、</w:t>
            </w:r>
            <w:r>
              <w:rPr>
                <w:rFonts w:hint="eastAsia" w:ascii="宋体" w:hAnsi="宋体"/>
                <w:sz w:val="24"/>
              </w:rPr>
              <w:t>郑州智子投资</w:t>
            </w:r>
            <w:r>
              <w:rPr>
                <w:rFonts w:hint="eastAsia" w:ascii="宋体" w:hAnsi="宋体"/>
                <w:sz w:val="24"/>
                <w:lang w:eastAsia="zh-CN"/>
              </w:rPr>
              <w:t>、</w:t>
            </w:r>
            <w:r>
              <w:rPr>
                <w:rFonts w:hint="eastAsia" w:ascii="宋体" w:hAnsi="宋体"/>
                <w:sz w:val="24"/>
              </w:rPr>
              <w:t>中国国际金融</w:t>
            </w:r>
            <w:r>
              <w:rPr>
                <w:rFonts w:hint="eastAsia" w:ascii="宋体" w:hAnsi="宋体"/>
                <w:sz w:val="24"/>
                <w:lang w:eastAsia="zh-CN"/>
              </w:rPr>
              <w:t>、</w:t>
            </w:r>
            <w:r>
              <w:rPr>
                <w:rFonts w:hint="eastAsia" w:ascii="宋体" w:hAnsi="宋体"/>
                <w:sz w:val="24"/>
              </w:rPr>
              <w:t>中国人寿保险</w:t>
            </w:r>
            <w:r>
              <w:rPr>
                <w:rFonts w:hint="eastAsia" w:ascii="宋体" w:hAnsi="宋体"/>
                <w:sz w:val="24"/>
                <w:lang w:eastAsia="zh-CN"/>
              </w:rPr>
              <w:t>、</w:t>
            </w:r>
            <w:r>
              <w:rPr>
                <w:rFonts w:hint="eastAsia" w:ascii="宋体" w:hAnsi="宋体"/>
                <w:sz w:val="24"/>
              </w:rPr>
              <w:t>中航信托</w:t>
            </w:r>
            <w:r>
              <w:rPr>
                <w:rFonts w:hint="eastAsia" w:ascii="宋体" w:hAnsi="宋体"/>
                <w:sz w:val="24"/>
                <w:lang w:eastAsia="zh-CN"/>
              </w:rPr>
              <w:t>、</w:t>
            </w:r>
            <w:r>
              <w:rPr>
                <w:rFonts w:hint="eastAsia" w:ascii="宋体" w:hAnsi="宋体"/>
                <w:sz w:val="24"/>
              </w:rPr>
              <w:t>中泰证券</w:t>
            </w:r>
            <w:r>
              <w:rPr>
                <w:rFonts w:hint="eastAsia" w:ascii="宋体" w:hAnsi="宋体"/>
                <w:sz w:val="24"/>
                <w:lang w:eastAsia="zh-CN"/>
              </w:rPr>
              <w:t>、</w:t>
            </w:r>
            <w:r>
              <w:rPr>
                <w:rFonts w:hint="eastAsia" w:ascii="宋体" w:hAnsi="宋体"/>
                <w:sz w:val="24"/>
              </w:rPr>
              <w:t>中新融创资本</w:t>
            </w:r>
            <w:r>
              <w:rPr>
                <w:rFonts w:hint="eastAsia" w:ascii="宋体" w:hAnsi="宋体"/>
                <w:sz w:val="24"/>
                <w:lang w:eastAsia="zh-CN"/>
              </w:rPr>
              <w:t>、</w:t>
            </w:r>
            <w:r>
              <w:rPr>
                <w:rFonts w:hint="eastAsia" w:ascii="宋体" w:hAnsi="宋体"/>
                <w:sz w:val="24"/>
              </w:rPr>
              <w:t>中信证券</w:t>
            </w:r>
            <w:r>
              <w:rPr>
                <w:rFonts w:hint="eastAsia" w:ascii="宋体" w:hAnsi="宋体"/>
                <w:sz w:val="24"/>
                <w:lang w:eastAsia="zh-CN"/>
              </w:rPr>
              <w:t>；</w:t>
            </w:r>
            <w:r>
              <w:rPr>
                <w:rFonts w:hint="eastAsia" w:ascii="宋体" w:hAnsi="宋体"/>
                <w:sz w:val="24"/>
              </w:rPr>
              <w:t>通过线上方式参与公司</w:t>
            </w:r>
            <w:r>
              <w:rPr>
                <w:rFonts w:hint="eastAsia" w:ascii="宋体" w:hAnsi="宋体"/>
                <w:sz w:val="24"/>
                <w:lang w:val="en-US" w:eastAsia="zh-CN"/>
              </w:rPr>
              <w:t>电话会的其他投资者</w:t>
            </w:r>
          </w:p>
        </w:tc>
      </w:tr>
      <w:tr w14:paraId="7AFA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6CB50FA0">
            <w:pPr>
              <w:spacing w:line="480" w:lineRule="atLeast"/>
              <w:rPr>
                <w:rFonts w:ascii="宋体" w:hAnsi="宋体"/>
                <w:bCs/>
                <w:iCs/>
                <w:color w:val="000000"/>
                <w:sz w:val="24"/>
              </w:rPr>
            </w:pPr>
            <w:r>
              <w:rPr>
                <w:rFonts w:hint="eastAsia" w:ascii="宋体" w:hAnsi="宋体"/>
                <w:bCs/>
                <w:iCs/>
                <w:color w:val="000000"/>
                <w:sz w:val="24"/>
              </w:rPr>
              <w:t>时间</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2A352414">
            <w:pPr>
              <w:spacing w:line="480" w:lineRule="atLeast"/>
              <w:rPr>
                <w:rFonts w:ascii="宋体" w:hAnsi="宋体"/>
                <w:bCs/>
                <w:iCs/>
                <w:color w:val="000000"/>
                <w:sz w:val="24"/>
                <w:highlight w:val="yellow"/>
              </w:rPr>
            </w:pPr>
            <w:r>
              <w:rPr>
                <w:rFonts w:hint="eastAsia" w:ascii="宋体" w:hAnsi="宋体"/>
                <w:sz w:val="24"/>
              </w:rPr>
              <w:t>2026年</w:t>
            </w:r>
            <w:r>
              <w:rPr>
                <w:rFonts w:hint="default" w:ascii="宋体" w:hAnsi="宋体"/>
                <w:sz w:val="24"/>
                <w:lang w:val="en-US" w:eastAsia="zh-CN"/>
              </w:rPr>
              <w:t>8</w:t>
            </w:r>
            <w:r>
              <w:rPr>
                <w:rFonts w:hint="eastAsia" w:ascii="宋体" w:hAnsi="宋体"/>
                <w:sz w:val="24"/>
              </w:rPr>
              <w:t>月</w:t>
            </w:r>
            <w:r>
              <w:rPr>
                <w:rFonts w:hint="default" w:ascii="宋体" w:hAnsi="宋体"/>
                <w:sz w:val="24"/>
                <w:lang w:val="en-US" w:eastAsia="zh-CN"/>
              </w:rPr>
              <w:t>26</w:t>
            </w:r>
            <w:r>
              <w:rPr>
                <w:rFonts w:hint="eastAsia" w:ascii="宋体" w:hAnsi="宋体"/>
                <w:sz w:val="24"/>
              </w:rPr>
              <w:t>日</w:t>
            </w:r>
          </w:p>
        </w:tc>
      </w:tr>
      <w:tr w14:paraId="7708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3C0DAB9C">
            <w:pPr>
              <w:spacing w:line="480" w:lineRule="atLeast"/>
              <w:rPr>
                <w:rFonts w:ascii="宋体" w:hAnsi="宋体"/>
                <w:bCs/>
                <w:iCs/>
                <w:color w:val="000000"/>
                <w:sz w:val="24"/>
              </w:rPr>
            </w:pPr>
            <w:r>
              <w:rPr>
                <w:rFonts w:hint="eastAsia" w:ascii="宋体" w:hAnsi="宋体"/>
                <w:bCs/>
                <w:iCs/>
                <w:color w:val="000000"/>
                <w:sz w:val="24"/>
              </w:rPr>
              <w:t>地点</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6F9F8B90">
            <w:pPr>
              <w:spacing w:line="480" w:lineRule="atLeast"/>
              <w:rPr>
                <w:rFonts w:ascii="宋体" w:hAnsi="宋体"/>
                <w:bCs/>
                <w:iCs/>
                <w:color w:val="000000"/>
                <w:sz w:val="24"/>
              </w:rPr>
            </w:pPr>
            <w:r>
              <w:rPr>
                <w:rFonts w:hint="eastAsia" w:ascii="宋体" w:hAnsi="宋体"/>
                <w:bCs/>
                <w:iCs/>
                <w:color w:val="000000"/>
                <w:sz w:val="24"/>
              </w:rPr>
              <w:t>远程音频、线上电话会</w:t>
            </w:r>
          </w:p>
        </w:tc>
      </w:tr>
      <w:tr w14:paraId="21A5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tcPr>
          <w:p w14:paraId="53E1B855">
            <w:pPr>
              <w:spacing w:line="480" w:lineRule="atLeast"/>
              <w:rPr>
                <w:rFonts w:ascii="宋体" w:hAnsi="宋体"/>
                <w:bCs/>
                <w:iCs/>
                <w:color w:val="000000"/>
                <w:sz w:val="24"/>
              </w:rPr>
            </w:pPr>
            <w:r>
              <w:rPr>
                <w:rFonts w:hint="eastAsia" w:ascii="宋体" w:hAnsi="宋体"/>
                <w:bCs/>
                <w:iCs/>
                <w:color w:val="000000"/>
                <w:sz w:val="24"/>
              </w:rPr>
              <w:t>上市公司接待人员姓名</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701ACF60">
            <w:pPr>
              <w:spacing w:line="480" w:lineRule="atLeast"/>
              <w:rPr>
                <w:rFonts w:hint="default" w:ascii="宋体" w:hAnsi="宋体" w:eastAsia="宋体"/>
                <w:bCs/>
                <w:iCs/>
                <w:color w:val="000000"/>
                <w:sz w:val="24"/>
                <w:lang w:val="en-US" w:eastAsia="zh-CN"/>
              </w:rPr>
            </w:pPr>
            <w:r>
              <w:rPr>
                <w:rFonts w:hint="eastAsia" w:ascii="宋体" w:hAnsi="宋体"/>
                <w:bCs/>
                <w:iCs/>
                <w:color w:val="000000"/>
                <w:sz w:val="24"/>
                <w:lang w:val="en-US" w:eastAsia="zh-CN"/>
              </w:rPr>
              <w:t>董事、副总经理：张穗华</w:t>
            </w:r>
          </w:p>
          <w:p w14:paraId="2BE05E40">
            <w:pPr>
              <w:spacing w:line="480" w:lineRule="atLeast"/>
              <w:rPr>
                <w:rFonts w:ascii="宋体" w:hAnsi="宋体"/>
                <w:bCs/>
                <w:iCs/>
                <w:color w:val="000000"/>
                <w:sz w:val="24"/>
              </w:rPr>
            </w:pPr>
            <w:r>
              <w:rPr>
                <w:rFonts w:hint="eastAsia" w:ascii="宋体" w:hAnsi="宋体"/>
                <w:bCs/>
                <w:iCs/>
                <w:color w:val="000000"/>
                <w:sz w:val="24"/>
              </w:rPr>
              <w:t>董事会秘书：万灵芝</w:t>
            </w:r>
          </w:p>
        </w:tc>
      </w:tr>
      <w:tr w14:paraId="4761F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5FDAAFE">
            <w:pPr>
              <w:spacing w:line="480" w:lineRule="atLeast"/>
              <w:rPr>
                <w:rFonts w:ascii="宋体" w:hAnsi="宋体"/>
                <w:bCs/>
                <w:iCs/>
                <w:color w:val="000000"/>
                <w:sz w:val="24"/>
              </w:rPr>
            </w:pPr>
            <w:r>
              <w:rPr>
                <w:rFonts w:hint="eastAsia" w:ascii="宋体" w:hAnsi="宋体"/>
                <w:bCs/>
                <w:iCs/>
                <w:color w:val="000000"/>
                <w:sz w:val="24"/>
              </w:rPr>
              <w:t>投资者关系活动主要内容介绍</w:t>
            </w:r>
          </w:p>
          <w:p w14:paraId="333EBAD1">
            <w:pPr>
              <w:spacing w:line="480" w:lineRule="atLeast"/>
              <w:rPr>
                <w:rFonts w:ascii="宋体" w:hAnsi="宋体"/>
                <w:bCs/>
                <w:iCs/>
                <w:color w:val="000000"/>
                <w:sz w:val="24"/>
              </w:rPr>
            </w:pP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7E1A98B8">
            <w:pPr>
              <w:keepNext w:val="0"/>
              <w:keepLines w:val="0"/>
              <w:suppressLineNumbers w:val="0"/>
              <w:spacing w:before="0" w:beforeAutospacing="0" w:after="240" w:afterAutospacing="0" w:line="360" w:lineRule="auto"/>
              <w:ind w:left="0" w:right="0" w:firstLine="480" w:firstLineChars="200"/>
              <w:rPr>
                <w:rStyle w:val="18"/>
                <w:rFonts w:hint="default"/>
              </w:rPr>
            </w:pPr>
            <w:r>
              <w:rPr>
                <w:rStyle w:val="18"/>
                <w:rFonts w:hint="default"/>
              </w:rPr>
              <w:t>一</w:t>
            </w:r>
            <w:r>
              <w:rPr>
                <w:rStyle w:val="18"/>
                <w:rFonts w:hint="default"/>
                <w:b/>
              </w:rPr>
              <w:t>、公司的基本情况介绍及最近主要变化。</w:t>
            </w:r>
          </w:p>
          <w:p w14:paraId="09579FC8">
            <w:pPr>
              <w:keepNext w:val="0"/>
              <w:keepLines w:val="0"/>
              <w:suppressLineNumbers w:val="0"/>
              <w:spacing w:before="156" w:beforeLines="50" w:beforeAutospacing="0" w:after="156" w:afterLines="50" w:afterAutospacing="0" w:line="360" w:lineRule="auto"/>
              <w:ind w:left="0" w:right="0" w:firstLine="480" w:firstLineChars="200"/>
              <w:rPr>
                <w:rStyle w:val="18"/>
                <w:rFonts w:hint="default"/>
              </w:rPr>
            </w:pPr>
            <w:r>
              <w:rPr>
                <w:rStyle w:val="18"/>
                <w:rFonts w:hint="default"/>
              </w:rPr>
              <w:t>广东华特气体股份有限公司（以下简称</w:t>
            </w:r>
            <w:r>
              <w:rPr>
                <w:rStyle w:val="18"/>
                <w:rFonts w:hint="eastAsia"/>
                <w:lang w:eastAsia="zh-CN"/>
              </w:rPr>
              <w:t>“</w:t>
            </w:r>
            <w:r>
              <w:rPr>
                <w:rStyle w:val="18"/>
                <w:rFonts w:hint="eastAsia"/>
                <w:lang w:val="en-US" w:eastAsia="zh-CN"/>
              </w:rPr>
              <w:t>华特气体”或</w:t>
            </w:r>
            <w:r>
              <w:rPr>
                <w:rStyle w:val="18"/>
                <w:rFonts w:hint="default"/>
              </w:rPr>
              <w:t>“公司”），成立于1999年，于2019年12月在上交所科创板上市，股票代码：688268。华特气体是一家专注于特种气体国产化，聚焦主营业务发展的公司；长期以来，公司坚持自主可控、创新发展，是率先打破极大规模集成电路、新型显示面板、高端装备制造、新能源等尖端领域气体材料进口制约的气体厂商。</w:t>
            </w:r>
          </w:p>
          <w:p w14:paraId="229B0AE9">
            <w:pPr>
              <w:keepNext w:val="0"/>
              <w:keepLines w:val="0"/>
              <w:suppressLineNumbers w:val="0"/>
              <w:spacing w:before="156" w:beforeLines="50" w:beforeAutospacing="0" w:after="156" w:afterLines="50" w:afterAutospacing="0" w:line="360" w:lineRule="auto"/>
              <w:ind w:left="0" w:right="0" w:firstLine="480" w:firstLineChars="200"/>
              <w:rPr>
                <w:rStyle w:val="18"/>
                <w:rFonts w:hint="eastAsia"/>
                <w:lang w:eastAsia="zh-CN"/>
              </w:rPr>
            </w:pPr>
            <w:r>
              <w:rPr>
                <w:rStyle w:val="18"/>
                <w:rFonts w:hint="default"/>
              </w:rPr>
              <w:t>公司主营业务以特种气体的研发、生产及销售为核心，辅以普通工业气体和相关气体设备与工程业务，提供气体一站式综合应用解决方案。公司的特种气体主要面向集成电路、显示面板、光伏新能源、光纤光缆等新兴产业。随着信息化、智能化技术的快速发展，半导体芯片及器件产品在半导体照明、新一代移动通信、智能电网、新能源汽车、智能驾驶、数据中心、消费类电子等领域得到广泛应用。公司的电子特种气体产品在电子领域实现了包括高纯四氟化碳、高纯六氟乙烷、光刻气、高纯二氧化碳、高纯一氧化碳、高纯氨、高纯一氧化氮、高纯三氟甲烷、高纯八氟丙烷、锗烷、高纯乙烯、高纯甲烷、</w:t>
            </w:r>
            <w:r>
              <w:rPr>
                <w:rStyle w:val="18"/>
              </w:rPr>
              <w:t>高纯六</w:t>
            </w:r>
            <w:r>
              <w:rPr>
                <w:rStyle w:val="18"/>
                <w:rFonts w:hint="default"/>
              </w:rPr>
              <w:t>氟丁二烯</w:t>
            </w:r>
            <w:r>
              <w:rPr>
                <w:rStyle w:val="18"/>
                <w:rFonts w:hint="eastAsia"/>
                <w:lang w:eastAsia="zh-CN"/>
              </w:rPr>
              <w:t>、</w:t>
            </w:r>
            <w:r>
              <w:rPr>
                <w:rFonts w:hint="eastAsia" w:ascii="宋体" w:hAnsi="宋体" w:eastAsia="宋体" w:cs="Times New Roman"/>
                <w:sz w:val="24"/>
                <w:szCs w:val="24"/>
                <w:lang w:val="en-US" w:eastAsia="zh-CN" w:bidi="ar"/>
              </w:rPr>
              <w:t>溴化氢、三氯化硼</w:t>
            </w:r>
            <w:r>
              <w:rPr>
                <w:rStyle w:val="18"/>
                <w:rFonts w:hint="default"/>
              </w:rPr>
              <w:t>等众多产品的进口替代。公司自主研发的氟碳类、光刻及其他混合气、氢化物、氮氧化合物等产品主要应用在芯片制程工艺中的刻蚀、清洗、光刻、外延、沉积/成膜、离子注入等环节</w:t>
            </w:r>
            <w:r>
              <w:rPr>
                <w:rStyle w:val="18"/>
                <w:rFonts w:hint="eastAsia"/>
                <w:lang w:eastAsia="zh-CN"/>
              </w:rPr>
              <w:t>。</w:t>
            </w:r>
          </w:p>
          <w:p w14:paraId="695FFBA2">
            <w:pPr>
              <w:keepNext w:val="0"/>
              <w:keepLines w:val="0"/>
              <w:suppressLineNumbers w:val="0"/>
              <w:spacing w:before="156" w:beforeLines="50" w:beforeAutospacing="0" w:after="156" w:afterLines="50" w:afterAutospacing="0" w:line="360" w:lineRule="auto"/>
              <w:ind w:left="0" w:right="0" w:firstLine="480" w:firstLineChars="200"/>
              <w:rPr>
                <w:rStyle w:val="18"/>
                <w:rFonts w:hint="eastAsia"/>
                <w:lang w:eastAsia="zh-CN"/>
              </w:rPr>
            </w:pPr>
            <w:r>
              <w:rPr>
                <w:rStyle w:val="18"/>
                <w:rFonts w:hint="eastAsia"/>
              </w:rPr>
              <w:t>公司掌握了特种气体从生产、存储、检测到应用服务全流程涉及的关键技术，包括气体合成、纯化、混配、气瓶处理、分析检测以及供气系统的设计、安装、日常维护等环节。公司精益求精，在原有核心技术基础上不断深入研究，持续提升各节点技术水平，追求更高的纯度、更低的杂质含量、更稳定的质量、更高的检测精度。公司经过多年行业沉淀在高端市场领域形成了突破，积累了中芯国际、华润微电子、长江存储、韩国三星、新加坡美光、UMC、台积电等众多优质客户，尤其在集成电路领域，对国内8-12寸芯片厂商的覆盖率处于行业领先地位。第三代功率器件半导体方面，公司产品满足碳化硅（SiC）与氮化镓（GaN）等生产需求。公司也已进入到全国最大的氮化镓厂和碳化硅厂供应链。</w:t>
            </w:r>
          </w:p>
          <w:p w14:paraId="3D442B7A">
            <w:pPr>
              <w:keepNext w:val="0"/>
              <w:keepLines w:val="0"/>
              <w:suppressLineNumbers w:val="0"/>
              <w:spacing w:before="156" w:beforeLines="50" w:beforeAutospacing="0" w:after="156" w:afterLines="50" w:afterAutospacing="0" w:line="360" w:lineRule="auto"/>
              <w:ind w:left="0" w:right="0" w:firstLine="480" w:firstLineChars="200"/>
              <w:rPr>
                <w:rFonts w:hint="eastAsia" w:ascii="宋体" w:hAnsi="宋体"/>
                <w:color w:val="000000"/>
                <w:sz w:val="24"/>
              </w:rPr>
            </w:pPr>
            <w:r>
              <w:rPr>
                <w:rStyle w:val="18"/>
                <w:rFonts w:hint="default"/>
              </w:rPr>
              <w:t>在气体分析检测领域，公司在业内首创准分子激光气中微量氟的检测关键技术，解决了重组分、百分比浓度含氟量等行业检测难题。公司自主研发有Ar/F/Ne、Kr/Ne、Ar/Ne、Kr/F/Ne和Ar/Ne/Xe等多款光刻</w:t>
            </w:r>
            <w:r>
              <w:rPr>
                <w:rStyle w:val="18"/>
                <w:rFonts w:hint="eastAsia"/>
                <w:lang w:val="en-US" w:eastAsia="zh-CN"/>
              </w:rPr>
              <w:t>电子</w:t>
            </w:r>
            <w:r>
              <w:rPr>
                <w:rStyle w:val="18"/>
                <w:rFonts w:hint="default"/>
              </w:rPr>
              <w:t>混合气，公司是国内唯一一家多款光刻气（其中2款含有微量氟）同时通过荷兰ASML公司和日本GIGAPHOTON株式会社认证的气体公司，并且多款光刻气在半导体厂得到广泛应用</w:t>
            </w:r>
            <w:r>
              <w:rPr>
                <w:rStyle w:val="18"/>
                <w:rFonts w:hint="eastAsia"/>
                <w:lang w:eastAsia="zh-CN"/>
              </w:rPr>
              <w:t>。</w:t>
            </w:r>
          </w:p>
          <w:p w14:paraId="0E0D846F">
            <w:pPr>
              <w:keepNext w:val="0"/>
              <w:keepLines w:val="0"/>
              <w:suppressLineNumbers w:val="0"/>
              <w:spacing w:before="156" w:beforeLines="50" w:beforeAutospacing="0" w:after="240" w:afterAutospacing="0" w:line="360" w:lineRule="auto"/>
              <w:ind w:left="0" w:right="0" w:firstLine="480" w:firstLineChars="200"/>
              <w:rPr>
                <w:rFonts w:hint="eastAsia" w:ascii="宋体" w:hAnsi="宋体"/>
                <w:color w:val="000000"/>
                <w:sz w:val="24"/>
              </w:rPr>
            </w:pPr>
            <w:r>
              <w:rPr>
                <w:rFonts w:hint="eastAsia" w:ascii="宋体" w:hAnsi="宋体"/>
                <w:color w:val="000000"/>
                <w:sz w:val="24"/>
              </w:rPr>
              <w:t>深耕行业三十多年，公司技术积淀深厚、研发成果丰硕。截至报告期末，累计授权专利272项，其中发明专利44项、实用新型专利225项、外观设计专利3项；公司主持或参与制定了包括多项电子工业用气体国家标准在内的73项标准、行业标准5项、国际标准1项、团体标准15项。公司先后承接国家02重大科技专项《高纯三氟甲烷的研发与中试》，承担国家级博士后创新创业大赛“揭榜领题”赛项目《先进制程用电子特种气体技术研发》，承担广东省重点领域研发计划项目《半导体先进制程用电子特气的研发及产业化》，承担广东省战略性新兴产业区域集聚发展试点(新一代显示技术)项目中的“平板显示器用特种气体”研发，报告期内承担佛山市产业领域科技攻关专项《半导体先进制程用电子特种气体的研发与产业化》，以及承担“半导体先进制程用关键电子特气的研发与中试”项目等，在国家和省级重大科技项目中发挥了重要作用。</w:t>
            </w:r>
          </w:p>
          <w:p w14:paraId="4B94388B">
            <w:pPr>
              <w:keepNext w:val="0"/>
              <w:keepLines w:val="0"/>
              <w:suppressLineNumbers w:val="0"/>
              <w:spacing w:before="156" w:beforeLines="50" w:beforeAutospacing="0" w:after="240" w:afterAutospacing="0" w:line="360" w:lineRule="auto"/>
              <w:ind w:left="0" w:right="0" w:firstLine="480" w:firstLineChars="200"/>
              <w:rPr>
                <w:rFonts w:hint="eastAsia" w:ascii="宋体" w:hAnsi="宋体"/>
                <w:color w:val="000000"/>
                <w:sz w:val="24"/>
              </w:rPr>
            </w:pPr>
            <w:r>
              <w:rPr>
                <w:rFonts w:hint="eastAsia" w:ascii="宋体" w:hAnsi="宋体"/>
                <w:color w:val="000000"/>
                <w:sz w:val="24"/>
              </w:rPr>
              <w:t>荣誉层面，2023年公司斩获中国集成电路创新联盟第六届“IC创新奖成果产业化奖”（集成电路用稀混光刻气的研发与产业化）、获评国家级第五批专精特新“小巨人”企业、广东省专精特新中小企业、广东省创新型中小企业，荣获广东省专利奖优秀奖、广东省制造业单项冠军；2024年度，公司荣获佛山市南海区政府质量奖、新材料最具成长上市公司、大湾区TOP20上市公司（公司治理）等荣誉；公司拥有多项核心发明专利，其中“一种氨气的纯化系统”荣获2025年广东省专利奖金奖，并作为唯一气体企业连续四届（2017年、2019年、2021年、2023年）入选“中国电子化工材料专业十强”，硬核技术实力获得行业广泛认可。报告期内，公司专利“一种多孔双金属氢氧化物及其制备方法与应用”进入第二十六届中国专利奖预获奖项目名单。</w:t>
            </w:r>
          </w:p>
          <w:p w14:paraId="5CD6342B">
            <w:pPr>
              <w:keepNext w:val="0"/>
              <w:keepLines w:val="0"/>
              <w:suppressLineNumbers w:val="0"/>
              <w:spacing w:before="156" w:beforeLines="50" w:beforeAutospacing="0" w:after="240" w:afterAutospacing="0" w:line="360" w:lineRule="auto"/>
              <w:ind w:left="0" w:right="0" w:firstLine="480" w:firstLineChars="200"/>
              <w:rPr>
                <w:rFonts w:hint="eastAsia" w:ascii="宋体" w:hAnsi="宋体"/>
                <w:color w:val="000000"/>
                <w:sz w:val="24"/>
              </w:rPr>
            </w:pPr>
            <w:r>
              <w:rPr>
                <w:rFonts w:hint="eastAsia" w:ascii="宋体" w:hAnsi="宋体"/>
                <w:color w:val="000000"/>
                <w:sz w:val="24"/>
              </w:rPr>
              <w:t>目前，公司研发的高端电子特气产品已进入国内外领先半导体企业供应链体系，近年来，公司先后荣获核心客户中芯集成电路（宁波）“优秀供应商”、士兰半导体“材料战略合作供应商”、广东中图半导体授予的“2025年度优秀供应商”荣誉称号，报告期期后，公司荣获国内最大逻辑芯片制造厂商半年度QCDSE优秀供应商（Gas）第二名。公司多项研发成果实现成果转化，彰显公司核心价值持续凸显。</w:t>
            </w:r>
          </w:p>
          <w:p w14:paraId="52014943">
            <w:pPr>
              <w:keepNext w:val="0"/>
              <w:keepLines w:val="0"/>
              <w:suppressLineNumbers w:val="0"/>
              <w:spacing w:before="156" w:beforeLines="50" w:beforeAutospacing="0" w:after="240" w:afterAutospacing="0" w:line="360" w:lineRule="auto"/>
              <w:ind w:left="0" w:right="0" w:firstLine="482" w:firstLineChars="200"/>
              <w:rPr>
                <w:rFonts w:hint="default" w:ascii="宋体" w:hAnsi="宋体" w:cs="宋体"/>
                <w:b/>
                <w:sz w:val="24"/>
              </w:rPr>
            </w:pPr>
            <w:r>
              <w:rPr>
                <w:rFonts w:hint="eastAsia" w:ascii="宋体" w:hAnsi="宋体" w:cs="宋体"/>
                <w:b/>
                <w:sz w:val="24"/>
              </w:rPr>
              <w:t>二、问答环节</w:t>
            </w:r>
          </w:p>
          <w:p w14:paraId="228498E2">
            <w:pPr>
              <w:keepNext w:val="0"/>
              <w:keepLines w:val="0"/>
              <w:suppressLineNumbers w:val="0"/>
              <w:spacing w:before="100" w:beforeLines="50" w:beforeAutospacing="1" w:after="100" w:afterLines="50" w:afterAutospacing="1" w:line="360" w:lineRule="auto"/>
              <w:ind w:left="0" w:right="0" w:firstLine="482" w:firstLineChars="200"/>
              <w:jc w:val="left"/>
              <w:rPr>
                <w:rStyle w:val="18"/>
                <w:rFonts w:hint="default" w:cs="宋体"/>
                <w:b/>
                <w:bCs/>
              </w:rPr>
            </w:pPr>
            <w:r>
              <w:rPr>
                <w:rStyle w:val="18"/>
                <w:rFonts w:hint="default" w:cs="宋体"/>
                <w:b/>
                <w:bCs/>
              </w:rPr>
              <w:t>1、</w:t>
            </w:r>
            <w:r>
              <w:rPr>
                <w:rStyle w:val="18"/>
                <w:rFonts w:hint="eastAsia" w:cs="宋体"/>
                <w:b/>
                <w:bCs/>
                <w:lang w:val="en-US" w:eastAsia="zh-CN"/>
              </w:rPr>
              <w:t>2026</w:t>
            </w:r>
            <w:r>
              <w:rPr>
                <w:rStyle w:val="18"/>
                <w:rFonts w:cs="宋体"/>
                <w:b/>
                <w:bCs/>
              </w:rPr>
              <w:t>年</w:t>
            </w:r>
            <w:r>
              <w:rPr>
                <w:rStyle w:val="18"/>
                <w:rFonts w:hint="eastAsia" w:cs="宋体"/>
                <w:b/>
                <w:bCs/>
                <w:lang w:val="en-US" w:eastAsia="zh-CN"/>
              </w:rPr>
              <w:t>半年度报告业</w:t>
            </w:r>
            <w:r>
              <w:rPr>
                <w:rStyle w:val="18"/>
                <w:rFonts w:cs="宋体"/>
                <w:b/>
                <w:bCs/>
              </w:rPr>
              <w:t>绩解读？</w:t>
            </w:r>
          </w:p>
          <w:p w14:paraId="66FC47C7">
            <w:pPr>
              <w:keepNext w:val="0"/>
              <w:keepLines w:val="0"/>
              <w:suppressLineNumbers w:val="0"/>
              <w:spacing w:before="100" w:beforeLines="50" w:beforeAutospacing="1" w:after="100" w:afterLines="50" w:afterAutospacing="1" w:line="360" w:lineRule="auto"/>
              <w:ind w:left="0" w:right="0" w:firstLine="480" w:firstLineChars="200"/>
              <w:rPr>
                <w:rStyle w:val="18"/>
                <w:rFonts w:hint="default" w:cs="宋体"/>
              </w:rPr>
            </w:pPr>
            <w:r>
              <w:rPr>
                <w:rStyle w:val="18"/>
                <w:rFonts w:hint="default" w:cs="宋体"/>
              </w:rPr>
              <w:t>答：公司是一家致力于国产化替代，打破极大规模集成电路、新型显示面板等高端领域气体材料制约的气体厂商，主营业务以特种气体的研发、生产及销售为核心，辅以普通工业气体和相关气体设备与工程业务，提供气体一站式综合应用解决方案。2026年上半年，公司实现营业总收入87,238.91万元，同比上升28.95%，其中，特种气体业务实现营业收入58,603.98万元，同比增长38.56%，普通工业气体业务实现营业收入17,133.82万元，同比增长15.06%，设备与工程业务实现营业收入9,333.04万元，同比增长15.15%。实现归属于母公司股东的净利润9,283.27万元，同比上升19.16%，实现归属于母公司股东的扣除非经常性损益的净利润8,994.42万元，同比上升19.29%；报告期末，公司总资产为367,591.71万元，较报告期初增长2.6%，归属于母公司股东的所有者权益为266,011.97万元，较报告期初增长32.15%。</w:t>
            </w:r>
          </w:p>
          <w:p w14:paraId="31AD6453">
            <w:pPr>
              <w:keepNext w:val="0"/>
              <w:keepLines w:val="0"/>
              <w:suppressLineNumbers w:val="0"/>
              <w:spacing w:before="100" w:beforeLines="50" w:beforeAutospacing="1" w:after="100" w:afterLines="50" w:afterAutospacing="1" w:line="360" w:lineRule="auto"/>
              <w:ind w:left="0" w:right="0" w:firstLine="480" w:firstLineChars="200"/>
              <w:rPr>
                <w:rStyle w:val="18"/>
                <w:rFonts w:hint="default" w:cs="宋体"/>
              </w:rPr>
            </w:pPr>
            <w:r>
              <w:rPr>
                <w:rStyle w:val="18"/>
                <w:rFonts w:hint="default" w:cs="宋体"/>
              </w:rPr>
              <w:t>公司凭借稳定可靠的供应保障能力，推动部分核心特气产品（光刻及其他混合气体、氟碳类气体）销量实现提升、销售毛利额增加。报告期内，公司营业总收入同比增长28.95%，面对氦气产品的供需格局变化及产品价格上涨机遇，公司构建氦气供应保障体系，保证核心客户的氦气产品供应，加速推进公司氦气产品在国内半导体客户的覆盖广度，为当期业绩提供增量。报告期内，公司氦气及相关产品业务营业收入占营业总收入约为20%，营收同比增长133%。同时，公司通过部分核心电子特气产品的产能释放与成果转化，有效优化了半导体领域应用产品的盈利结构，报告期内，公司半导体领域实现营业收入34,289.19万元，同比增长28.22%。</w:t>
            </w:r>
          </w:p>
          <w:p w14:paraId="1248DCA4">
            <w:pPr>
              <w:keepNext w:val="0"/>
              <w:keepLines w:val="0"/>
              <w:suppressLineNumbers w:val="0"/>
              <w:spacing w:before="100" w:beforeLines="50" w:beforeAutospacing="1" w:after="100" w:afterLines="50" w:afterAutospacing="1" w:line="360" w:lineRule="auto"/>
              <w:ind w:left="0" w:right="0" w:firstLine="482" w:firstLineChars="200"/>
              <w:jc w:val="left"/>
              <w:rPr>
                <w:rStyle w:val="18"/>
                <w:rFonts w:hint="default" w:eastAsia="宋体" w:cs="宋体"/>
                <w:lang w:val="en-US" w:eastAsia="zh-CN"/>
              </w:rPr>
            </w:pPr>
            <w:r>
              <w:rPr>
                <w:rFonts w:hint="eastAsia" w:ascii="宋体" w:hAnsi="宋体" w:cs="宋体"/>
                <w:b/>
                <w:bCs/>
                <w:color w:val="000000"/>
                <w:sz w:val="24"/>
              </w:rPr>
              <w:t>2、请问公司在建产能情况，以及后续的产能释放是怎么规划的？</w:t>
            </w:r>
          </w:p>
          <w:p w14:paraId="3ACE1DB2">
            <w:pPr>
              <w:keepNext w:val="0"/>
              <w:keepLines w:val="0"/>
              <w:suppressLineNumbers w:val="0"/>
              <w:spacing w:before="100" w:beforeLines="50" w:beforeAutospacing="1" w:after="100" w:afterLines="50" w:afterAutospacing="1" w:line="360" w:lineRule="auto"/>
              <w:ind w:left="0" w:right="0" w:firstLine="480" w:firstLineChars="200"/>
              <w:rPr>
                <w:rStyle w:val="18"/>
                <w:rFonts w:cs="宋体"/>
              </w:rPr>
            </w:pPr>
            <w:r>
              <w:rPr>
                <w:rStyle w:val="18"/>
                <w:rFonts w:hint="default" w:cs="宋体"/>
              </w:rPr>
              <w:t>答：</w:t>
            </w:r>
            <w:r>
              <w:rPr>
                <w:rStyle w:val="18"/>
                <w:rFonts w:cs="宋体"/>
              </w:rPr>
              <w:t>目前，公司江西、江苏等核心生产基地的电子特气产能扩建工作稳步有序推进。其中，公司可转债募投项目“年产1,764吨半导体材料建设项目”部分子项目已于2025年12月顺利竣工，新增产能</w:t>
            </w:r>
            <w:r>
              <w:rPr>
                <w:rStyle w:val="18"/>
                <w:rFonts w:hint="eastAsia" w:cs="宋体"/>
                <w:lang w:eastAsia="zh-CN"/>
              </w:rPr>
              <w:t>将</w:t>
            </w:r>
            <w:r>
              <w:rPr>
                <w:rStyle w:val="18"/>
                <w:rFonts w:cs="宋体"/>
              </w:rPr>
              <w:t>逐步释放，有效支撑公司产品销售规模持续增长。</w:t>
            </w:r>
          </w:p>
          <w:p w14:paraId="79AD31B8">
            <w:pPr>
              <w:keepNext w:val="0"/>
              <w:keepLines w:val="0"/>
              <w:suppressLineNumbers w:val="0"/>
              <w:spacing w:before="100" w:beforeLines="50" w:beforeAutospacing="1" w:after="100" w:afterLines="50" w:afterAutospacing="1" w:line="360" w:lineRule="auto"/>
              <w:ind w:left="0" w:right="0" w:firstLine="480" w:firstLineChars="200"/>
              <w:rPr>
                <w:rStyle w:val="18"/>
                <w:rFonts w:hint="default" w:cs="宋体"/>
              </w:rPr>
            </w:pPr>
            <w:r>
              <w:rPr>
                <w:rStyle w:val="18"/>
                <w:rFonts w:cs="宋体"/>
              </w:rPr>
              <w:t>与此同时，公司“研发中心建设项目”“年产1,936.2吨电子特气项目”已于2026年8月正式结项。随着各募投项目相继落地投产，公司电子特气整体产能规模、量产供给能力得以提升，产品品类矩阵持续丰富完善。</w:t>
            </w:r>
          </w:p>
          <w:p w14:paraId="709B518D">
            <w:pPr>
              <w:keepNext w:val="0"/>
              <w:keepLines w:val="0"/>
              <w:suppressLineNumbers w:val="0"/>
              <w:spacing w:before="100" w:beforeLines="50" w:beforeAutospacing="1" w:after="100" w:afterLines="50" w:afterAutospacing="1" w:line="360" w:lineRule="auto"/>
              <w:ind w:left="0" w:right="0" w:firstLine="482" w:firstLineChars="200"/>
              <w:jc w:val="left"/>
              <w:rPr>
                <w:rStyle w:val="18"/>
                <w:rFonts w:hint="default" w:eastAsia="宋体" w:cs="宋体"/>
                <w:b/>
                <w:bCs/>
                <w:lang w:val="en-US" w:eastAsia="zh-CN"/>
              </w:rPr>
            </w:pPr>
            <w:r>
              <w:rPr>
                <w:rFonts w:hint="default" w:ascii="宋体" w:hAnsi="宋体" w:cs="宋体"/>
                <w:b/>
                <w:bCs/>
                <w:color w:val="000000"/>
                <w:sz w:val="24"/>
              </w:rPr>
              <w:t>3、</w:t>
            </w:r>
            <w:r>
              <w:rPr>
                <w:rFonts w:hint="eastAsia" w:ascii="宋体" w:hAnsi="宋体" w:cs="宋体"/>
                <w:b/>
                <w:bCs/>
                <w:color w:val="000000"/>
                <w:sz w:val="24"/>
                <w:lang w:val="en-US" w:eastAsia="zh-CN"/>
              </w:rPr>
              <w:t>报告期内公司综合毛利率下滑的原因？</w:t>
            </w:r>
          </w:p>
          <w:p w14:paraId="573A9DB2">
            <w:pPr>
              <w:keepNext w:val="0"/>
              <w:keepLines w:val="0"/>
              <w:suppressLineNumbers w:val="0"/>
              <w:spacing w:before="100" w:beforeLines="50" w:beforeAutospacing="1" w:after="100" w:afterLines="50" w:afterAutospacing="1" w:line="360" w:lineRule="auto"/>
              <w:ind w:left="0" w:right="0" w:firstLine="480" w:firstLineChars="200"/>
              <w:jc w:val="left"/>
              <w:rPr>
                <w:rStyle w:val="18"/>
                <w:rFonts w:cs="宋体"/>
              </w:rPr>
            </w:pPr>
            <w:r>
              <w:rPr>
                <w:rStyle w:val="18"/>
                <w:rFonts w:hint="default" w:cs="宋体"/>
              </w:rPr>
              <w:t>答：</w:t>
            </w:r>
            <w:r>
              <w:rPr>
                <w:rStyle w:val="18"/>
                <w:rFonts w:cs="宋体"/>
              </w:rPr>
              <w:t>报告期内公司</w:t>
            </w:r>
            <w:r>
              <w:rPr>
                <w:rStyle w:val="18"/>
                <w:rFonts w:hint="eastAsia" w:cs="宋体"/>
                <w:lang w:val="en-US" w:eastAsia="zh-CN"/>
              </w:rPr>
              <w:t>综合</w:t>
            </w:r>
            <w:r>
              <w:rPr>
                <w:rStyle w:val="18"/>
                <w:rFonts w:cs="宋体"/>
              </w:rPr>
              <w:t>毛利率有所下降，主要受</w:t>
            </w:r>
            <w:r>
              <w:rPr>
                <w:rStyle w:val="18"/>
                <w:rFonts w:hint="eastAsia" w:cs="宋体"/>
                <w:lang w:eastAsia="zh-CN"/>
              </w:rPr>
              <w:t>三</w:t>
            </w:r>
            <w:r>
              <w:rPr>
                <w:rStyle w:val="18"/>
                <w:rFonts w:cs="宋体"/>
              </w:rPr>
              <w:t>方面因素影响：</w:t>
            </w:r>
            <w:r>
              <w:rPr>
                <w:rStyle w:val="18"/>
                <w:rFonts w:cs="宋体"/>
                <w:lang w:eastAsia="zh-CN"/>
              </w:rPr>
              <w:t>（</w:t>
            </w:r>
            <w:r>
              <w:rPr>
                <w:rStyle w:val="18"/>
                <w:rFonts w:hint="eastAsia" w:cs="宋体"/>
                <w:lang w:val="en-US" w:eastAsia="zh-CN"/>
              </w:rPr>
              <w:t>1）</w:t>
            </w:r>
            <w:r>
              <w:rPr>
                <w:rStyle w:val="18"/>
                <w:rFonts w:cs="宋体"/>
              </w:rPr>
              <w:t>部分产品设备已转固定资产，开始计提折旧；</w:t>
            </w:r>
            <w:r>
              <w:rPr>
                <w:rStyle w:val="18"/>
                <w:rFonts w:cs="宋体"/>
                <w:lang w:eastAsia="zh-CN"/>
              </w:rPr>
              <w:t>（</w:t>
            </w:r>
            <w:r>
              <w:rPr>
                <w:rStyle w:val="18"/>
                <w:rFonts w:hint="eastAsia" w:cs="宋体"/>
                <w:lang w:val="en-US" w:eastAsia="zh-CN"/>
              </w:rPr>
              <w:t>2）</w:t>
            </w:r>
            <w:r>
              <w:rPr>
                <w:rStyle w:val="18"/>
                <w:rFonts w:cs="宋体"/>
              </w:rPr>
              <w:t>这些产品项目目前仍处于投产初期，尚未形成规模化量产销售，还需要时间推进客户认证和市场导入。因此，折旧费用对当期毛利产生了较大影响。随着相关产品逐步通过认证、实现量产，这一影响有望逐步消化</w:t>
            </w:r>
            <w:r>
              <w:rPr>
                <w:rStyle w:val="18"/>
                <w:rFonts w:cs="宋体"/>
                <w:lang w:eastAsia="zh-CN"/>
              </w:rPr>
              <w:t>；</w:t>
            </w:r>
            <w:r>
              <w:rPr>
                <w:rStyle w:val="18"/>
                <w:rFonts w:hint="eastAsia" w:cs="宋体"/>
                <w:lang w:val="en-US" w:eastAsia="zh-CN"/>
              </w:rPr>
              <w:t>（3）部分传统氟碳类产品价格竞争依然严峻。</w:t>
            </w:r>
          </w:p>
          <w:p w14:paraId="37792F99">
            <w:pPr>
              <w:keepNext w:val="0"/>
              <w:keepLines w:val="0"/>
              <w:suppressLineNumbers w:val="0"/>
              <w:spacing w:before="100" w:beforeLines="50" w:beforeAutospacing="1" w:after="100" w:afterLines="50" w:afterAutospacing="1" w:line="360" w:lineRule="auto"/>
              <w:ind w:left="0" w:right="0" w:firstLine="482" w:firstLineChars="200"/>
              <w:jc w:val="left"/>
              <w:rPr>
                <w:rFonts w:hint="default" w:ascii="宋体" w:hAnsi="宋体" w:cs="宋体"/>
                <w:b/>
                <w:bCs/>
                <w:sz w:val="24"/>
              </w:rPr>
            </w:pPr>
            <w:r>
              <w:rPr>
                <w:rFonts w:hint="eastAsia" w:ascii="宋体" w:hAnsi="宋体" w:cs="宋体"/>
                <w:b/>
                <w:bCs/>
                <w:sz w:val="24"/>
              </w:rPr>
              <w:t>4、公司海外布局</w:t>
            </w:r>
            <w:r>
              <w:rPr>
                <w:rFonts w:hint="eastAsia" w:ascii="宋体" w:hAnsi="宋体" w:cs="宋体"/>
                <w:b/>
                <w:bCs/>
                <w:sz w:val="24"/>
                <w:lang w:val="en-US" w:eastAsia="zh-CN"/>
              </w:rPr>
              <w:t>情况如何</w:t>
            </w:r>
            <w:r>
              <w:rPr>
                <w:rFonts w:hint="eastAsia" w:ascii="宋体" w:hAnsi="宋体" w:cs="宋体"/>
                <w:b/>
                <w:bCs/>
                <w:sz w:val="24"/>
              </w:rPr>
              <w:t>？未来</w:t>
            </w:r>
            <w:r>
              <w:rPr>
                <w:rFonts w:hint="eastAsia" w:ascii="宋体" w:hAnsi="宋体" w:cs="宋体"/>
                <w:b/>
                <w:bCs/>
                <w:sz w:val="24"/>
                <w:lang w:val="en-US" w:eastAsia="zh-CN"/>
              </w:rPr>
              <w:t>几年</w:t>
            </w:r>
            <w:r>
              <w:rPr>
                <w:rFonts w:hint="eastAsia" w:ascii="宋体" w:hAnsi="宋体" w:cs="宋体"/>
                <w:b/>
                <w:bCs/>
                <w:sz w:val="24"/>
              </w:rPr>
              <w:t>海外战略规划是怎么样的</w:t>
            </w:r>
            <w:r>
              <w:rPr>
                <w:rFonts w:hint="eastAsia" w:ascii="宋体" w:hAnsi="宋体" w:cs="宋体"/>
                <w:b/>
                <w:bCs/>
                <w:sz w:val="24"/>
                <w:lang w:eastAsia="zh-CN"/>
              </w:rPr>
              <w:t>？</w:t>
            </w:r>
          </w:p>
          <w:p w14:paraId="5ABCDE48">
            <w:pPr>
              <w:keepNext w:val="0"/>
              <w:keepLines w:val="0"/>
              <w:suppressLineNumbers w:val="0"/>
              <w:spacing w:before="100" w:beforeLines="50" w:beforeAutospacing="1" w:after="100" w:afterLines="50" w:afterAutospacing="1" w:line="360" w:lineRule="auto"/>
              <w:ind w:left="0" w:right="0" w:firstLine="480" w:firstLineChars="200"/>
              <w:rPr>
                <w:rFonts w:hint="eastAsia" w:ascii="宋体" w:hAnsi="宋体" w:eastAsia="宋体" w:cs="宋体"/>
                <w:b w:val="0"/>
                <w:sz w:val="24"/>
              </w:rPr>
            </w:pPr>
            <w:r>
              <w:rPr>
                <w:rFonts w:hint="eastAsia" w:ascii="宋体" w:hAnsi="宋体" w:cs="宋体"/>
                <w:sz w:val="24"/>
              </w:rPr>
              <w:t>答：</w:t>
            </w:r>
            <w:r>
              <w:rPr>
                <w:rFonts w:hint="eastAsia" w:ascii="宋体" w:hAnsi="宋体" w:eastAsia="宋体" w:cs="宋体"/>
                <w:b w:val="0"/>
                <w:sz w:val="24"/>
              </w:rPr>
              <w:t>公司收购新加坡AIG后，在新加坡拥有了仓储、物流和技术服务能力，海外终端客户逐渐转为由公司直接销售，海外直销比例不断提升。公司产品在韩国、东南亚等地区半导体厂商的供应体系中得到进一步巩固。</w:t>
            </w:r>
          </w:p>
          <w:p w14:paraId="2675C235">
            <w:pPr>
              <w:keepNext w:val="0"/>
              <w:keepLines w:val="0"/>
              <w:suppressLineNumbers w:val="0"/>
              <w:spacing w:before="100" w:beforeLines="50" w:beforeAutospacing="1" w:after="100" w:afterLines="50" w:afterAutospacing="1" w:line="360" w:lineRule="auto"/>
              <w:ind w:left="0" w:right="0" w:firstLine="480" w:firstLineChars="200"/>
              <w:rPr>
                <w:rFonts w:hint="eastAsia" w:ascii="宋体" w:hAnsi="宋体" w:cs="宋体"/>
                <w:sz w:val="24"/>
              </w:rPr>
            </w:pPr>
            <w:r>
              <w:rPr>
                <w:rFonts w:hint="eastAsia" w:ascii="宋体" w:hAnsi="宋体" w:eastAsia="宋体" w:cs="宋体"/>
                <w:b w:val="0"/>
                <w:sz w:val="24"/>
              </w:rPr>
              <w:t>公司规划推进海外销售模式转型，持续降低对中间商的依赖程度，积极与海外终端客户建立直接合作关系。针对不同国家和地区的市场特点、政策法规、文化差异，制定差异化拓展策略：在欧美、日韩等电子制造业发达区域，聚焦高端半导体客户，以高端电子特气产品为突破口，凭借技术优势与产品品质突破海外市场壁垒；在东南亚等新兴市场，依托性价比优势，快速拓展中小客户，抢占市场份额。通过强化国际区域市场布局，全面提升公司在国际市场的影响力与份额，打破海外企业垄断格局，实现全球市场突围。</w:t>
            </w:r>
          </w:p>
          <w:p w14:paraId="18EDFD24">
            <w:pPr>
              <w:keepNext w:val="0"/>
              <w:keepLines w:val="0"/>
              <w:suppressLineNumbers w:val="0"/>
              <w:spacing w:before="100" w:beforeLines="50" w:beforeAutospacing="1" w:after="100" w:afterLines="50" w:afterAutospacing="1" w:line="360" w:lineRule="auto"/>
              <w:ind w:left="0" w:right="0" w:firstLine="482" w:firstLineChars="200"/>
              <w:jc w:val="left"/>
              <w:rPr>
                <w:rFonts w:hint="default" w:ascii="宋体" w:hAnsi="宋体" w:eastAsia="宋体" w:cs="宋体"/>
                <w:b/>
                <w:bCs/>
                <w:sz w:val="24"/>
                <w:lang w:val="en-US" w:eastAsia="zh-CN"/>
              </w:rPr>
            </w:pPr>
            <w:r>
              <w:rPr>
                <w:rFonts w:hint="eastAsia" w:ascii="宋体" w:hAnsi="宋体" w:cs="宋体"/>
                <w:b/>
                <w:bCs/>
                <w:sz w:val="24"/>
              </w:rPr>
              <w:t>5、在海外市场扩展方面取得了哪些进展？有哪些新增的海外半导体客户？</w:t>
            </w:r>
          </w:p>
          <w:p w14:paraId="45B28E56">
            <w:pPr>
              <w:pStyle w:val="2"/>
              <w:suppressLineNumbers w:val="0"/>
              <w:spacing w:before="100" w:beforeAutospacing="1" w:after="100" w:afterAutospacing="1" w:line="360" w:lineRule="auto"/>
              <w:ind w:left="0" w:right="0" w:firstLine="480" w:firstLineChars="200"/>
              <w:rPr>
                <w:rFonts w:hint="eastAsia" w:ascii="宋体" w:hAnsi="宋体" w:eastAsia="宋体" w:cs="宋体"/>
                <w:b w:val="0"/>
                <w:sz w:val="24"/>
              </w:rPr>
            </w:pPr>
            <w:r>
              <w:rPr>
                <w:rFonts w:hint="eastAsia" w:ascii="宋体" w:hAnsi="宋体" w:eastAsia="宋体" w:cs="宋体"/>
                <w:b w:val="0"/>
                <w:sz w:val="24"/>
              </w:rPr>
              <w:t>答：报告期内，公司海外业务实现稳步拓展，各类电子特气产品持续稳固打入韩国、东南亚多地半导体制造企业供应链。</w:t>
            </w:r>
          </w:p>
          <w:p w14:paraId="2F0AA0F6">
            <w:pPr>
              <w:pStyle w:val="2"/>
              <w:suppressLineNumbers w:val="0"/>
              <w:spacing w:before="100" w:beforeAutospacing="1" w:after="100" w:afterAutospacing="1" w:line="360" w:lineRule="auto"/>
              <w:ind w:left="0" w:right="0" w:firstLine="480" w:firstLineChars="200"/>
              <w:rPr>
                <w:rFonts w:hint="default" w:ascii="宋体" w:hAnsi="宋体" w:eastAsia="宋体" w:cs="宋体"/>
                <w:b w:val="0"/>
                <w:sz w:val="24"/>
                <w:lang w:val="en-US" w:eastAsia="zh-CN"/>
              </w:rPr>
            </w:pPr>
            <w:r>
              <w:rPr>
                <w:rFonts w:hint="eastAsia" w:ascii="宋体" w:hAnsi="宋体" w:eastAsia="宋体" w:cs="宋体"/>
                <w:b w:val="0"/>
                <w:sz w:val="24"/>
              </w:rPr>
              <w:t>与此同时，公司主动挖掘全球新兴区域市场发展机遇，持续拓宽海外业务版图。全球范围半导体合作客户持续扩容，客户结构更加多元，有效分散对单一头部客户的经营依赖。公司依托“产品配套专属服务”一体化业务模式，搭建存量客户带动新增客户的开发机制，依托良好市场口碑实现业务辐射拓展；多类型新增客户同步反馈一线市场需求信息，助力公司精准研判行业趋势、匹配下游多元化应用需求。</w:t>
            </w:r>
          </w:p>
          <w:p w14:paraId="56AC138D">
            <w:pPr>
              <w:keepNext w:val="0"/>
              <w:keepLines w:val="0"/>
              <w:suppressLineNumbers w:val="0"/>
              <w:spacing w:before="100" w:beforeLines="50" w:beforeAutospacing="1" w:after="100" w:afterLines="50" w:afterAutospacing="1" w:line="360" w:lineRule="auto"/>
              <w:ind w:left="0" w:right="0" w:firstLine="482" w:firstLineChars="200"/>
              <w:jc w:val="left"/>
              <w:rPr>
                <w:rFonts w:hint="default" w:ascii="宋体" w:hAnsi="宋体" w:eastAsia="宋体" w:cs="宋体"/>
                <w:b/>
                <w:bCs/>
                <w:sz w:val="24"/>
                <w:lang w:val="en-US" w:eastAsia="zh-CN"/>
              </w:rPr>
            </w:pPr>
            <w:r>
              <w:rPr>
                <w:rFonts w:hint="eastAsia" w:ascii="宋体" w:hAnsi="宋体" w:cs="宋体"/>
                <w:b/>
                <w:bCs/>
                <w:sz w:val="24"/>
              </w:rPr>
              <w:t>6、</w:t>
            </w:r>
            <w:r>
              <w:rPr>
                <w:rFonts w:hint="eastAsia" w:ascii="宋体" w:hAnsi="宋体" w:cs="宋体"/>
                <w:b/>
                <w:bCs/>
                <w:sz w:val="24"/>
                <w:lang w:val="en-US" w:eastAsia="zh-CN"/>
              </w:rPr>
              <w:t>公司现场制气项目情况？</w:t>
            </w:r>
          </w:p>
          <w:p w14:paraId="7BF72DD5">
            <w:pPr>
              <w:keepNext w:val="0"/>
              <w:keepLines w:val="0"/>
              <w:suppressLineNumbers w:val="0"/>
              <w:spacing w:before="100" w:beforeLines="50" w:beforeAutospacing="1" w:after="100" w:afterLines="50" w:afterAutospacing="1" w:line="360" w:lineRule="auto"/>
              <w:ind w:left="0" w:right="0" w:firstLine="480" w:firstLineChars="200"/>
              <w:jc w:val="left"/>
              <w:rPr>
                <w:rFonts w:hint="default" w:ascii="宋体" w:hAnsi="宋体" w:cs="宋体"/>
                <w:sz w:val="24"/>
              </w:rPr>
            </w:pPr>
            <w:r>
              <w:rPr>
                <w:rFonts w:hint="eastAsia" w:ascii="宋体" w:hAnsi="宋体" w:cs="宋体"/>
                <w:sz w:val="24"/>
              </w:rPr>
              <w:t>答：公司现场制气项目投资主要涉及的领域有新材料、半导体、光伏、太阳能、新能源等。各项目都在按进度有序进行,部分项目已开车。</w:t>
            </w:r>
          </w:p>
          <w:p w14:paraId="1F1E737F">
            <w:pPr>
              <w:pStyle w:val="15"/>
              <w:keepNext w:val="0"/>
              <w:keepLines w:val="0"/>
              <w:suppressLineNumbers w:val="0"/>
              <w:spacing w:before="100" w:beforeLines="50" w:beforeAutospacing="1" w:after="100" w:afterLines="50" w:afterAutospacing="1" w:line="360" w:lineRule="auto"/>
              <w:ind w:left="0" w:right="0" w:firstLine="482"/>
              <w:rPr>
                <w:rFonts w:hint="default" w:ascii="宋体" w:hAnsi="宋体" w:cs="宋体"/>
                <w:b/>
                <w:bCs/>
                <w:sz w:val="24"/>
              </w:rPr>
            </w:pPr>
            <w:r>
              <w:rPr>
                <w:rFonts w:hint="default" w:ascii="宋体" w:hAnsi="宋体" w:cs="宋体"/>
                <w:b/>
                <w:bCs/>
                <w:sz w:val="24"/>
              </w:rPr>
              <w:t>7、</w:t>
            </w:r>
            <w:r>
              <w:rPr>
                <w:rFonts w:hint="eastAsia" w:ascii="宋体" w:hAnsi="宋体" w:cs="宋体"/>
                <w:b/>
                <w:bCs/>
                <w:sz w:val="24"/>
              </w:rPr>
              <w:t>公司在进口替代方面取得了哪些新进展？今年有哪些新产品推出？</w:t>
            </w:r>
          </w:p>
          <w:p w14:paraId="05872752">
            <w:pPr>
              <w:pStyle w:val="15"/>
              <w:keepNext w:val="0"/>
              <w:keepLines w:val="0"/>
              <w:suppressLineNumbers w:val="0"/>
              <w:spacing w:before="100" w:beforeLines="50" w:beforeAutospacing="1" w:after="100" w:afterLines="50" w:afterAutospacing="1" w:line="360" w:lineRule="auto"/>
              <w:ind w:left="0" w:right="0" w:firstLine="482"/>
              <w:rPr>
                <w:rFonts w:hint="eastAsia" w:ascii="宋体" w:hAnsi="宋体" w:cs="宋体"/>
                <w:sz w:val="24"/>
              </w:rPr>
            </w:pPr>
            <w:r>
              <w:rPr>
                <w:rFonts w:hint="eastAsia" w:ascii="宋体" w:hAnsi="宋体" w:cs="宋体"/>
                <w:sz w:val="24"/>
              </w:rPr>
              <w:t>答：通过持续研发攻关，公司实现进口替代的产品已从上市初期的22款增加至57款，不断丰富公司国产化特气产品矩阵。报告期内，溴化氢、三氯化硼、四氟化硫等新品逐渐推向市场，顺利实现研发成果市场转化，已通过部分半导体厂商认证并供货</w:t>
            </w:r>
            <w:r>
              <w:rPr>
                <w:rFonts w:hint="eastAsia" w:ascii="宋体" w:hAnsi="宋体" w:cs="宋体"/>
                <w:sz w:val="24"/>
                <w:lang w:eastAsia="zh-CN"/>
              </w:rPr>
              <w:t>，</w:t>
            </w:r>
            <w:r>
              <w:rPr>
                <w:rFonts w:hint="eastAsia" w:ascii="宋体" w:hAnsi="宋体" w:cs="宋体"/>
                <w:sz w:val="24"/>
                <w:lang w:val="en-US" w:eastAsia="zh-CN"/>
              </w:rPr>
              <w:t>目前业务占比较小</w:t>
            </w:r>
            <w:r>
              <w:rPr>
                <w:rFonts w:hint="eastAsia" w:ascii="宋体" w:hAnsi="宋体" w:cs="宋体"/>
                <w:sz w:val="24"/>
              </w:rPr>
              <w:t>。</w:t>
            </w:r>
          </w:p>
          <w:p w14:paraId="7FAEF3C3">
            <w:pPr>
              <w:keepNext w:val="0"/>
              <w:keepLines w:val="0"/>
              <w:suppressLineNumbers w:val="0"/>
              <w:spacing w:before="100" w:beforeLines="50" w:beforeAutospacing="1" w:after="100" w:afterLines="50" w:afterAutospacing="1" w:line="360" w:lineRule="auto"/>
              <w:ind w:left="0" w:right="0" w:firstLine="482" w:firstLineChars="200"/>
              <w:jc w:val="left"/>
              <w:rPr>
                <w:rFonts w:hint="default" w:ascii="宋体" w:hAnsi="宋体" w:eastAsia="宋体" w:cs="宋体"/>
                <w:b/>
                <w:bCs/>
                <w:sz w:val="24"/>
                <w:lang w:val="en-US" w:eastAsia="zh-CN"/>
              </w:rPr>
            </w:pPr>
            <w:r>
              <w:rPr>
                <w:rFonts w:hint="eastAsia" w:ascii="宋体" w:hAnsi="宋体" w:cs="宋体"/>
                <w:b/>
                <w:bCs/>
                <w:sz w:val="24"/>
              </w:rPr>
              <w:t>8、</w:t>
            </w:r>
            <w:r>
              <w:rPr>
                <w:rFonts w:hint="eastAsia" w:ascii="宋体" w:hAnsi="宋体" w:cs="宋体"/>
                <w:b/>
                <w:bCs/>
                <w:sz w:val="24"/>
                <w:lang w:val="en-US" w:eastAsia="zh-CN"/>
              </w:rPr>
              <w:t>报告期内，公司氦气销售情况如何</w:t>
            </w:r>
            <w:r>
              <w:rPr>
                <w:rFonts w:hint="eastAsia" w:ascii="宋体" w:hAnsi="宋体" w:cs="宋体"/>
                <w:b/>
                <w:bCs/>
                <w:sz w:val="24"/>
              </w:rPr>
              <w:t>？</w:t>
            </w:r>
            <w:r>
              <w:rPr>
                <w:rFonts w:hint="eastAsia" w:ascii="宋体" w:hAnsi="宋体" w:cs="宋体"/>
                <w:b/>
                <w:bCs/>
                <w:sz w:val="24"/>
                <w:lang w:val="en-US" w:eastAsia="zh-CN"/>
              </w:rPr>
              <w:t>公司氦气产品下游应用领域主要包括哪些？</w:t>
            </w:r>
          </w:p>
          <w:p w14:paraId="730ADA55">
            <w:pPr>
              <w:keepNext w:val="0"/>
              <w:keepLines w:val="0"/>
              <w:suppressLineNumbers w:val="0"/>
              <w:spacing w:before="100" w:beforeLines="50" w:beforeAutospacing="1" w:after="100" w:afterLines="50" w:afterAutospacing="1" w:line="360" w:lineRule="auto"/>
              <w:ind w:left="0" w:right="0" w:firstLine="480" w:firstLineChars="200"/>
              <w:rPr>
                <w:rFonts w:hint="default" w:ascii="宋体" w:hAnsi="宋体" w:cs="宋体"/>
                <w:sz w:val="24"/>
              </w:rPr>
            </w:pPr>
            <w:r>
              <w:rPr>
                <w:rFonts w:hint="eastAsia" w:ascii="宋体" w:hAnsi="宋体" w:cs="宋体"/>
                <w:sz w:val="24"/>
              </w:rPr>
              <w:t>答：</w:t>
            </w:r>
            <w:r>
              <w:rPr>
                <w:rFonts w:hint="eastAsia" w:ascii="宋体" w:hAnsi="宋体" w:cs="宋体"/>
                <w:sz w:val="24"/>
                <w:lang w:val="en-US" w:eastAsia="zh-CN"/>
              </w:rPr>
              <w:t>报告期内，</w:t>
            </w:r>
            <w:r>
              <w:rPr>
                <w:rFonts w:hint="eastAsia" w:ascii="宋体" w:hAnsi="宋体" w:cs="宋体"/>
                <w:sz w:val="24"/>
              </w:rPr>
              <w:t>公司凭借稳定可靠的供应保障能力，面对氦气产品的供需格局变化及产品价格上涨机遇，公司构建氦气供应保障体系，保证核心客户的氦气产品供应，加速推进公司氦气产品在国内半导体客户的覆盖广度，为当期业绩提供增量。报告期内，公司氦气及相关产品业务营业收入占营业总收入约为20%，营收同比增长133%。</w:t>
            </w:r>
            <w:r>
              <w:rPr>
                <w:rFonts w:hint="eastAsia" w:ascii="宋体" w:hAnsi="宋体" w:cs="宋体"/>
                <w:sz w:val="24"/>
                <w:lang w:val="en-US" w:eastAsia="zh-CN"/>
              </w:rPr>
              <w:t>公司氦气产品下游客户主要包括半导体、医疗行业、科研机构及大工业制造等领域。</w:t>
            </w:r>
          </w:p>
          <w:p w14:paraId="1BC1852A">
            <w:pPr>
              <w:keepNext w:val="0"/>
              <w:keepLines w:val="0"/>
              <w:suppressLineNumbers w:val="0"/>
              <w:spacing w:before="100" w:beforeLines="50" w:beforeAutospacing="1" w:after="100" w:afterLines="50" w:afterAutospacing="1" w:line="360" w:lineRule="auto"/>
              <w:ind w:left="0" w:right="0" w:firstLine="482" w:firstLineChars="200"/>
              <w:jc w:val="left"/>
              <w:rPr>
                <w:rFonts w:hint="default" w:ascii="宋体" w:hAnsi="宋体" w:cs="宋体"/>
                <w:b/>
                <w:bCs/>
                <w:sz w:val="24"/>
              </w:rPr>
            </w:pPr>
            <w:r>
              <w:rPr>
                <w:rFonts w:hint="eastAsia" w:ascii="宋体" w:hAnsi="宋体" w:cs="宋体"/>
                <w:b/>
                <w:bCs/>
                <w:sz w:val="24"/>
              </w:rPr>
              <w:t>9、公司产品是否在第三代功率半导体中有应用，是否已经有供应产品给下游厂商？</w:t>
            </w:r>
          </w:p>
          <w:p w14:paraId="419EE0B5">
            <w:pPr>
              <w:keepNext w:val="0"/>
              <w:keepLines w:val="0"/>
              <w:suppressLineNumbers w:val="0"/>
              <w:spacing w:before="100" w:beforeLines="50" w:beforeAutospacing="1" w:after="100" w:afterLines="50" w:afterAutospacing="1" w:line="360" w:lineRule="auto"/>
              <w:ind w:left="0" w:right="0" w:firstLine="480" w:firstLineChars="200"/>
              <w:rPr>
                <w:rFonts w:hint="default" w:ascii="宋体" w:hAnsi="宋体" w:cs="宋体"/>
                <w:sz w:val="24"/>
              </w:rPr>
            </w:pPr>
            <w:r>
              <w:rPr>
                <w:rFonts w:hint="eastAsia" w:ascii="宋体" w:hAnsi="宋体" w:cs="宋体"/>
                <w:sz w:val="24"/>
              </w:rPr>
              <w:t>答：在第三代功率器件半导体领域，公司同样抢占市场先机，提前布局碳化硅（SiC）、氮化镓（GaN）等新型材料生产所需特种气体的研发与生产，产品完全满足下游客户需求，成功进入全国最大的氮化镓厂和碳化硅厂供应链</w:t>
            </w:r>
            <w:r>
              <w:rPr>
                <w:rFonts w:hint="eastAsia" w:ascii="宋体" w:hAnsi="宋体" w:cs="宋体"/>
                <w:sz w:val="24"/>
                <w:lang w:eastAsia="zh-CN"/>
              </w:rPr>
              <w:t>。</w:t>
            </w:r>
          </w:p>
          <w:p w14:paraId="4BE587DF">
            <w:pPr>
              <w:keepNext w:val="0"/>
              <w:keepLines w:val="0"/>
              <w:numPr>
                <w:ilvl w:val="0"/>
                <w:numId w:val="0"/>
              </w:numPr>
              <w:suppressLineNumbers w:val="0"/>
              <w:spacing w:before="100" w:beforeLines="50" w:beforeAutospacing="1" w:after="100" w:afterLines="50" w:afterAutospacing="1" w:line="360" w:lineRule="auto"/>
              <w:ind w:left="0" w:right="0" w:firstLine="482" w:firstLineChars="200"/>
              <w:rPr>
                <w:rFonts w:hint="default" w:ascii="宋体" w:hAnsi="宋体" w:cs="宋体"/>
                <w:b/>
                <w:bCs/>
                <w:sz w:val="24"/>
              </w:rPr>
            </w:pPr>
            <w:r>
              <w:rPr>
                <w:rFonts w:hint="default" w:ascii="宋体" w:hAnsi="宋体" w:eastAsia="宋体" w:cs="宋体"/>
                <w:b/>
                <w:bCs/>
                <w:kern w:val="2"/>
                <w:sz w:val="24"/>
                <w:szCs w:val="24"/>
                <w:lang w:val="en-US" w:eastAsia="zh-CN" w:bidi="ar-SA"/>
              </w:rPr>
              <w:t>10、</w:t>
            </w:r>
            <w:r>
              <w:rPr>
                <w:rFonts w:hint="eastAsia" w:ascii="宋体" w:hAnsi="宋体" w:cs="宋体"/>
                <w:b/>
                <w:bCs/>
                <w:sz w:val="24"/>
              </w:rPr>
              <w:t>公司产品是否在HBM中有应用？HBM将为行业带来哪些展望？</w:t>
            </w:r>
          </w:p>
          <w:p w14:paraId="3A074288">
            <w:pPr>
              <w:keepNext w:val="0"/>
              <w:keepLines w:val="0"/>
              <w:suppressLineNumbers w:val="0"/>
              <w:spacing w:before="100" w:beforeLines="50" w:beforeAutospacing="1" w:after="100" w:afterLines="50" w:afterAutospacing="1" w:line="360" w:lineRule="auto"/>
              <w:ind w:left="0" w:right="0" w:firstLine="480" w:firstLineChars="200"/>
              <w:rPr>
                <w:rFonts w:hint="eastAsia" w:ascii="宋体" w:hAnsi="宋体" w:cs="宋体"/>
                <w:sz w:val="24"/>
                <w:lang w:eastAsia="zh-CN"/>
              </w:rPr>
            </w:pPr>
            <w:r>
              <w:rPr>
                <w:rFonts w:hint="eastAsia" w:ascii="宋体" w:hAnsi="宋体" w:cs="宋体"/>
                <w:sz w:val="24"/>
              </w:rPr>
              <w:t>答：公司深度布局HBM产业链，为其关键的TSV（硅通孔）工艺提供先进刻蚀气体</w:t>
            </w:r>
            <w:r>
              <w:rPr>
                <w:rFonts w:hint="eastAsia" w:ascii="宋体" w:hAnsi="宋体" w:cs="宋体"/>
                <w:sz w:val="24"/>
                <w:lang w:eastAsia="zh-CN"/>
              </w:rPr>
              <w:t>。</w:t>
            </w:r>
          </w:p>
          <w:p w14:paraId="31BC2314">
            <w:pPr>
              <w:keepNext w:val="0"/>
              <w:keepLines w:val="0"/>
              <w:suppressLineNumbers w:val="0"/>
              <w:spacing w:before="100" w:beforeLines="50" w:beforeAutospacing="1" w:after="100" w:afterLines="50" w:afterAutospacing="1" w:line="360" w:lineRule="auto"/>
              <w:ind w:left="0" w:right="0" w:firstLine="480" w:firstLineChars="200"/>
              <w:rPr>
                <w:rFonts w:hint="eastAsia" w:ascii="宋体" w:hAnsi="宋体" w:cs="宋体"/>
                <w:sz w:val="24"/>
              </w:rPr>
            </w:pPr>
            <w:r>
              <w:rPr>
                <w:rFonts w:hint="eastAsia" w:ascii="宋体" w:hAnsi="宋体" w:cs="宋体"/>
                <w:sz w:val="24"/>
              </w:rPr>
              <w:t>HBM凭借高带宽、低功耗、大容量的核心优势，成为解决AI时代GPU（图形处理单元）海量数据高速传输瓶颈的“刚需组件”，在高算力场景中具备不可替代性，其市场规模正随AI服务器渗透率提升呈指数级增长</w:t>
            </w:r>
            <w:r>
              <w:rPr>
                <w:rFonts w:hint="eastAsia" w:ascii="宋体" w:hAnsi="宋体" w:cs="宋体"/>
                <w:sz w:val="24"/>
                <w:lang w:eastAsia="zh-CN"/>
              </w:rPr>
              <w:t>，</w:t>
            </w:r>
            <w:r>
              <w:rPr>
                <w:rFonts w:hint="eastAsia" w:ascii="宋体" w:hAnsi="宋体" w:cs="宋体"/>
                <w:sz w:val="24"/>
              </w:rPr>
              <w:t>伴随技术落地量产，</w:t>
            </w:r>
            <w:r>
              <w:rPr>
                <w:rFonts w:hint="eastAsia" w:ascii="宋体" w:hAnsi="宋体" w:cs="宋体"/>
                <w:sz w:val="24"/>
                <w:lang w:val="en-US" w:eastAsia="zh-CN"/>
              </w:rPr>
              <w:t>相关上游材料的</w:t>
            </w:r>
            <w:r>
              <w:rPr>
                <w:rFonts w:hint="eastAsia" w:ascii="宋体" w:hAnsi="宋体" w:cs="宋体"/>
                <w:sz w:val="24"/>
              </w:rPr>
              <w:t>市场需求</w:t>
            </w:r>
            <w:r>
              <w:rPr>
                <w:rFonts w:hint="eastAsia" w:ascii="宋体" w:hAnsi="宋体" w:cs="宋体"/>
                <w:sz w:val="24"/>
                <w:lang w:val="en-US" w:eastAsia="zh-CN"/>
              </w:rPr>
              <w:t>也将</w:t>
            </w:r>
            <w:r>
              <w:rPr>
                <w:rFonts w:hint="eastAsia" w:ascii="宋体" w:hAnsi="宋体" w:cs="宋体"/>
                <w:sz w:val="24"/>
              </w:rPr>
              <w:t>快速释放。</w:t>
            </w:r>
          </w:p>
          <w:p w14:paraId="7AEAD312">
            <w:pPr>
              <w:keepNext w:val="0"/>
              <w:keepLines w:val="0"/>
              <w:numPr>
                <w:ilvl w:val="0"/>
                <w:numId w:val="0"/>
              </w:numPr>
              <w:suppressLineNumbers w:val="0"/>
              <w:spacing w:before="100" w:beforeLines="50" w:beforeAutospacing="1" w:after="100" w:afterLines="50" w:afterAutospacing="1" w:line="360" w:lineRule="auto"/>
              <w:ind w:left="0" w:right="0" w:firstLine="482" w:firstLineChars="200"/>
              <w:rPr>
                <w:rFonts w:hint="eastAsia" w:ascii="宋体" w:hAnsi="宋体" w:cs="宋体"/>
                <w:b/>
                <w:bCs/>
                <w:sz w:val="24"/>
              </w:rPr>
            </w:pPr>
            <w:r>
              <w:rPr>
                <w:rFonts w:hint="eastAsia" w:ascii="宋体" w:hAnsi="宋体" w:eastAsia="宋体" w:cs="宋体"/>
                <w:b/>
                <w:bCs/>
                <w:kern w:val="2"/>
                <w:sz w:val="24"/>
                <w:szCs w:val="24"/>
                <w:lang w:val="en-US" w:eastAsia="zh-CN" w:bidi="ar-SA"/>
              </w:rPr>
              <w:t>11、</w:t>
            </w:r>
            <w:r>
              <w:rPr>
                <w:rFonts w:hint="eastAsia" w:ascii="宋体" w:hAnsi="宋体" w:cs="宋体"/>
                <w:b/>
                <w:bCs/>
                <w:sz w:val="24"/>
                <w:lang w:val="en-US" w:eastAsia="zh-CN"/>
              </w:rPr>
              <w:t>公司锗烷产品的销售情况</w:t>
            </w:r>
            <w:r>
              <w:rPr>
                <w:rFonts w:hint="eastAsia" w:ascii="宋体" w:hAnsi="宋体" w:cs="宋体"/>
                <w:b/>
                <w:bCs/>
                <w:sz w:val="24"/>
              </w:rPr>
              <w:t>？</w:t>
            </w:r>
          </w:p>
          <w:p w14:paraId="6EF62D38">
            <w:pPr>
              <w:numPr>
                <w:ilvl w:val="255"/>
                <w:numId w:val="0"/>
              </w:numPr>
              <w:spacing w:before="156" w:beforeLines="50" w:beforeAutospacing="1" w:after="156" w:afterLines="50" w:afterAutospacing="1" w:line="360" w:lineRule="auto"/>
              <w:ind w:firstLine="480" w:firstLineChars="200"/>
              <w:rPr>
                <w:rFonts w:hint="default" w:ascii="宋体" w:hAnsi="宋体" w:eastAsia="宋体" w:cs="宋体"/>
                <w:b/>
                <w:bCs/>
                <w:sz w:val="24"/>
                <w:lang w:val="en-US" w:eastAsia="zh-CN"/>
              </w:rPr>
            </w:pPr>
            <w:r>
              <w:rPr>
                <w:rFonts w:hint="eastAsia" w:ascii="宋体" w:hAnsi="宋体" w:cs="宋体"/>
                <w:sz w:val="24"/>
              </w:rPr>
              <w:t>答：公司的锗烷产品已实现产业化,并得到下游客户包括韩国最大存储器企业、韩国SK海力士,德国英飞凌等半导体制造企业应用</w:t>
            </w:r>
            <w:r>
              <w:rPr>
                <w:rFonts w:hint="eastAsia" w:ascii="宋体" w:hAnsi="宋体" w:cs="宋体"/>
                <w:sz w:val="24"/>
                <w:lang w:eastAsia="zh-CN"/>
              </w:rPr>
              <w:t>，</w:t>
            </w:r>
            <w:r>
              <w:rPr>
                <w:rFonts w:hint="eastAsia" w:ascii="宋体" w:hAnsi="宋体" w:cs="宋体"/>
                <w:sz w:val="24"/>
                <w:lang w:val="en-US" w:eastAsia="zh-CN"/>
              </w:rPr>
              <w:t>目前占营业总收入比重较小。</w:t>
            </w:r>
          </w:p>
        </w:tc>
      </w:tr>
      <w:tr w14:paraId="24BA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73F7EBB">
            <w:pPr>
              <w:spacing w:line="480" w:lineRule="atLeast"/>
              <w:rPr>
                <w:rFonts w:ascii="宋体" w:hAnsi="宋体"/>
                <w:bCs/>
                <w:iCs/>
                <w:color w:val="000000"/>
                <w:sz w:val="24"/>
              </w:rPr>
            </w:pPr>
            <w:r>
              <w:rPr>
                <w:rFonts w:hint="eastAsia" w:ascii="宋体" w:hAnsi="宋体"/>
                <w:bCs/>
                <w:iCs/>
                <w:color w:val="000000"/>
                <w:sz w:val="24"/>
              </w:rPr>
              <w:t>附件清单（如有）</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537ACA27">
            <w:pPr>
              <w:spacing w:line="480" w:lineRule="atLeast"/>
              <w:rPr>
                <w:rFonts w:ascii="宋体" w:hAnsi="宋体"/>
                <w:bCs/>
                <w:iCs/>
                <w:color w:val="000000"/>
                <w:sz w:val="24"/>
              </w:rPr>
            </w:pPr>
            <w:r>
              <w:rPr>
                <w:rFonts w:hint="eastAsia" w:ascii="宋体" w:hAnsi="宋体"/>
                <w:bCs/>
                <w:iCs/>
                <w:color w:val="000000"/>
                <w:sz w:val="24"/>
              </w:rPr>
              <w:t>无</w:t>
            </w:r>
          </w:p>
        </w:tc>
      </w:tr>
      <w:tr w14:paraId="4A12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6EF956EA">
            <w:pPr>
              <w:spacing w:line="480" w:lineRule="atLeast"/>
              <w:rPr>
                <w:rFonts w:ascii="宋体" w:hAnsi="宋体"/>
                <w:bCs/>
                <w:iCs/>
                <w:color w:val="000000"/>
                <w:sz w:val="24"/>
              </w:rPr>
            </w:pPr>
            <w:r>
              <w:rPr>
                <w:rFonts w:hint="eastAsia" w:ascii="宋体" w:hAnsi="宋体"/>
                <w:bCs/>
                <w:iCs/>
                <w:color w:val="000000"/>
                <w:sz w:val="24"/>
              </w:rPr>
              <w:t>日期</w:t>
            </w:r>
          </w:p>
        </w:tc>
        <w:tc>
          <w:tcPr>
            <w:tcW w:w="6614" w:type="dxa"/>
            <w:tcBorders>
              <w:top w:val="single" w:color="auto" w:sz="4" w:space="0"/>
              <w:left w:val="single" w:color="auto" w:sz="4" w:space="0"/>
              <w:bottom w:val="single" w:color="auto" w:sz="4" w:space="0"/>
              <w:right w:val="single" w:color="auto" w:sz="4" w:space="0"/>
            </w:tcBorders>
            <w:shd w:val="clear" w:color="auto" w:fill="auto"/>
          </w:tcPr>
          <w:p w14:paraId="78348C0E">
            <w:pPr>
              <w:spacing w:line="480" w:lineRule="atLeast"/>
              <w:rPr>
                <w:rFonts w:ascii="宋体" w:hAnsi="宋体"/>
                <w:bCs/>
                <w:iCs/>
                <w:color w:val="000000"/>
                <w:sz w:val="24"/>
              </w:rPr>
            </w:pPr>
            <w:r>
              <w:rPr>
                <w:rFonts w:hint="eastAsia" w:ascii="宋体" w:hAnsi="宋体"/>
                <w:bCs/>
                <w:iCs/>
                <w:color w:val="000000"/>
                <w:sz w:val="24"/>
              </w:rPr>
              <w:t>2026年</w:t>
            </w:r>
            <w:r>
              <w:rPr>
                <w:rFonts w:hint="eastAsia" w:ascii="宋体" w:hAnsi="宋体"/>
                <w:bCs/>
                <w:iCs/>
                <w:color w:val="000000"/>
                <w:sz w:val="24"/>
                <w:lang w:val="en-US" w:eastAsia="zh-CN"/>
              </w:rPr>
              <w:t>8</w:t>
            </w:r>
            <w:r>
              <w:rPr>
                <w:rFonts w:hint="eastAsia" w:ascii="宋体" w:hAnsi="宋体"/>
                <w:bCs/>
                <w:iCs/>
                <w:color w:val="000000"/>
                <w:sz w:val="24"/>
              </w:rPr>
              <w:t>月</w:t>
            </w:r>
            <w:r>
              <w:rPr>
                <w:rFonts w:hint="eastAsia" w:ascii="宋体" w:hAnsi="宋体"/>
                <w:bCs/>
                <w:iCs/>
                <w:color w:val="000000"/>
                <w:sz w:val="24"/>
                <w:lang w:val="en-US" w:eastAsia="zh-CN"/>
              </w:rPr>
              <w:t>27</w:t>
            </w:r>
            <w:r>
              <w:rPr>
                <w:rFonts w:hint="eastAsia" w:ascii="宋体" w:hAnsi="宋体"/>
                <w:bCs/>
                <w:iCs/>
                <w:color w:val="000000"/>
                <w:sz w:val="24"/>
              </w:rPr>
              <w:t>日</w:t>
            </w:r>
          </w:p>
        </w:tc>
      </w:tr>
    </w:tbl>
    <w:p w14:paraId="2ACBD244">
      <w:pPr>
        <w:pStyle w:val="15"/>
        <w:ind w:left="36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U2NTE5NTlkM2UxNDFiOGQzMzM2YzY1NmUxYWM2ZTQifQ=="/>
  </w:docVars>
  <w:rsids>
    <w:rsidRoot w:val="00151070"/>
    <w:rsid w:val="00013C1C"/>
    <w:rsid w:val="000251B3"/>
    <w:rsid w:val="00030972"/>
    <w:rsid w:val="00030B13"/>
    <w:rsid w:val="0004438E"/>
    <w:rsid w:val="000837D6"/>
    <w:rsid w:val="000F07A0"/>
    <w:rsid w:val="001076B0"/>
    <w:rsid w:val="00110963"/>
    <w:rsid w:val="00127A13"/>
    <w:rsid w:val="00134FDB"/>
    <w:rsid w:val="00151070"/>
    <w:rsid w:val="00152D54"/>
    <w:rsid w:val="00175022"/>
    <w:rsid w:val="001B4C92"/>
    <w:rsid w:val="001C153A"/>
    <w:rsid w:val="001C15B2"/>
    <w:rsid w:val="001D5C74"/>
    <w:rsid w:val="001D765A"/>
    <w:rsid w:val="001E4A9C"/>
    <w:rsid w:val="0023119E"/>
    <w:rsid w:val="002354D3"/>
    <w:rsid w:val="00240F97"/>
    <w:rsid w:val="0026080B"/>
    <w:rsid w:val="002773CA"/>
    <w:rsid w:val="002922B3"/>
    <w:rsid w:val="00296719"/>
    <w:rsid w:val="002A227A"/>
    <w:rsid w:val="00301B61"/>
    <w:rsid w:val="00302151"/>
    <w:rsid w:val="00320706"/>
    <w:rsid w:val="003243F6"/>
    <w:rsid w:val="00344428"/>
    <w:rsid w:val="00347A98"/>
    <w:rsid w:val="00405DA7"/>
    <w:rsid w:val="00410A20"/>
    <w:rsid w:val="00446B11"/>
    <w:rsid w:val="00456ADB"/>
    <w:rsid w:val="00471B94"/>
    <w:rsid w:val="004A3688"/>
    <w:rsid w:val="004A722C"/>
    <w:rsid w:val="004C122B"/>
    <w:rsid w:val="00512AF6"/>
    <w:rsid w:val="005368F3"/>
    <w:rsid w:val="00546A38"/>
    <w:rsid w:val="005C3304"/>
    <w:rsid w:val="005C6ACE"/>
    <w:rsid w:val="00626D1C"/>
    <w:rsid w:val="00656E16"/>
    <w:rsid w:val="006A4CFC"/>
    <w:rsid w:val="00740DC3"/>
    <w:rsid w:val="00757AE5"/>
    <w:rsid w:val="00765606"/>
    <w:rsid w:val="00767E4F"/>
    <w:rsid w:val="007B7396"/>
    <w:rsid w:val="007C05D4"/>
    <w:rsid w:val="007D2416"/>
    <w:rsid w:val="007F1A3C"/>
    <w:rsid w:val="007F32BE"/>
    <w:rsid w:val="00801B53"/>
    <w:rsid w:val="00805339"/>
    <w:rsid w:val="008056ED"/>
    <w:rsid w:val="00807C0F"/>
    <w:rsid w:val="008257AD"/>
    <w:rsid w:val="00871913"/>
    <w:rsid w:val="00887CF7"/>
    <w:rsid w:val="008B5814"/>
    <w:rsid w:val="008F7A8D"/>
    <w:rsid w:val="00906464"/>
    <w:rsid w:val="00922EA0"/>
    <w:rsid w:val="00936BAC"/>
    <w:rsid w:val="009405E0"/>
    <w:rsid w:val="009455E6"/>
    <w:rsid w:val="009460EB"/>
    <w:rsid w:val="00961BD1"/>
    <w:rsid w:val="009900EE"/>
    <w:rsid w:val="0099255C"/>
    <w:rsid w:val="009956AA"/>
    <w:rsid w:val="009B5D0F"/>
    <w:rsid w:val="009D128A"/>
    <w:rsid w:val="009F43CD"/>
    <w:rsid w:val="00A00155"/>
    <w:rsid w:val="00A801EA"/>
    <w:rsid w:val="00AA1C93"/>
    <w:rsid w:val="00AC5D8B"/>
    <w:rsid w:val="00B25B45"/>
    <w:rsid w:val="00B73268"/>
    <w:rsid w:val="00B747F9"/>
    <w:rsid w:val="00BA10DB"/>
    <w:rsid w:val="00BD0C38"/>
    <w:rsid w:val="00C03C74"/>
    <w:rsid w:val="00C05152"/>
    <w:rsid w:val="00C21D92"/>
    <w:rsid w:val="00C2715C"/>
    <w:rsid w:val="00C953B0"/>
    <w:rsid w:val="00C9750D"/>
    <w:rsid w:val="00CA2F15"/>
    <w:rsid w:val="00CB32A0"/>
    <w:rsid w:val="00CB56E7"/>
    <w:rsid w:val="00CB7BFE"/>
    <w:rsid w:val="00CC0922"/>
    <w:rsid w:val="00CC627E"/>
    <w:rsid w:val="00CE29E9"/>
    <w:rsid w:val="00CE763B"/>
    <w:rsid w:val="00D11C06"/>
    <w:rsid w:val="00D23F00"/>
    <w:rsid w:val="00D3390A"/>
    <w:rsid w:val="00D617B2"/>
    <w:rsid w:val="00D750A0"/>
    <w:rsid w:val="00DB210E"/>
    <w:rsid w:val="00DC19E3"/>
    <w:rsid w:val="00DE308E"/>
    <w:rsid w:val="00DE53C5"/>
    <w:rsid w:val="00DF1E57"/>
    <w:rsid w:val="00E01875"/>
    <w:rsid w:val="00E07CB2"/>
    <w:rsid w:val="00E36FC6"/>
    <w:rsid w:val="00E945A9"/>
    <w:rsid w:val="00E96665"/>
    <w:rsid w:val="00EA0866"/>
    <w:rsid w:val="00EE394E"/>
    <w:rsid w:val="00F070C9"/>
    <w:rsid w:val="00F21DD6"/>
    <w:rsid w:val="00F25FF8"/>
    <w:rsid w:val="00F35881"/>
    <w:rsid w:val="00F40715"/>
    <w:rsid w:val="00FD1A42"/>
    <w:rsid w:val="00FF37B7"/>
    <w:rsid w:val="00FF554C"/>
    <w:rsid w:val="0176498D"/>
    <w:rsid w:val="03830824"/>
    <w:rsid w:val="05AB5612"/>
    <w:rsid w:val="068A7850"/>
    <w:rsid w:val="06E34785"/>
    <w:rsid w:val="0978738B"/>
    <w:rsid w:val="0A1C4833"/>
    <w:rsid w:val="0A9450C5"/>
    <w:rsid w:val="0BEF44DC"/>
    <w:rsid w:val="0CC7626C"/>
    <w:rsid w:val="0F6063AF"/>
    <w:rsid w:val="10126CD5"/>
    <w:rsid w:val="17AA7F3F"/>
    <w:rsid w:val="185306EA"/>
    <w:rsid w:val="18CF7A54"/>
    <w:rsid w:val="1A097159"/>
    <w:rsid w:val="1A8A00A4"/>
    <w:rsid w:val="1A9747CA"/>
    <w:rsid w:val="1B684130"/>
    <w:rsid w:val="1B79633D"/>
    <w:rsid w:val="1ED46F31"/>
    <w:rsid w:val="1FF10406"/>
    <w:rsid w:val="21656CBF"/>
    <w:rsid w:val="22596EC8"/>
    <w:rsid w:val="22A705B3"/>
    <w:rsid w:val="22CB0CC1"/>
    <w:rsid w:val="26552E07"/>
    <w:rsid w:val="272F45CF"/>
    <w:rsid w:val="27870A7F"/>
    <w:rsid w:val="290C07F0"/>
    <w:rsid w:val="29A13AA2"/>
    <w:rsid w:val="29E72767"/>
    <w:rsid w:val="2A027055"/>
    <w:rsid w:val="2A7D796C"/>
    <w:rsid w:val="2C774586"/>
    <w:rsid w:val="2D5717A3"/>
    <w:rsid w:val="2D7B0696"/>
    <w:rsid w:val="2DD350BF"/>
    <w:rsid w:val="2E4B1C88"/>
    <w:rsid w:val="2F135D47"/>
    <w:rsid w:val="2F692A40"/>
    <w:rsid w:val="30647164"/>
    <w:rsid w:val="31485D7C"/>
    <w:rsid w:val="32D71BC2"/>
    <w:rsid w:val="33533805"/>
    <w:rsid w:val="34F14902"/>
    <w:rsid w:val="35BA3ED4"/>
    <w:rsid w:val="36CF5FE5"/>
    <w:rsid w:val="378E6966"/>
    <w:rsid w:val="392D6A85"/>
    <w:rsid w:val="3A906321"/>
    <w:rsid w:val="3AB45B25"/>
    <w:rsid w:val="3AE65635"/>
    <w:rsid w:val="3DBC57C1"/>
    <w:rsid w:val="3DBF00CF"/>
    <w:rsid w:val="3F360CD4"/>
    <w:rsid w:val="400950B6"/>
    <w:rsid w:val="42841859"/>
    <w:rsid w:val="42C31F79"/>
    <w:rsid w:val="43F17569"/>
    <w:rsid w:val="459504F8"/>
    <w:rsid w:val="45A24F58"/>
    <w:rsid w:val="47BC5006"/>
    <w:rsid w:val="47E14350"/>
    <w:rsid w:val="496E1128"/>
    <w:rsid w:val="4BE11524"/>
    <w:rsid w:val="4DCF25EE"/>
    <w:rsid w:val="50455C8C"/>
    <w:rsid w:val="51783058"/>
    <w:rsid w:val="53C638D2"/>
    <w:rsid w:val="544A79F2"/>
    <w:rsid w:val="55561660"/>
    <w:rsid w:val="5A5D4BF5"/>
    <w:rsid w:val="5BAC1F2F"/>
    <w:rsid w:val="5CB55482"/>
    <w:rsid w:val="5CD841D5"/>
    <w:rsid w:val="5D7C1AB9"/>
    <w:rsid w:val="5DAF55F4"/>
    <w:rsid w:val="5DF14D16"/>
    <w:rsid w:val="5E693CF6"/>
    <w:rsid w:val="5F9A37A3"/>
    <w:rsid w:val="5FE23C7A"/>
    <w:rsid w:val="604E2347"/>
    <w:rsid w:val="60962888"/>
    <w:rsid w:val="61551B40"/>
    <w:rsid w:val="62C9440A"/>
    <w:rsid w:val="635C5477"/>
    <w:rsid w:val="66891E0F"/>
    <w:rsid w:val="66C965AD"/>
    <w:rsid w:val="68211D11"/>
    <w:rsid w:val="68716FA7"/>
    <w:rsid w:val="6AE242EB"/>
    <w:rsid w:val="6FB146A2"/>
    <w:rsid w:val="724B1615"/>
    <w:rsid w:val="74AC41F8"/>
    <w:rsid w:val="7612152C"/>
    <w:rsid w:val="76911912"/>
    <w:rsid w:val="76A60911"/>
    <w:rsid w:val="78392AED"/>
    <w:rsid w:val="79BC7051"/>
    <w:rsid w:val="7A0C7600"/>
    <w:rsid w:val="7B7C29E4"/>
    <w:rsid w:val="7CEB7CCF"/>
    <w:rsid w:val="7DB63E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3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semiHidden/>
    <w:unhideWhenUsed/>
    <w:qFormat/>
    <w:uiPriority w:val="99"/>
    <w:pPr>
      <w:jc w:val="left"/>
    </w:pPr>
  </w:style>
  <w:style w:type="paragraph" w:styleId="4">
    <w:name w:val="Balloon Text"/>
    <w:basedOn w:val="1"/>
    <w:link w:val="16"/>
    <w:autoRedefine/>
    <w:qFormat/>
    <w:uiPriority w:val="99"/>
    <w:rPr>
      <w:sz w:val="18"/>
      <w:szCs w:val="18"/>
    </w:rPr>
  </w:style>
  <w:style w:type="paragraph" w:styleId="5">
    <w:name w:val="footer"/>
    <w:basedOn w:val="1"/>
    <w:link w:val="14"/>
    <w:autoRedefine/>
    <w:qFormat/>
    <w:uiPriority w:val="99"/>
    <w:pPr>
      <w:tabs>
        <w:tab w:val="center" w:pos="4153"/>
        <w:tab w:val="right" w:pos="8306"/>
      </w:tabs>
      <w:snapToGrid w:val="0"/>
      <w:jc w:val="left"/>
    </w:pPr>
    <w:rPr>
      <w:sz w:val="18"/>
      <w:szCs w:val="18"/>
    </w:rPr>
  </w:style>
  <w:style w:type="paragraph" w:styleId="6">
    <w:name w:val="header"/>
    <w:basedOn w:val="1"/>
    <w:link w:val="13"/>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8">
    <w:name w:val="annotation subject"/>
    <w:basedOn w:val="3"/>
    <w:next w:val="3"/>
    <w:link w:val="24"/>
    <w:semiHidden/>
    <w:unhideWhenUsed/>
    <w:qFormat/>
    <w:uiPriority w:val="99"/>
    <w:rPr>
      <w:b/>
      <w:bCs/>
    </w:rPr>
  </w:style>
  <w:style w:type="character" w:styleId="11">
    <w:name w:val="Hyperlink"/>
    <w:basedOn w:val="10"/>
    <w:autoRedefine/>
    <w:qFormat/>
    <w:uiPriority w:val="99"/>
    <w:rPr>
      <w:color w:val="0000FF"/>
      <w:u w:val="single"/>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6"/>
    <w:autoRedefine/>
    <w:qFormat/>
    <w:uiPriority w:val="99"/>
    <w:rPr>
      <w:rFonts w:ascii="Times New Roman" w:hAnsi="Times New Roman" w:eastAsia="宋体" w:cs="Times New Roman"/>
      <w:sz w:val="18"/>
      <w:szCs w:val="18"/>
    </w:rPr>
  </w:style>
  <w:style w:type="character" w:customStyle="1" w:styleId="14">
    <w:name w:val="页脚 字符"/>
    <w:basedOn w:val="10"/>
    <w:link w:val="5"/>
    <w:autoRedefine/>
    <w:qFormat/>
    <w:uiPriority w:val="99"/>
    <w:rPr>
      <w:rFonts w:ascii="Times New Roman" w:hAnsi="Times New Roman" w:eastAsia="宋体" w:cs="Times New Roman"/>
      <w:sz w:val="18"/>
      <w:szCs w:val="18"/>
    </w:rPr>
  </w:style>
  <w:style w:type="paragraph" w:styleId="15">
    <w:name w:val="List Paragraph"/>
    <w:basedOn w:val="1"/>
    <w:autoRedefine/>
    <w:qFormat/>
    <w:uiPriority w:val="34"/>
    <w:pPr>
      <w:ind w:firstLine="420" w:firstLineChars="200"/>
    </w:pPr>
  </w:style>
  <w:style w:type="character" w:customStyle="1" w:styleId="16">
    <w:name w:val="批注框文本 字符"/>
    <w:basedOn w:val="10"/>
    <w:link w:val="4"/>
    <w:autoRedefine/>
    <w:qFormat/>
    <w:uiPriority w:val="99"/>
    <w:rPr>
      <w:rFonts w:ascii="Times New Roman" w:hAnsi="Times New Roman" w:eastAsia="宋体" w:cs="Times New Roman"/>
      <w:sz w:val="18"/>
      <w:szCs w:val="18"/>
    </w:rPr>
  </w:style>
  <w:style w:type="paragraph" w:styleId="17">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8">
    <w:name w:val="fontstyle01"/>
    <w:basedOn w:val="10"/>
    <w:autoRedefine/>
    <w:qFormat/>
    <w:uiPriority w:val="0"/>
    <w:rPr>
      <w:rFonts w:hint="eastAsia" w:ascii="宋体" w:hAnsi="宋体" w:eastAsia="宋体"/>
      <w:color w:val="000000"/>
      <w:sz w:val="24"/>
      <w:szCs w:val="24"/>
    </w:rPr>
  </w:style>
  <w:style w:type="character" w:customStyle="1" w:styleId="19">
    <w:name w:val="fontstyle21"/>
    <w:basedOn w:val="10"/>
    <w:autoRedefine/>
    <w:qFormat/>
    <w:uiPriority w:val="0"/>
    <w:rPr>
      <w:rFonts w:hint="default" w:ascii="Times New Roman" w:hAnsi="Times New Roman" w:cs="Times New Roman"/>
      <w:color w:val="000000"/>
      <w:sz w:val="24"/>
      <w:szCs w:val="24"/>
    </w:rPr>
  </w:style>
  <w:style w:type="paragraph" w:customStyle="1" w:styleId="20">
    <w:name w:val="内页正文"/>
    <w:link w:val="21"/>
    <w:autoRedefine/>
    <w:qFormat/>
    <w:uiPriority w:val="0"/>
    <w:pPr>
      <w:spacing w:after="120"/>
      <w:jc w:val="both"/>
    </w:pPr>
    <w:rPr>
      <w:rFonts w:ascii="Arial" w:hAnsi="Arial" w:eastAsia="华文细黑" w:cs="Arial"/>
      <w:kern w:val="2"/>
      <w:sz w:val="18"/>
      <w:szCs w:val="19"/>
      <w:lang w:val="en-US" w:eastAsia="zh-CN" w:bidi="ar-SA"/>
    </w:rPr>
  </w:style>
  <w:style w:type="character" w:customStyle="1" w:styleId="21">
    <w:name w:val="内页正文 Char"/>
    <w:link w:val="20"/>
    <w:autoRedefine/>
    <w:qFormat/>
    <w:uiPriority w:val="0"/>
    <w:rPr>
      <w:rFonts w:ascii="Arial" w:hAnsi="Arial" w:eastAsia="华文细黑" w:cs="Arial"/>
      <w:kern w:val="2"/>
      <w:sz w:val="18"/>
      <w:szCs w:val="19"/>
    </w:rPr>
  </w:style>
  <w:style w:type="paragraph" w:customStyle="1" w:styleId="22">
    <w:name w:val="列表段落1"/>
    <w:basedOn w:val="1"/>
    <w:autoRedefine/>
    <w:qFormat/>
    <w:uiPriority w:val="0"/>
    <w:pPr>
      <w:ind w:firstLine="420" w:firstLineChars="200"/>
    </w:pPr>
    <w:rPr>
      <w:rFonts w:ascii="Calibri" w:hAnsi="Calibri"/>
      <w:szCs w:val="21"/>
    </w:rPr>
  </w:style>
  <w:style w:type="character" w:customStyle="1" w:styleId="23">
    <w:name w:val="批注文字 字符"/>
    <w:basedOn w:val="10"/>
    <w:link w:val="3"/>
    <w:semiHidden/>
    <w:qFormat/>
    <w:uiPriority w:val="99"/>
    <w:rPr>
      <w:kern w:val="2"/>
      <w:sz w:val="21"/>
      <w:szCs w:val="24"/>
    </w:rPr>
  </w:style>
  <w:style w:type="character" w:customStyle="1" w:styleId="24">
    <w:name w:val="批注主题 字符"/>
    <w:basedOn w:val="23"/>
    <w:link w:val="8"/>
    <w:semiHidden/>
    <w:qFormat/>
    <w:uiPriority w:val="99"/>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E3594-AC90-47E4-8E8F-DF614A2ADD13}">
  <ds:schemaRefs/>
</ds:datastoreItem>
</file>

<file path=docProps/app.xml><?xml version="1.0" encoding="utf-8"?>
<Properties xmlns="http://schemas.openxmlformats.org/officeDocument/2006/extended-properties" xmlns:vt="http://schemas.openxmlformats.org/officeDocument/2006/docPropsVTypes">
  <Template>Normal</Template>
  <Company>win10com.com</Company>
  <Pages>9</Pages>
  <Words>4951</Words>
  <Characters>5290</Characters>
  <Lines>34</Lines>
  <Paragraphs>9</Paragraphs>
  <TotalTime>29</TotalTime>
  <ScaleCrop>false</ScaleCrop>
  <LinksUpToDate>false</LinksUpToDate>
  <CharactersWithSpaces>5344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2023-09-06T09:14:00Z</dcterms:created>
  <dc:creator>skd004</dc:creator>
  <cp:lastModifiedBy>WPS_1683033738</cp:lastModifiedBy>
  <cp:lastPrinted>2026-04-14T09:36:00Z</cp:lastPrinted>
  <dcterms:modified xsi:type="dcterms:W3CDTF">2026-08-27T07:46:09Z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35607A4CDF534E01A928C15C8C1A2A7C_13</vt:lpwstr>
  </property>
</Properties>
</file>