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ADBC2">
      <w:pPr>
        <w:autoSpaceDE w:val="0"/>
        <w:autoSpaceDN w:val="0"/>
        <w:spacing w:line="460" w:lineRule="exact"/>
        <w:ind w:right="17"/>
        <w:jc w:val="center"/>
        <w:rPr>
          <w:rFonts w:ascii="Times New Roman" w:hAnsi="Times New Roman" w:eastAsia="宋体" w:cs="Times New Roman"/>
          <w:b/>
          <w:kern w:val="0"/>
          <w:sz w:val="32"/>
          <w:szCs w:val="32"/>
          <w:lang w:val="zh-CN" w:bidi="zh-CN"/>
        </w:rPr>
      </w:pPr>
      <w:r>
        <w:rPr>
          <w:rFonts w:ascii="Times New Roman" w:hAnsi="Times New Roman" w:eastAsia="宋体" w:cs="Times New Roman"/>
          <w:b/>
          <w:kern w:val="0"/>
          <w:sz w:val="32"/>
          <w:szCs w:val="32"/>
          <w:lang w:val="zh-CN" w:bidi="zh-CN"/>
        </w:rPr>
        <w:t>深圳市联赢激光股份有限公司</w:t>
      </w:r>
    </w:p>
    <w:p w14:paraId="58D76AC0">
      <w:pPr>
        <w:autoSpaceDE w:val="0"/>
        <w:autoSpaceDN w:val="0"/>
        <w:spacing w:line="460" w:lineRule="exact"/>
        <w:ind w:right="17"/>
        <w:jc w:val="center"/>
        <w:rPr>
          <w:rFonts w:ascii="Times New Roman" w:hAnsi="Times New Roman" w:eastAsia="宋体" w:cs="Times New Roman"/>
          <w:b/>
          <w:kern w:val="0"/>
          <w:sz w:val="36"/>
          <w:lang w:val="zh-CN" w:bidi="zh-CN"/>
        </w:rPr>
      </w:pPr>
      <w:r>
        <w:rPr>
          <w:rFonts w:ascii="Times New Roman" w:hAnsi="Times New Roman" w:eastAsia="宋体" w:cs="Times New Roman"/>
          <w:b/>
          <w:kern w:val="0"/>
          <w:sz w:val="32"/>
          <w:szCs w:val="32"/>
          <w:lang w:val="zh-CN" w:bidi="zh-CN"/>
        </w:rPr>
        <w:t>投资者关系活动记录表</w:t>
      </w:r>
    </w:p>
    <w:p w14:paraId="636A6EA5">
      <w:pPr>
        <w:tabs>
          <w:tab w:val="left" w:pos="3713"/>
          <w:tab w:val="left" w:pos="6481"/>
        </w:tabs>
        <w:autoSpaceDE w:val="0"/>
        <w:autoSpaceDN w:val="0"/>
        <w:spacing w:before="156" w:beforeLines="50" w:after="156" w:afterLines="50"/>
        <w:jc w:val="left"/>
        <w:rPr>
          <w:rFonts w:ascii="Times New Roman" w:hAnsi="Times New Roman" w:eastAsia="宋体" w:cs="Times New Roman"/>
          <w:b/>
          <w:kern w:val="0"/>
          <w:szCs w:val="21"/>
          <w:lang w:bidi="zh-CN"/>
        </w:rPr>
      </w:pPr>
      <w:r>
        <w:rPr>
          <w:rFonts w:ascii="Times New Roman" w:hAnsi="Times New Roman" w:eastAsia="宋体" w:cs="Times New Roman"/>
          <w:b/>
          <w:kern w:val="0"/>
          <w:szCs w:val="21"/>
          <w:lang w:val="zh-CN" w:bidi="zh-CN"/>
        </w:rPr>
        <w:t>股票简称：联赢激光</w:t>
      </w:r>
      <w:r>
        <w:rPr>
          <w:rFonts w:ascii="Times New Roman" w:hAnsi="Times New Roman" w:eastAsia="宋体" w:cs="Times New Roman"/>
          <w:b/>
          <w:kern w:val="0"/>
          <w:szCs w:val="21"/>
          <w:lang w:val="zh-CN" w:bidi="zh-CN"/>
        </w:rPr>
        <w:tab/>
      </w:r>
      <w:r>
        <w:rPr>
          <w:rFonts w:ascii="Times New Roman" w:hAnsi="Times New Roman" w:eastAsia="宋体" w:cs="Times New Roman"/>
          <w:b/>
          <w:kern w:val="0"/>
          <w:szCs w:val="21"/>
          <w:lang w:val="zh-CN" w:bidi="zh-CN"/>
        </w:rPr>
        <w:t>股票代码：</w:t>
      </w:r>
      <w:r>
        <w:rPr>
          <w:rFonts w:ascii="Times New Roman" w:hAnsi="Times New Roman" w:eastAsia="宋体" w:cs="Times New Roman"/>
          <w:b/>
          <w:kern w:val="0"/>
          <w:szCs w:val="21"/>
          <w:lang w:bidi="zh-CN"/>
        </w:rPr>
        <w:t>688518</w:t>
      </w:r>
      <w:r>
        <w:rPr>
          <w:rFonts w:ascii="Times New Roman" w:hAnsi="Times New Roman" w:eastAsia="宋体" w:cs="Times New Roman"/>
          <w:b/>
          <w:kern w:val="0"/>
          <w:szCs w:val="21"/>
          <w:lang w:val="zh-CN" w:bidi="zh-CN"/>
        </w:rPr>
        <w:tab/>
      </w:r>
      <w:r>
        <w:rPr>
          <w:rFonts w:ascii="Times New Roman" w:hAnsi="Times New Roman" w:eastAsia="宋体" w:cs="Times New Roman"/>
          <w:b/>
          <w:kern w:val="0"/>
          <w:szCs w:val="21"/>
          <w:lang w:val="zh-CN" w:bidi="zh-CN"/>
        </w:rPr>
        <w:t>编号：202</w:t>
      </w:r>
      <w:r>
        <w:rPr>
          <w:rFonts w:hint="eastAsia" w:ascii="Times New Roman" w:hAnsi="Times New Roman" w:eastAsia="宋体" w:cs="Times New Roman"/>
          <w:b/>
          <w:kern w:val="0"/>
          <w:szCs w:val="21"/>
          <w:lang w:bidi="zh-CN"/>
        </w:rPr>
        <w:t>6</w:t>
      </w:r>
      <w:r>
        <w:rPr>
          <w:rFonts w:ascii="Times New Roman" w:hAnsi="Times New Roman" w:eastAsia="宋体" w:cs="Times New Roman"/>
          <w:b/>
          <w:kern w:val="0"/>
          <w:szCs w:val="21"/>
          <w:lang w:val="zh-CN" w:bidi="zh-CN"/>
        </w:rPr>
        <w:t>-</w:t>
      </w:r>
      <w:r>
        <w:rPr>
          <w:rFonts w:hint="eastAsia" w:ascii="Times New Roman" w:hAnsi="Times New Roman" w:eastAsia="宋体" w:cs="Times New Roman"/>
          <w:b/>
          <w:kern w:val="0"/>
          <w:szCs w:val="21"/>
          <w:lang w:val="zh-CN" w:bidi="zh-CN"/>
        </w:rPr>
        <w:t>003</w:t>
      </w:r>
    </w:p>
    <w:tbl>
      <w:tblPr>
        <w:tblStyle w:val="10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3813"/>
        <w:gridCol w:w="3544"/>
      </w:tblGrid>
      <w:tr w14:paraId="7EB97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569" w:type="dxa"/>
            <w:vAlign w:val="center"/>
          </w:tcPr>
          <w:p w14:paraId="42C94CE8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投资者关系</w:t>
            </w:r>
          </w:p>
          <w:p w14:paraId="4229C7F1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活动类别</w:t>
            </w:r>
          </w:p>
        </w:tc>
        <w:tc>
          <w:tcPr>
            <w:tcW w:w="3813" w:type="dxa"/>
            <w:tcBorders>
              <w:right w:val="nil"/>
            </w:tcBorders>
          </w:tcPr>
          <w:p w14:paraId="6AB3BAF7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Cs w:val="21"/>
              </w:rPr>
              <w:t>特定对象调研</w:t>
            </w:r>
          </w:p>
          <w:p w14:paraId="46BB4717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szCs w:val="21"/>
              </w:rPr>
              <w:t>媒体采访</w:t>
            </w:r>
          </w:p>
          <w:p w14:paraId="642437AB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szCs w:val="21"/>
              </w:rPr>
              <w:t>新闻发布会</w:t>
            </w:r>
          </w:p>
          <w:p w14:paraId="2E332FE6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Cs w:val="21"/>
              </w:rPr>
              <w:t>现场参观</w:t>
            </w:r>
          </w:p>
          <w:p w14:paraId="6535A84A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  <w:r>
              <w:rPr>
                <w:rFonts w:ascii="Times New Roman" w:hAnsi="Times New Roman" w:eastAsia="宋体" w:cs="Times New Roman"/>
                <w:szCs w:val="21"/>
              </w:rPr>
              <w:t>电话会议</w:t>
            </w:r>
          </w:p>
        </w:tc>
        <w:tc>
          <w:tcPr>
            <w:tcW w:w="3544" w:type="dxa"/>
            <w:tcBorders>
              <w:left w:val="nil"/>
            </w:tcBorders>
          </w:tcPr>
          <w:p w14:paraId="5582F67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szCs w:val="21"/>
              </w:rPr>
              <w:t>分析师会议</w:t>
            </w:r>
          </w:p>
          <w:p w14:paraId="221E7FC2">
            <w:pPr>
              <w:rPr>
                <w:rFonts w:ascii="Times New Roman" w:hAnsi="Times New Roman" w:eastAsia="宋体" w:cs="Times New Roman"/>
                <w:szCs w:val="21"/>
              </w:rPr>
            </w:pPr>
            <w:bookmarkStart w:id="0" w:name="OLE_LINK3"/>
            <w:bookmarkStart w:id="1" w:name="OLE_LINK2"/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  <w:bookmarkEnd w:id="0"/>
            <w:bookmarkEnd w:id="1"/>
            <w:r>
              <w:rPr>
                <w:rFonts w:ascii="Times New Roman" w:hAnsi="Times New Roman" w:eastAsia="宋体" w:cs="Times New Roman"/>
                <w:szCs w:val="21"/>
              </w:rPr>
              <w:t>业绩说明会</w:t>
            </w:r>
          </w:p>
          <w:p w14:paraId="1AFBEAB3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szCs w:val="21"/>
              </w:rPr>
              <w:t>路演活动</w:t>
            </w:r>
          </w:p>
          <w:p w14:paraId="5493181A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szCs w:val="21"/>
              </w:rPr>
              <w:t>一对一沟通</w:t>
            </w:r>
          </w:p>
        </w:tc>
      </w:tr>
      <w:tr w14:paraId="2D8E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569" w:type="dxa"/>
            <w:vAlign w:val="center"/>
          </w:tcPr>
          <w:p w14:paraId="55C2A635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参与单位名称及人员</w:t>
            </w:r>
          </w:p>
        </w:tc>
        <w:tc>
          <w:tcPr>
            <w:tcW w:w="7357" w:type="dxa"/>
            <w:gridSpan w:val="2"/>
            <w:vAlign w:val="center"/>
          </w:tcPr>
          <w:p w14:paraId="388875EF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  <w:t>58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  <w:t>家投资机构的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  <w:t>68</w:t>
            </w:r>
            <w:r>
              <w:rPr>
                <w:rFonts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  <w:t>名投资者（详见附件1《与会机构清单》）</w:t>
            </w:r>
          </w:p>
        </w:tc>
      </w:tr>
      <w:tr w14:paraId="33075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69" w:type="dxa"/>
            <w:vAlign w:val="center"/>
          </w:tcPr>
          <w:p w14:paraId="7C5AD130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时间</w:t>
            </w:r>
          </w:p>
        </w:tc>
        <w:tc>
          <w:tcPr>
            <w:tcW w:w="7357" w:type="dxa"/>
            <w:gridSpan w:val="2"/>
            <w:vAlign w:val="center"/>
          </w:tcPr>
          <w:p w14:paraId="6F9AE517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26</w:t>
            </w:r>
            <w:r>
              <w:rPr>
                <w:rFonts w:ascii="Times New Roman" w:hAnsi="Times New Roman" w:eastAsia="宋体" w:cs="Times New Roman"/>
                <w:szCs w:val="21"/>
              </w:rPr>
              <w:t>日</w:t>
            </w:r>
          </w:p>
        </w:tc>
      </w:tr>
      <w:tr w14:paraId="171B2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69" w:type="dxa"/>
            <w:vAlign w:val="center"/>
          </w:tcPr>
          <w:p w14:paraId="1324332B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地点</w:t>
            </w:r>
          </w:p>
        </w:tc>
        <w:tc>
          <w:tcPr>
            <w:tcW w:w="7357" w:type="dxa"/>
            <w:gridSpan w:val="2"/>
            <w:vAlign w:val="center"/>
          </w:tcPr>
          <w:p w14:paraId="786E21E6">
            <w:pPr>
              <w:rPr>
                <w:rFonts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  <w:t>线上会议平台</w:t>
            </w:r>
          </w:p>
        </w:tc>
      </w:tr>
      <w:tr w14:paraId="03F6E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569" w:type="dxa"/>
            <w:vAlign w:val="center"/>
          </w:tcPr>
          <w:p w14:paraId="0F2F612E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上市公司接待</w:t>
            </w:r>
          </w:p>
          <w:p w14:paraId="779727FF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人员姓名</w:t>
            </w:r>
          </w:p>
        </w:tc>
        <w:tc>
          <w:tcPr>
            <w:tcW w:w="7357" w:type="dxa"/>
            <w:gridSpan w:val="2"/>
            <w:vAlign w:val="center"/>
          </w:tcPr>
          <w:p w14:paraId="16500183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公司副总经理、财务总监、董事会秘书：谢强</w:t>
            </w:r>
          </w:p>
          <w:p w14:paraId="0995F3AF">
            <w:pPr>
              <w:spacing w:line="360" w:lineRule="auto"/>
              <w:rPr>
                <w:rFonts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公司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证券事务代表</w:t>
            </w:r>
            <w:r>
              <w:rPr>
                <w:rFonts w:ascii="Times New Roman" w:hAnsi="Times New Roman" w:eastAsia="宋体" w:cs="Times New Roman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张晓平</w:t>
            </w:r>
          </w:p>
        </w:tc>
      </w:tr>
      <w:tr w14:paraId="1F44F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569" w:type="dxa"/>
            <w:vAlign w:val="center"/>
          </w:tcPr>
          <w:p w14:paraId="1860EE6F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投资者关系活动主要内容介绍</w:t>
            </w:r>
          </w:p>
        </w:tc>
        <w:tc>
          <w:tcPr>
            <w:tcW w:w="7357" w:type="dxa"/>
            <w:gridSpan w:val="2"/>
          </w:tcPr>
          <w:p w14:paraId="7CCCA582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第一部分：介绍公司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2026年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半年报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业绩情况</w:t>
            </w:r>
          </w:p>
          <w:p w14:paraId="40F7823A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1、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营业收入和利润情况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</w:t>
            </w:r>
            <w:bookmarkStart w:id="2" w:name="OLE_LINK45"/>
            <w:bookmarkStart w:id="3" w:name="OLE_LINK44"/>
            <w:r>
              <w:rPr>
                <w:rFonts w:ascii="Times New Roman" w:hAnsi="Times New Roman" w:eastAsia="宋体" w:cs="Times New Roman"/>
                <w:szCs w:val="24"/>
              </w:rPr>
              <w:t xml:space="preserve"> 2026年上半年</w:t>
            </w:r>
            <w:bookmarkEnd w:id="2"/>
            <w:bookmarkEnd w:id="3"/>
            <w:r>
              <w:rPr>
                <w:rFonts w:hint="eastAsia" w:ascii="Times New Roman" w:hAnsi="Times New Roman" w:eastAsia="宋体" w:cs="Times New Roman"/>
                <w:szCs w:val="24"/>
              </w:rPr>
              <w:t>公司</w:t>
            </w:r>
            <w:r>
              <w:rPr>
                <w:rFonts w:ascii="Times New Roman" w:hAnsi="Times New Roman" w:eastAsia="宋体" w:cs="Times New Roman"/>
                <w:szCs w:val="24"/>
              </w:rPr>
              <w:t>实现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营业收入</w:t>
            </w:r>
            <w:r>
              <w:rPr>
                <w:rFonts w:ascii="Times New Roman" w:hAnsi="Times New Roman" w:eastAsia="宋体" w:cs="Times New Roman"/>
                <w:szCs w:val="24"/>
              </w:rPr>
              <w:t>17.42亿元，同比增长13.62%；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实现归属于上市公司股东</w:t>
            </w:r>
            <w:r>
              <w:rPr>
                <w:rFonts w:ascii="Times New Roman" w:hAnsi="Times New Roman" w:eastAsia="宋体" w:cs="Times New Roman"/>
                <w:szCs w:val="24"/>
              </w:rPr>
              <w:t>净利润9,838.24万元，同比增长69.86%；</w:t>
            </w:r>
            <w:bookmarkStart w:id="4" w:name="OLE_LINK40"/>
            <w:bookmarkStart w:id="5" w:name="OLE_LINK41"/>
            <w:r>
              <w:rPr>
                <w:rFonts w:ascii="Times New Roman" w:hAnsi="Times New Roman" w:eastAsia="宋体" w:cs="Times New Roman"/>
                <w:szCs w:val="24"/>
              </w:rPr>
              <w:t>归属于上市公司股东</w:t>
            </w:r>
            <w:bookmarkEnd w:id="4"/>
            <w:bookmarkEnd w:id="5"/>
            <w:r>
              <w:rPr>
                <w:rFonts w:ascii="Times New Roman" w:hAnsi="Times New Roman" w:eastAsia="宋体" w:cs="Times New Roman"/>
                <w:szCs w:val="24"/>
              </w:rPr>
              <w:t>扣除非经常性损益后的净利润为8,436.06万元，同期增长98.7%；净利率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（净利润/营业收入）为</w:t>
            </w:r>
            <w:r>
              <w:rPr>
                <w:rFonts w:ascii="Times New Roman" w:hAnsi="Times New Roman" w:eastAsia="宋体" w:cs="Times New Roman"/>
                <w:szCs w:val="24"/>
              </w:rPr>
              <w:t>5.66%，同比增加2.12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百分点，</w:t>
            </w:r>
            <w:r>
              <w:rPr>
                <w:rFonts w:ascii="Times New Roman" w:hAnsi="Times New Roman" w:eastAsia="宋体" w:cs="Times New Roman"/>
                <w:szCs w:val="24"/>
              </w:rPr>
              <w:t>主要原因是报告期内验收增加，确认的收入与上年同期相比有所增长，同时毛利率略有提高，其他收益金额有所增加。</w:t>
            </w:r>
          </w:p>
          <w:p w14:paraId="338E34EB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2026年上半年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公司综合毛利率达</w:t>
            </w:r>
            <w:r>
              <w:rPr>
                <w:rFonts w:ascii="Times New Roman" w:hAnsi="Times New Roman" w:eastAsia="宋体" w:cs="Times New Roman"/>
                <w:szCs w:val="24"/>
              </w:rPr>
              <w:t>28.23%，同比提升0.9个百分点，其中二季度毛利率达29.64%，环比提升2.78个百分点，呈现持续修复趋势。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期间费用率为</w:t>
            </w:r>
            <w:r>
              <w:rPr>
                <w:rFonts w:ascii="Times New Roman" w:hAnsi="Times New Roman" w:eastAsia="宋体" w:cs="Times New Roman"/>
                <w:szCs w:val="24"/>
              </w:rPr>
              <w:t>23.61%，同比下降1.09个百分点，显示出规模效应带来的管理效率提升。</w:t>
            </w:r>
          </w:p>
          <w:p w14:paraId="6001ADFD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2、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资产与运营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情况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：截至2026年6月末，公司总资产达</w:t>
            </w:r>
            <w:r>
              <w:rPr>
                <w:rFonts w:ascii="Times New Roman" w:hAnsi="Times New Roman" w:eastAsia="宋体" w:cs="Times New Roman"/>
                <w:szCs w:val="24"/>
              </w:rPr>
              <w:t>97.31亿元，较上年末增长18.86%；净资产33.07亿元，较上年末增长1.42%。</w:t>
            </w:r>
            <w:bookmarkStart w:id="6" w:name="OLE_LINK38"/>
            <w:bookmarkStart w:id="7" w:name="OLE_LINK37"/>
            <w:bookmarkStart w:id="8" w:name="OLE_LINK36"/>
            <w:r>
              <w:rPr>
                <w:rFonts w:hint="eastAsia" w:ascii="Times New Roman" w:hAnsi="Times New Roman" w:eastAsia="宋体" w:cs="Times New Roman"/>
                <w:szCs w:val="24"/>
              </w:rPr>
              <w:t>截至2026年6月末，</w:t>
            </w:r>
            <w:bookmarkEnd w:id="6"/>
            <w:bookmarkEnd w:id="7"/>
            <w:bookmarkEnd w:id="8"/>
            <w:r>
              <w:rPr>
                <w:rFonts w:hint="eastAsia" w:ascii="Times New Roman" w:hAnsi="Times New Roman" w:eastAsia="宋体" w:cs="Times New Roman"/>
                <w:szCs w:val="24"/>
              </w:rPr>
              <w:t>公司应收账款为</w:t>
            </w:r>
            <w:r>
              <w:rPr>
                <w:rFonts w:ascii="Times New Roman" w:hAnsi="Times New Roman" w:eastAsia="宋体" w:cs="Times New Roman"/>
                <w:szCs w:val="24"/>
              </w:rPr>
              <w:t>15.4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0</w:t>
            </w:r>
            <w:r>
              <w:rPr>
                <w:rFonts w:ascii="Times New Roman" w:hAnsi="Times New Roman" w:eastAsia="宋体" w:cs="Times New Roman"/>
                <w:szCs w:val="24"/>
              </w:rPr>
              <w:t>亿元，较上年末微降0.21%，表明在收入增长的同时回款情况良好。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截至2026年6月末，存货增至</w:t>
            </w:r>
            <w:r>
              <w:rPr>
                <w:rFonts w:ascii="Times New Roman" w:hAnsi="Times New Roman" w:eastAsia="宋体" w:cs="Times New Roman"/>
                <w:szCs w:val="24"/>
              </w:rPr>
              <w:t>39.18亿元，合同负债增至28.54亿元，主要系上半年新签订单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增加所致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。 </w:t>
            </w:r>
          </w:p>
          <w:p w14:paraId="3B7C9ED9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3、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现金流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情况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：</w:t>
            </w:r>
            <w:r>
              <w:rPr>
                <w:rFonts w:ascii="Times New Roman" w:hAnsi="Times New Roman" w:eastAsia="宋体" w:cs="Times New Roman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上半年</w:t>
            </w:r>
            <w:r>
              <w:rPr>
                <w:rFonts w:ascii="Times New Roman" w:hAnsi="Times New Roman" w:eastAsia="宋体" w:cs="Times New Roman"/>
                <w:szCs w:val="24"/>
              </w:rPr>
              <w:t>公司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经营活动产生的</w:t>
            </w:r>
            <w:r>
              <w:rPr>
                <w:rFonts w:ascii="Times New Roman" w:hAnsi="Times New Roman" w:eastAsia="宋体" w:cs="Times New Roman"/>
                <w:szCs w:val="24"/>
              </w:rPr>
              <w:t>现金</w:t>
            </w:r>
            <w:bookmarkStart w:id="9" w:name="OLE_LINK7"/>
            <w:bookmarkStart w:id="10" w:name="OLE_LINK6"/>
            <w:r>
              <w:rPr>
                <w:rFonts w:ascii="Times New Roman" w:hAnsi="Times New Roman" w:eastAsia="宋体" w:cs="Times New Roman"/>
                <w:szCs w:val="24"/>
              </w:rPr>
              <w:t>流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量</w:t>
            </w:r>
            <w:bookmarkEnd w:id="9"/>
            <w:bookmarkEnd w:id="10"/>
            <w:r>
              <w:rPr>
                <w:rFonts w:hint="eastAsia" w:ascii="Times New Roman" w:hAnsi="Times New Roman" w:eastAsia="宋体" w:cs="Times New Roman"/>
                <w:szCs w:val="24"/>
              </w:rPr>
              <w:t>净额</w:t>
            </w:r>
            <w:r>
              <w:rPr>
                <w:rFonts w:ascii="Times New Roman" w:hAnsi="Times New Roman" w:eastAsia="宋体" w:cs="Times New Roman"/>
                <w:szCs w:val="24"/>
              </w:rPr>
              <w:t>为</w:t>
            </w:r>
            <w:bookmarkStart w:id="11" w:name="OLE_LINK1"/>
            <w:r>
              <w:rPr>
                <w:rFonts w:ascii="Times New Roman" w:hAnsi="Times New Roman" w:eastAsia="宋体" w:cs="Times New Roman"/>
                <w:szCs w:val="24"/>
              </w:rPr>
              <w:t>-4,363.34</w:t>
            </w:r>
            <w:bookmarkEnd w:id="11"/>
            <w:r>
              <w:rPr>
                <w:rFonts w:ascii="Times New Roman" w:hAnsi="Times New Roman" w:eastAsia="宋体" w:cs="Times New Roman"/>
                <w:szCs w:val="24"/>
              </w:rPr>
              <w:t>万元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，</w:t>
            </w:r>
            <w:r>
              <w:rPr>
                <w:rFonts w:ascii="Times New Roman" w:hAnsi="Times New Roman" w:eastAsia="宋体" w:cs="Times New Roman"/>
                <w:szCs w:val="24"/>
              </w:rPr>
              <w:t>主要原因是公司新签订单快速增长，公司购买商品、接受劳务支付的现金和支付给职工的现金增加较多所致。</w:t>
            </w:r>
          </w:p>
          <w:p w14:paraId="2285538C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4、订单情况：</w:t>
            </w:r>
            <w:r>
              <w:rPr>
                <w:rFonts w:ascii="Times New Roman" w:hAnsi="Times New Roman" w:eastAsia="宋体" w:cs="Times New Roman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上半年</w:t>
            </w:r>
            <w:r>
              <w:rPr>
                <w:rFonts w:ascii="Times New Roman" w:hAnsi="Times New Roman" w:eastAsia="宋体" w:cs="Times New Roman"/>
                <w:szCs w:val="24"/>
              </w:rPr>
              <w:t>公司新签订单（含税）达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42</w:t>
            </w:r>
            <w:r>
              <w:rPr>
                <w:rFonts w:ascii="Times New Roman" w:hAnsi="Times New Roman" w:eastAsia="宋体" w:cs="Times New Roman"/>
                <w:szCs w:val="24"/>
              </w:rPr>
              <w:t>亿元，同比增长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91</w:t>
            </w:r>
            <w:r>
              <w:rPr>
                <w:rFonts w:ascii="Times New Roman" w:hAnsi="Times New Roman" w:eastAsia="宋体" w:cs="Times New Roman"/>
                <w:szCs w:val="24"/>
              </w:rPr>
              <w:t>%，为公司成立以来的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半年度</w:t>
            </w:r>
            <w:r>
              <w:rPr>
                <w:rFonts w:ascii="Times New Roman" w:hAnsi="Times New Roman" w:eastAsia="宋体" w:cs="Times New Roman"/>
                <w:szCs w:val="24"/>
              </w:rPr>
              <w:t>最高水平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。</w:t>
            </w:r>
          </w:p>
          <w:p w14:paraId="69585F4C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第二部分：投资者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提问交流</w:t>
            </w:r>
          </w:p>
          <w:p w14:paraId="7FA988B8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1、请介绍公司2026年上半年新签订单的结构及全年新签订单展望。</w:t>
            </w:r>
          </w:p>
          <w:p w14:paraId="3CCCB58A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答：受益于下游锂电市场扩产节奏加快，2026年上半年公司新签订单42亿元（含税），同比增长91%，新签订单中锂电（含动力和储能）占比超过80%。动力电池占比略高于储能，但储能电池增速明显更快。鉴于产能及交付能力考虑，公司更加聚焦头部客户和高质量订单，2026全年公司新签订单预计有望超过年初设定的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65亿的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目标。</w:t>
            </w:r>
          </w:p>
          <w:p w14:paraId="29E3B9FB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2、请介绍公司出海情况。</w:t>
            </w:r>
          </w:p>
          <w:p w14:paraId="2CF270A7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答：近年来，国内锂电头部客户积极布局海外市场，公司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海外业务主要是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跟随头部锂电企业出海，为其海外建厂提供设备支持，目前已设立了日本、德国、匈牙利等海外子公司，并筹办西班牙子公司，进一步提升公司在海外市场响应能力。</w:t>
            </w:r>
          </w:p>
          <w:p w14:paraId="11C594A6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3、请介绍公司3C电子等非锂电设备进展情况。</w:t>
            </w:r>
          </w:p>
          <w:p w14:paraId="63E45C80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答：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公司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非锂电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业务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中，3C电子占比最大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3C电子业务年初设定订单目标是10亿元，目前已有订单6亿元，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除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小钢壳电池设备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外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，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还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积极配合头部客户对新产品、新技术的研发，预计2027年3C电子会有增量设备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市场需求。光伏方面，公司已为头部客户提供钙钛矿小试线设备，正积极配合客户对新产品研发。</w:t>
            </w:r>
          </w:p>
          <w:p w14:paraId="30CC3545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4、请介绍固态电池目前业务情况及未来量产时点。</w:t>
            </w:r>
          </w:p>
          <w:p w14:paraId="373A2007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答：公司已为头部客户提供全固态电池装配线，正处于试产阶段。固态电池是未来发展趋势，除设备端外，固态电池是否量产还涉及工艺、材料等环节，具体量产节点主要由电池厂商决定，公司无法准确预测。</w:t>
            </w:r>
          </w:p>
          <w:p w14:paraId="4348E3C6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5、请介绍公司激光技术在AI、光模块等领域布局及应用。</w:t>
            </w:r>
          </w:p>
          <w:p w14:paraId="2E77F494">
            <w:pPr>
              <w:spacing w:line="360" w:lineRule="auto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答：公司布局光通信领域较早，拥有深厚的客户积累，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一直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为头部光模块企业供应激光器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等设备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，该部分收入会随着光模块公司产能扩张而增长。另外，公司玻璃激光加工设备已向客户提供样机进行技术验证，目前客户反馈较好，目前正在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进行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合格供应商认证，后续预计有订单落地。此外，公司积极布局AI液冷领域，主要涉及数据中心液冷散热管的焊接，与传统锡焊相比，激光焊接可以提升生产效率，同时减少焊材使用以降低生产成本。</w:t>
            </w:r>
          </w:p>
          <w:p w14:paraId="4BEB7526">
            <w:pPr>
              <w:spacing w:line="360" w:lineRule="auto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6、请介绍新签订单毛利率对报表利润影响及未来展望。</w:t>
            </w:r>
          </w:p>
          <w:p w14:paraId="51FE62CD">
            <w:pPr>
              <w:spacing w:line="360" w:lineRule="auto"/>
              <w:rPr>
                <w:rFonts w:ascii="Times New Roman" w:hAnsi="Times New Roman" w:eastAsia="宋体" w:cs="Times New Roman"/>
                <w:snapToGrid w:val="0"/>
                <w:color w:val="000000"/>
                <w:spacing w:val="-1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答：公司报表毛利率受占比较高的锂电业务板块影响较大，目前锂电业务新签订单毛利率较前两年低谷时有改善。展望2026年下半年及2027年，随着订单逐渐转化为报表层的收入，毛利率改善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叠加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规模效应导致期间费用率下降，公司整体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净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利润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率</w:t>
            </w:r>
            <w:bookmarkStart w:id="14" w:name="_GoBack"/>
            <w:bookmarkEnd w:id="14"/>
            <w:r>
              <w:rPr>
                <w:rFonts w:hint="eastAsia" w:ascii="Times New Roman" w:hAnsi="Times New Roman" w:eastAsia="宋体" w:cs="Times New Roman"/>
                <w:szCs w:val="24"/>
              </w:rPr>
              <w:t>有进一步提升空间。</w:t>
            </w:r>
          </w:p>
        </w:tc>
      </w:tr>
      <w:tr w14:paraId="3DA82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69" w:type="dxa"/>
            <w:vAlign w:val="center"/>
          </w:tcPr>
          <w:p w14:paraId="0C33BCB6"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备注</w:t>
            </w:r>
          </w:p>
        </w:tc>
        <w:tc>
          <w:tcPr>
            <w:tcW w:w="7357" w:type="dxa"/>
            <w:gridSpan w:val="2"/>
          </w:tcPr>
          <w:p w14:paraId="35B6B709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公司与投资者进行了充分的交流与沟通，并严格按照公司《信息披露事务管理制度》等规定，保证信息披露的真实、准确、完整。没有出现未公开重大信息泄露等情况。</w:t>
            </w:r>
          </w:p>
        </w:tc>
      </w:tr>
    </w:tbl>
    <w:p w14:paraId="04CDE828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6793428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ACE8D8C">
      <w:pPr>
        <w:widowControl/>
        <w:spacing w:line="360" w:lineRule="auto"/>
        <w:jc w:val="left"/>
        <w:rPr>
          <w:rFonts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附件</w:t>
      </w:r>
      <w:r>
        <w:rPr>
          <w:rFonts w:ascii="Times New Roman" w:hAnsi="Times New Roman" w:eastAsia="宋体"/>
          <w:b/>
          <w:sz w:val="24"/>
          <w:szCs w:val="24"/>
        </w:rPr>
        <w:t>1</w:t>
      </w:r>
      <w:r>
        <w:rPr>
          <w:rFonts w:ascii="宋体" w:hAnsi="宋体" w:eastAsia="宋体"/>
          <w:b/>
          <w:sz w:val="24"/>
          <w:szCs w:val="24"/>
        </w:rPr>
        <w:t>《与会机构清单》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138"/>
      </w:tblGrid>
      <w:tr w14:paraId="61B58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12" w:type="pct"/>
          </w:tcPr>
          <w:p w14:paraId="242D870E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bookmarkStart w:id="12" w:name="OLE_LINK4"/>
            <w:bookmarkStart w:id="13" w:name="OLE_LINK5"/>
            <w:r>
              <w:rPr>
                <w:rFonts w:hint="eastAsia" w:ascii="Times New Roman" w:hAnsi="Times New Roman" w:eastAsia="宋体"/>
                <w:b/>
                <w:szCs w:val="21"/>
              </w:rPr>
              <w:t>序号</w:t>
            </w:r>
          </w:p>
        </w:tc>
        <w:tc>
          <w:tcPr>
            <w:tcW w:w="4188" w:type="pct"/>
          </w:tcPr>
          <w:p w14:paraId="01A2E846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机构名称</w:t>
            </w:r>
          </w:p>
        </w:tc>
      </w:tr>
      <w:tr w14:paraId="7CD4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B9B5A8F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</w:t>
            </w:r>
          </w:p>
        </w:tc>
        <w:tc>
          <w:tcPr>
            <w:tcW w:w="4188" w:type="pct"/>
          </w:tcPr>
          <w:p w14:paraId="61EDDA1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中信证券股份有限公司</w:t>
            </w:r>
          </w:p>
        </w:tc>
      </w:tr>
      <w:tr w14:paraId="6D99A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474D6BB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</w:t>
            </w:r>
          </w:p>
        </w:tc>
        <w:tc>
          <w:tcPr>
            <w:tcW w:w="4188" w:type="pct"/>
          </w:tcPr>
          <w:p w14:paraId="115E66C7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上海泾溪投资管理合伙企业</w:t>
            </w:r>
          </w:p>
        </w:tc>
      </w:tr>
      <w:tr w14:paraId="0AA7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A6FFF97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</w:t>
            </w:r>
          </w:p>
        </w:tc>
        <w:tc>
          <w:tcPr>
            <w:tcW w:w="4188" w:type="pct"/>
          </w:tcPr>
          <w:p w14:paraId="75AD0BB5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深圳市前海汇信得基金管理有限公司</w:t>
            </w:r>
          </w:p>
        </w:tc>
      </w:tr>
      <w:tr w14:paraId="62124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497801DF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</w:t>
            </w:r>
          </w:p>
        </w:tc>
        <w:tc>
          <w:tcPr>
            <w:tcW w:w="4188" w:type="pct"/>
          </w:tcPr>
          <w:p w14:paraId="1BECAF6A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创泓投资</w:t>
            </w:r>
          </w:p>
        </w:tc>
      </w:tr>
      <w:tr w14:paraId="699B6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18C713F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</w:t>
            </w:r>
          </w:p>
        </w:tc>
        <w:tc>
          <w:tcPr>
            <w:tcW w:w="4188" w:type="pct"/>
          </w:tcPr>
          <w:p w14:paraId="33E1698F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汇华理财有限公司</w:t>
            </w:r>
          </w:p>
        </w:tc>
      </w:tr>
      <w:tr w14:paraId="16AD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AC611C4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6</w:t>
            </w:r>
          </w:p>
        </w:tc>
        <w:tc>
          <w:tcPr>
            <w:tcW w:w="4188" w:type="pct"/>
          </w:tcPr>
          <w:p w14:paraId="6BA43C61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珠海横琴粤信投资有限公司</w:t>
            </w:r>
          </w:p>
        </w:tc>
      </w:tr>
      <w:tr w14:paraId="1026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1185CF4E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7</w:t>
            </w:r>
          </w:p>
        </w:tc>
        <w:tc>
          <w:tcPr>
            <w:tcW w:w="4188" w:type="pct"/>
          </w:tcPr>
          <w:p w14:paraId="556EA113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中信投资</w:t>
            </w:r>
          </w:p>
        </w:tc>
      </w:tr>
      <w:tr w14:paraId="6CCB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1FCCC7C7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8</w:t>
            </w:r>
          </w:p>
        </w:tc>
        <w:tc>
          <w:tcPr>
            <w:tcW w:w="4188" w:type="pct"/>
          </w:tcPr>
          <w:p w14:paraId="0E18E9B9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东吴证券股份有限公司</w:t>
            </w:r>
          </w:p>
        </w:tc>
      </w:tr>
      <w:tr w14:paraId="4236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0EE2868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9</w:t>
            </w:r>
          </w:p>
        </w:tc>
        <w:tc>
          <w:tcPr>
            <w:tcW w:w="4188" w:type="pct"/>
          </w:tcPr>
          <w:p w14:paraId="3B90EF3B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申万宏源证券有限公司</w:t>
            </w:r>
          </w:p>
        </w:tc>
      </w:tr>
      <w:tr w14:paraId="63C9F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46B35579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10</w:t>
            </w:r>
          </w:p>
        </w:tc>
        <w:tc>
          <w:tcPr>
            <w:tcW w:w="4188" w:type="pct"/>
          </w:tcPr>
          <w:p w14:paraId="68E2E722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国投证券股份有限公司</w:t>
            </w:r>
          </w:p>
        </w:tc>
      </w:tr>
      <w:tr w14:paraId="5C8EC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A94BE2B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11</w:t>
            </w:r>
          </w:p>
        </w:tc>
        <w:tc>
          <w:tcPr>
            <w:tcW w:w="4188" w:type="pct"/>
          </w:tcPr>
          <w:p w14:paraId="77503F06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长江证券股份有限公司</w:t>
            </w:r>
          </w:p>
        </w:tc>
      </w:tr>
      <w:tr w14:paraId="293B1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4DE554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12</w:t>
            </w:r>
          </w:p>
        </w:tc>
        <w:tc>
          <w:tcPr>
            <w:tcW w:w="4188" w:type="pct"/>
          </w:tcPr>
          <w:p w14:paraId="1079BC57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中国国际金融股份有限公司</w:t>
            </w:r>
          </w:p>
        </w:tc>
      </w:tr>
      <w:tr w14:paraId="5DA85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13FCD5EB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13</w:t>
            </w:r>
          </w:p>
        </w:tc>
        <w:tc>
          <w:tcPr>
            <w:tcW w:w="4188" w:type="pct"/>
          </w:tcPr>
          <w:p w14:paraId="65A748FF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华夏未来资本管理有限公司</w:t>
            </w:r>
          </w:p>
        </w:tc>
      </w:tr>
      <w:tr w14:paraId="15723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12D91D6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14</w:t>
            </w:r>
          </w:p>
        </w:tc>
        <w:tc>
          <w:tcPr>
            <w:tcW w:w="4188" w:type="pct"/>
          </w:tcPr>
          <w:p w14:paraId="3C409A74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中泰证券股份有限公司</w:t>
            </w:r>
          </w:p>
        </w:tc>
      </w:tr>
      <w:tr w14:paraId="108AC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4949DB91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15</w:t>
            </w:r>
          </w:p>
        </w:tc>
        <w:tc>
          <w:tcPr>
            <w:tcW w:w="4188" w:type="pct"/>
          </w:tcPr>
          <w:p w14:paraId="31792B9C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中信证券资产管理有限公司</w:t>
            </w:r>
          </w:p>
        </w:tc>
      </w:tr>
      <w:tr w14:paraId="7DD7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1FDF4551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16</w:t>
            </w:r>
          </w:p>
        </w:tc>
        <w:tc>
          <w:tcPr>
            <w:tcW w:w="4188" w:type="pct"/>
          </w:tcPr>
          <w:p w14:paraId="5373001A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上海健顺投资管理公司</w:t>
            </w:r>
            <w:r>
              <w:rPr>
                <w:rFonts w:ascii="Times New Roman" w:hAnsi="Times New Roman" w:eastAsia="宋体"/>
                <w:szCs w:val="21"/>
              </w:rPr>
              <w:t xml:space="preserve"> </w:t>
            </w:r>
          </w:p>
        </w:tc>
      </w:tr>
      <w:tr w14:paraId="08A8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1C14F78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17</w:t>
            </w:r>
          </w:p>
        </w:tc>
        <w:tc>
          <w:tcPr>
            <w:tcW w:w="4188" w:type="pct"/>
          </w:tcPr>
          <w:p w14:paraId="2012B4A5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西部证券股份有限公司</w:t>
            </w:r>
          </w:p>
        </w:tc>
      </w:tr>
      <w:tr w14:paraId="2460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BB7063B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18</w:t>
            </w:r>
          </w:p>
        </w:tc>
        <w:tc>
          <w:tcPr>
            <w:tcW w:w="4188" w:type="pct"/>
          </w:tcPr>
          <w:p w14:paraId="7776D1EF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广东德汇投资管理有限公司</w:t>
            </w:r>
          </w:p>
        </w:tc>
      </w:tr>
      <w:tr w14:paraId="1EC81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C200129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19</w:t>
            </w:r>
          </w:p>
        </w:tc>
        <w:tc>
          <w:tcPr>
            <w:tcW w:w="4188" w:type="pct"/>
          </w:tcPr>
          <w:p w14:paraId="72D98B76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招商证券股份有限公司</w:t>
            </w:r>
          </w:p>
        </w:tc>
      </w:tr>
      <w:tr w14:paraId="3F84B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9AF2720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20</w:t>
            </w:r>
          </w:p>
        </w:tc>
        <w:tc>
          <w:tcPr>
            <w:tcW w:w="4188" w:type="pct"/>
          </w:tcPr>
          <w:p w14:paraId="0F7CBDA9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国投期货有限公司</w:t>
            </w:r>
          </w:p>
        </w:tc>
      </w:tr>
      <w:tr w14:paraId="0CDEA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FC7373B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21</w:t>
            </w:r>
          </w:p>
        </w:tc>
        <w:tc>
          <w:tcPr>
            <w:tcW w:w="4188" w:type="pct"/>
          </w:tcPr>
          <w:p w14:paraId="489EBDA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国信证券股份有限公司</w:t>
            </w:r>
          </w:p>
        </w:tc>
      </w:tr>
      <w:tr w14:paraId="4ADD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1FE9BA9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22</w:t>
            </w:r>
          </w:p>
        </w:tc>
        <w:tc>
          <w:tcPr>
            <w:tcW w:w="4188" w:type="pct"/>
          </w:tcPr>
          <w:p w14:paraId="1FA6537A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ascii="Times New Roman" w:hAnsi="Times New Roman" w:eastAsia="宋体"/>
                <w:szCs w:val="21"/>
              </w:rPr>
              <w:t>jefferies Financial Group</w:t>
            </w:r>
          </w:p>
        </w:tc>
      </w:tr>
      <w:tr w14:paraId="49FBD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1633361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23</w:t>
            </w:r>
          </w:p>
        </w:tc>
        <w:tc>
          <w:tcPr>
            <w:tcW w:w="4188" w:type="pct"/>
          </w:tcPr>
          <w:p w14:paraId="35B709B3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国联民生证券股份有限公司</w:t>
            </w:r>
          </w:p>
        </w:tc>
      </w:tr>
      <w:tr w14:paraId="7978E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C7A7ABE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24</w:t>
            </w:r>
          </w:p>
        </w:tc>
        <w:tc>
          <w:tcPr>
            <w:tcW w:w="4188" w:type="pct"/>
          </w:tcPr>
          <w:p w14:paraId="71C3A409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浙商证券股份有限公司</w:t>
            </w:r>
          </w:p>
        </w:tc>
      </w:tr>
      <w:tr w14:paraId="40BB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1FE2DAD4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25</w:t>
            </w:r>
          </w:p>
        </w:tc>
        <w:tc>
          <w:tcPr>
            <w:tcW w:w="4188" w:type="pct"/>
          </w:tcPr>
          <w:p w14:paraId="5CF1BBBA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高盛资产管理有限公司</w:t>
            </w:r>
          </w:p>
        </w:tc>
      </w:tr>
      <w:tr w14:paraId="6AF65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4FEDEC3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26</w:t>
            </w:r>
          </w:p>
        </w:tc>
        <w:tc>
          <w:tcPr>
            <w:tcW w:w="4188" w:type="pct"/>
          </w:tcPr>
          <w:p w14:paraId="40B49649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摩根士丹利</w:t>
            </w:r>
          </w:p>
        </w:tc>
      </w:tr>
      <w:tr w14:paraId="3FB7E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48AF063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27</w:t>
            </w:r>
          </w:p>
        </w:tc>
        <w:tc>
          <w:tcPr>
            <w:tcW w:w="4188" w:type="pct"/>
          </w:tcPr>
          <w:p w14:paraId="6134C00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方正证券股份有限公司</w:t>
            </w:r>
          </w:p>
        </w:tc>
      </w:tr>
      <w:tr w14:paraId="337C0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8E6336C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28</w:t>
            </w:r>
          </w:p>
        </w:tc>
        <w:tc>
          <w:tcPr>
            <w:tcW w:w="4188" w:type="pct"/>
          </w:tcPr>
          <w:p w14:paraId="324F9E63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圆信永丰基金管理有限公司</w:t>
            </w:r>
          </w:p>
        </w:tc>
      </w:tr>
      <w:tr w14:paraId="0D01E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C2142AF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29</w:t>
            </w:r>
          </w:p>
        </w:tc>
        <w:tc>
          <w:tcPr>
            <w:tcW w:w="4188" w:type="pct"/>
          </w:tcPr>
          <w:p w14:paraId="230835BA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天风证券股份有限公司</w:t>
            </w:r>
          </w:p>
        </w:tc>
      </w:tr>
      <w:tr w14:paraId="04968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ADDD4F6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30</w:t>
            </w:r>
          </w:p>
        </w:tc>
        <w:tc>
          <w:tcPr>
            <w:tcW w:w="4188" w:type="pct"/>
          </w:tcPr>
          <w:p w14:paraId="6B3FAB2B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ascii="Times New Roman" w:hAnsi="Times New Roman" w:eastAsia="宋体"/>
                <w:szCs w:val="21"/>
              </w:rPr>
              <w:t>UBS</w:t>
            </w:r>
          </w:p>
        </w:tc>
      </w:tr>
      <w:tr w14:paraId="0857B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425A6F01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31</w:t>
            </w:r>
          </w:p>
        </w:tc>
        <w:tc>
          <w:tcPr>
            <w:tcW w:w="4188" w:type="pct"/>
          </w:tcPr>
          <w:p w14:paraId="2261431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广东天创私募证券投资基金管理有限公司</w:t>
            </w:r>
          </w:p>
        </w:tc>
      </w:tr>
      <w:tr w14:paraId="6685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9AE47D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32</w:t>
            </w:r>
          </w:p>
        </w:tc>
        <w:tc>
          <w:tcPr>
            <w:tcW w:w="4188" w:type="pct"/>
          </w:tcPr>
          <w:p w14:paraId="1E05FB43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银河证券股份有限公司</w:t>
            </w:r>
          </w:p>
        </w:tc>
      </w:tr>
      <w:tr w14:paraId="2F9B4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1AE1ADB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33</w:t>
            </w:r>
          </w:p>
        </w:tc>
        <w:tc>
          <w:tcPr>
            <w:tcW w:w="4188" w:type="pct"/>
          </w:tcPr>
          <w:p w14:paraId="7F4906EA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信达证券股份有限公司</w:t>
            </w:r>
          </w:p>
        </w:tc>
      </w:tr>
      <w:tr w14:paraId="5386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11CF646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34</w:t>
            </w:r>
          </w:p>
        </w:tc>
        <w:tc>
          <w:tcPr>
            <w:tcW w:w="4188" w:type="pct"/>
          </w:tcPr>
          <w:p w14:paraId="6F20AC80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中信建投证券股份有限公司</w:t>
            </w:r>
          </w:p>
        </w:tc>
      </w:tr>
      <w:tr w14:paraId="084A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CDB0AC0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35</w:t>
            </w:r>
          </w:p>
        </w:tc>
        <w:tc>
          <w:tcPr>
            <w:tcW w:w="4188" w:type="pct"/>
          </w:tcPr>
          <w:p w14:paraId="6A382E0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财通证券股份有限公司</w:t>
            </w:r>
          </w:p>
        </w:tc>
      </w:tr>
      <w:tr w14:paraId="2BE73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5F0A08AA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36</w:t>
            </w:r>
          </w:p>
        </w:tc>
        <w:tc>
          <w:tcPr>
            <w:tcW w:w="4188" w:type="pct"/>
          </w:tcPr>
          <w:p w14:paraId="1EFB5B3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野村东方国际证券有限公司</w:t>
            </w:r>
          </w:p>
        </w:tc>
      </w:tr>
      <w:tr w14:paraId="197CC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52D8B54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37</w:t>
            </w:r>
          </w:p>
        </w:tc>
        <w:tc>
          <w:tcPr>
            <w:tcW w:w="4188" w:type="pct"/>
          </w:tcPr>
          <w:p w14:paraId="3F46C83E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美银证券</w:t>
            </w:r>
          </w:p>
        </w:tc>
      </w:tr>
      <w:tr w14:paraId="62318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0742E5F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38</w:t>
            </w:r>
          </w:p>
        </w:tc>
        <w:tc>
          <w:tcPr>
            <w:tcW w:w="4188" w:type="pct"/>
          </w:tcPr>
          <w:p w14:paraId="3423F317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上海磐厚投资管理有限公司</w:t>
            </w:r>
          </w:p>
        </w:tc>
      </w:tr>
      <w:tr w14:paraId="4D05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3D94BF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39</w:t>
            </w:r>
          </w:p>
        </w:tc>
        <w:tc>
          <w:tcPr>
            <w:tcW w:w="4188" w:type="pct"/>
          </w:tcPr>
          <w:p w14:paraId="62435AF4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华福证券股份有限公司</w:t>
            </w:r>
          </w:p>
        </w:tc>
      </w:tr>
      <w:tr w14:paraId="7216E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5307E68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40</w:t>
            </w:r>
          </w:p>
        </w:tc>
        <w:tc>
          <w:tcPr>
            <w:tcW w:w="4188" w:type="pct"/>
          </w:tcPr>
          <w:p w14:paraId="106E49EE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华泰证券股份有限公司</w:t>
            </w:r>
          </w:p>
        </w:tc>
      </w:tr>
      <w:tr w14:paraId="1B004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51850B94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41</w:t>
            </w:r>
          </w:p>
        </w:tc>
        <w:tc>
          <w:tcPr>
            <w:tcW w:w="4188" w:type="pct"/>
          </w:tcPr>
          <w:p w14:paraId="781A10B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广发证券股份有限公司</w:t>
            </w:r>
          </w:p>
        </w:tc>
      </w:tr>
      <w:tr w14:paraId="2A5B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08E244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42</w:t>
            </w:r>
          </w:p>
        </w:tc>
        <w:tc>
          <w:tcPr>
            <w:tcW w:w="4188" w:type="pct"/>
          </w:tcPr>
          <w:p w14:paraId="0811B50C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亿能投资</w:t>
            </w:r>
          </w:p>
        </w:tc>
      </w:tr>
      <w:tr w14:paraId="5E7F1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BA8A3A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43</w:t>
            </w:r>
          </w:p>
        </w:tc>
        <w:tc>
          <w:tcPr>
            <w:tcW w:w="4188" w:type="pct"/>
          </w:tcPr>
          <w:p w14:paraId="7F9A536B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理成资产管理有限公司</w:t>
            </w:r>
          </w:p>
        </w:tc>
      </w:tr>
      <w:tr w14:paraId="431C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41B4930F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44</w:t>
            </w:r>
          </w:p>
        </w:tc>
        <w:tc>
          <w:tcPr>
            <w:tcW w:w="4188" w:type="pct"/>
          </w:tcPr>
          <w:p w14:paraId="477A8A67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中意资产管理有限责任公司</w:t>
            </w:r>
          </w:p>
        </w:tc>
      </w:tr>
      <w:tr w14:paraId="35690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20663ED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45</w:t>
            </w:r>
          </w:p>
        </w:tc>
        <w:tc>
          <w:tcPr>
            <w:tcW w:w="4188" w:type="pct"/>
          </w:tcPr>
          <w:p w14:paraId="2A3459E2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华夏财富创新投资管理有限公司</w:t>
            </w:r>
          </w:p>
        </w:tc>
      </w:tr>
      <w:tr w14:paraId="6BFBD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EB1BCFD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46</w:t>
            </w:r>
          </w:p>
        </w:tc>
        <w:tc>
          <w:tcPr>
            <w:tcW w:w="4188" w:type="pct"/>
          </w:tcPr>
          <w:p w14:paraId="33AC1705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上海途灵资产管理有限公司</w:t>
            </w:r>
          </w:p>
        </w:tc>
      </w:tr>
      <w:tr w14:paraId="5609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515053D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47</w:t>
            </w:r>
          </w:p>
        </w:tc>
        <w:tc>
          <w:tcPr>
            <w:tcW w:w="4188" w:type="pct"/>
          </w:tcPr>
          <w:p w14:paraId="7276E3AE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唐臣投资有限公司</w:t>
            </w:r>
          </w:p>
        </w:tc>
      </w:tr>
      <w:tr w14:paraId="7783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670DEF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48</w:t>
            </w:r>
          </w:p>
        </w:tc>
        <w:tc>
          <w:tcPr>
            <w:tcW w:w="4188" w:type="pct"/>
          </w:tcPr>
          <w:p w14:paraId="2325ADA7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红筹投资有限公司</w:t>
            </w:r>
          </w:p>
        </w:tc>
      </w:tr>
      <w:tr w14:paraId="73EB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51339869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49</w:t>
            </w:r>
          </w:p>
        </w:tc>
        <w:tc>
          <w:tcPr>
            <w:tcW w:w="4188" w:type="pct"/>
          </w:tcPr>
          <w:p w14:paraId="436AD14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领骥资本管理有限公司</w:t>
            </w:r>
          </w:p>
        </w:tc>
      </w:tr>
      <w:tr w14:paraId="07673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248EC18A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50</w:t>
            </w:r>
          </w:p>
        </w:tc>
        <w:tc>
          <w:tcPr>
            <w:tcW w:w="4188" w:type="pct"/>
          </w:tcPr>
          <w:p w14:paraId="13A3A114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浙商银行股份有限公司</w:t>
            </w:r>
          </w:p>
        </w:tc>
      </w:tr>
      <w:tr w14:paraId="2DFE6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1B426DCC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51</w:t>
            </w:r>
          </w:p>
        </w:tc>
        <w:tc>
          <w:tcPr>
            <w:tcW w:w="4188" w:type="pct"/>
          </w:tcPr>
          <w:p w14:paraId="5E7AF463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泰牛私募基金管理有限公司</w:t>
            </w:r>
          </w:p>
        </w:tc>
      </w:tr>
      <w:tr w14:paraId="4F31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8C73189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52</w:t>
            </w:r>
          </w:p>
        </w:tc>
        <w:tc>
          <w:tcPr>
            <w:tcW w:w="4188" w:type="pct"/>
          </w:tcPr>
          <w:p w14:paraId="3CC43BA6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金鹰基金管理有限公司</w:t>
            </w:r>
          </w:p>
        </w:tc>
      </w:tr>
      <w:tr w14:paraId="30768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6FF3E0BE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53</w:t>
            </w:r>
          </w:p>
        </w:tc>
        <w:tc>
          <w:tcPr>
            <w:tcW w:w="4188" w:type="pct"/>
          </w:tcPr>
          <w:p w14:paraId="7A01C1D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中原证券股份有限公司</w:t>
            </w:r>
          </w:p>
        </w:tc>
      </w:tr>
      <w:tr w14:paraId="775F4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0C093C05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54</w:t>
            </w:r>
          </w:p>
        </w:tc>
        <w:tc>
          <w:tcPr>
            <w:tcW w:w="4188" w:type="pct"/>
          </w:tcPr>
          <w:p w14:paraId="59504476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摩根基金管理有限公司</w:t>
            </w:r>
          </w:p>
        </w:tc>
      </w:tr>
      <w:tr w14:paraId="6AA4F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4893464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55</w:t>
            </w:r>
          </w:p>
        </w:tc>
        <w:tc>
          <w:tcPr>
            <w:tcW w:w="4188" w:type="pct"/>
          </w:tcPr>
          <w:p w14:paraId="0EABA9FC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富荣基金管理有限公司</w:t>
            </w:r>
          </w:p>
        </w:tc>
      </w:tr>
      <w:tr w14:paraId="44B2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7D98E119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56</w:t>
            </w:r>
          </w:p>
        </w:tc>
        <w:tc>
          <w:tcPr>
            <w:tcW w:w="4188" w:type="pct"/>
          </w:tcPr>
          <w:p w14:paraId="6D006F18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易知投资有限责任公司</w:t>
            </w:r>
          </w:p>
        </w:tc>
      </w:tr>
      <w:tr w14:paraId="248A7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859CE7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57</w:t>
            </w:r>
          </w:p>
        </w:tc>
        <w:tc>
          <w:tcPr>
            <w:tcW w:w="4188" w:type="pct"/>
          </w:tcPr>
          <w:p w14:paraId="6851C89F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上海东恺投资管理有限公司</w:t>
            </w:r>
          </w:p>
        </w:tc>
      </w:tr>
      <w:tr w14:paraId="23C8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3C595B72">
            <w:pPr>
              <w:widowControl/>
              <w:jc w:val="center"/>
              <w:rPr>
                <w:rFonts w:ascii="Times New Roman" w:hAnsi="Times New Roman" w:eastAsia="宋体"/>
                <w:b/>
                <w:szCs w:val="21"/>
              </w:rPr>
            </w:pPr>
            <w:r>
              <w:rPr>
                <w:rFonts w:hint="eastAsia" w:ascii="Times New Roman" w:hAnsi="Times New Roman" w:eastAsia="宋体"/>
                <w:b/>
                <w:szCs w:val="21"/>
              </w:rPr>
              <w:t>58</w:t>
            </w:r>
          </w:p>
        </w:tc>
        <w:tc>
          <w:tcPr>
            <w:tcW w:w="4188" w:type="pct"/>
          </w:tcPr>
          <w:p w14:paraId="4B15F0EA">
            <w:pPr>
              <w:widowControl/>
              <w:jc w:val="center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/>
                <w:szCs w:val="21"/>
              </w:rPr>
              <w:t>诺安基金管理有限公司</w:t>
            </w:r>
          </w:p>
        </w:tc>
      </w:tr>
      <w:bookmarkEnd w:id="12"/>
      <w:bookmarkEnd w:id="13"/>
    </w:tbl>
    <w:p w14:paraId="52D2CBCE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YzU4MzBkMWExZWFmZDljOGNmZjQyZTFjYWU2YjIifQ=="/>
  </w:docVars>
  <w:rsids>
    <w:rsidRoot w:val="00915840"/>
    <w:rsid w:val="000010C5"/>
    <w:rsid w:val="00003534"/>
    <w:rsid w:val="0000539E"/>
    <w:rsid w:val="00006FF4"/>
    <w:rsid w:val="00007868"/>
    <w:rsid w:val="00011AC7"/>
    <w:rsid w:val="00016D17"/>
    <w:rsid w:val="00017345"/>
    <w:rsid w:val="00017F36"/>
    <w:rsid w:val="000237B0"/>
    <w:rsid w:val="00030B16"/>
    <w:rsid w:val="00035D93"/>
    <w:rsid w:val="00035F71"/>
    <w:rsid w:val="000372DF"/>
    <w:rsid w:val="000409BA"/>
    <w:rsid w:val="00050A8F"/>
    <w:rsid w:val="00054F33"/>
    <w:rsid w:val="00056D38"/>
    <w:rsid w:val="00057A48"/>
    <w:rsid w:val="000606BA"/>
    <w:rsid w:val="00063228"/>
    <w:rsid w:val="00071B55"/>
    <w:rsid w:val="0007575A"/>
    <w:rsid w:val="00076021"/>
    <w:rsid w:val="00076E99"/>
    <w:rsid w:val="000813AC"/>
    <w:rsid w:val="00084A54"/>
    <w:rsid w:val="00085371"/>
    <w:rsid w:val="0008628B"/>
    <w:rsid w:val="00091DFC"/>
    <w:rsid w:val="00094210"/>
    <w:rsid w:val="00096EFA"/>
    <w:rsid w:val="000A175C"/>
    <w:rsid w:val="000A3FDD"/>
    <w:rsid w:val="000A4AFA"/>
    <w:rsid w:val="000A4F9B"/>
    <w:rsid w:val="000A546D"/>
    <w:rsid w:val="000A74C3"/>
    <w:rsid w:val="000B6998"/>
    <w:rsid w:val="000B6E8D"/>
    <w:rsid w:val="000C654C"/>
    <w:rsid w:val="000E4635"/>
    <w:rsid w:val="00100287"/>
    <w:rsid w:val="00100983"/>
    <w:rsid w:val="00104920"/>
    <w:rsid w:val="0011067F"/>
    <w:rsid w:val="00111455"/>
    <w:rsid w:val="00115F09"/>
    <w:rsid w:val="0012082F"/>
    <w:rsid w:val="001223A2"/>
    <w:rsid w:val="0012710F"/>
    <w:rsid w:val="00130BB4"/>
    <w:rsid w:val="00136FE9"/>
    <w:rsid w:val="00144AF1"/>
    <w:rsid w:val="00146EA8"/>
    <w:rsid w:val="00150BC7"/>
    <w:rsid w:val="00155C52"/>
    <w:rsid w:val="00156773"/>
    <w:rsid w:val="00171309"/>
    <w:rsid w:val="001746A3"/>
    <w:rsid w:val="00174F51"/>
    <w:rsid w:val="00177E51"/>
    <w:rsid w:val="00190408"/>
    <w:rsid w:val="001B2FB6"/>
    <w:rsid w:val="001B3224"/>
    <w:rsid w:val="001B464D"/>
    <w:rsid w:val="001C0124"/>
    <w:rsid w:val="001C490B"/>
    <w:rsid w:val="001C66B4"/>
    <w:rsid w:val="001D4C7A"/>
    <w:rsid w:val="001D6D30"/>
    <w:rsid w:val="001E4C68"/>
    <w:rsid w:val="001E7C99"/>
    <w:rsid w:val="001F295C"/>
    <w:rsid w:val="001F4A4D"/>
    <w:rsid w:val="001F6979"/>
    <w:rsid w:val="00203869"/>
    <w:rsid w:val="00204AE1"/>
    <w:rsid w:val="00210F63"/>
    <w:rsid w:val="002111F7"/>
    <w:rsid w:val="00214215"/>
    <w:rsid w:val="002170AE"/>
    <w:rsid w:val="00222DC0"/>
    <w:rsid w:val="0023651A"/>
    <w:rsid w:val="00243493"/>
    <w:rsid w:val="002454D9"/>
    <w:rsid w:val="00256422"/>
    <w:rsid w:val="00257F58"/>
    <w:rsid w:val="00262452"/>
    <w:rsid w:val="00282E17"/>
    <w:rsid w:val="0028656A"/>
    <w:rsid w:val="00287206"/>
    <w:rsid w:val="0029208A"/>
    <w:rsid w:val="002A031E"/>
    <w:rsid w:val="002A0F83"/>
    <w:rsid w:val="002C2F43"/>
    <w:rsid w:val="002C4718"/>
    <w:rsid w:val="002C7A78"/>
    <w:rsid w:val="002D1104"/>
    <w:rsid w:val="002D4F2F"/>
    <w:rsid w:val="002D5BA5"/>
    <w:rsid w:val="002D685F"/>
    <w:rsid w:val="002D7753"/>
    <w:rsid w:val="002E03A4"/>
    <w:rsid w:val="002E25A3"/>
    <w:rsid w:val="002E5DF1"/>
    <w:rsid w:val="002F2796"/>
    <w:rsid w:val="002F31C0"/>
    <w:rsid w:val="003000CE"/>
    <w:rsid w:val="003113BA"/>
    <w:rsid w:val="003147C7"/>
    <w:rsid w:val="00316683"/>
    <w:rsid w:val="0032461C"/>
    <w:rsid w:val="00324818"/>
    <w:rsid w:val="0032607E"/>
    <w:rsid w:val="00326D94"/>
    <w:rsid w:val="00336C84"/>
    <w:rsid w:val="00341431"/>
    <w:rsid w:val="003424AF"/>
    <w:rsid w:val="00350612"/>
    <w:rsid w:val="00363F83"/>
    <w:rsid w:val="0037129E"/>
    <w:rsid w:val="00372684"/>
    <w:rsid w:val="00377906"/>
    <w:rsid w:val="00380529"/>
    <w:rsid w:val="0038080C"/>
    <w:rsid w:val="00381307"/>
    <w:rsid w:val="00384A67"/>
    <w:rsid w:val="003862F3"/>
    <w:rsid w:val="00391379"/>
    <w:rsid w:val="003918EF"/>
    <w:rsid w:val="00395A38"/>
    <w:rsid w:val="00395EFB"/>
    <w:rsid w:val="003A1EF9"/>
    <w:rsid w:val="003A3AF5"/>
    <w:rsid w:val="003A47A4"/>
    <w:rsid w:val="003A47F9"/>
    <w:rsid w:val="003A7241"/>
    <w:rsid w:val="003B220A"/>
    <w:rsid w:val="003C11E1"/>
    <w:rsid w:val="003C4AA8"/>
    <w:rsid w:val="003D0380"/>
    <w:rsid w:val="003D700F"/>
    <w:rsid w:val="003F3EDF"/>
    <w:rsid w:val="004023AD"/>
    <w:rsid w:val="004059F9"/>
    <w:rsid w:val="00406741"/>
    <w:rsid w:val="00411829"/>
    <w:rsid w:val="0042743E"/>
    <w:rsid w:val="00430661"/>
    <w:rsid w:val="00430AC5"/>
    <w:rsid w:val="0043605E"/>
    <w:rsid w:val="0043753C"/>
    <w:rsid w:val="00457880"/>
    <w:rsid w:val="00464734"/>
    <w:rsid w:val="00464DC4"/>
    <w:rsid w:val="00465893"/>
    <w:rsid w:val="004848C9"/>
    <w:rsid w:val="00487185"/>
    <w:rsid w:val="00492F7D"/>
    <w:rsid w:val="00493417"/>
    <w:rsid w:val="004A1577"/>
    <w:rsid w:val="004A3A26"/>
    <w:rsid w:val="004A7D10"/>
    <w:rsid w:val="004B77BA"/>
    <w:rsid w:val="004C016E"/>
    <w:rsid w:val="004C3808"/>
    <w:rsid w:val="004C770A"/>
    <w:rsid w:val="004D0E59"/>
    <w:rsid w:val="004D3313"/>
    <w:rsid w:val="004E6280"/>
    <w:rsid w:val="004E6AB8"/>
    <w:rsid w:val="004F0C6B"/>
    <w:rsid w:val="00500D81"/>
    <w:rsid w:val="00504F6E"/>
    <w:rsid w:val="00507006"/>
    <w:rsid w:val="00522BE6"/>
    <w:rsid w:val="005235B3"/>
    <w:rsid w:val="00524B86"/>
    <w:rsid w:val="005265EF"/>
    <w:rsid w:val="005365EA"/>
    <w:rsid w:val="00540E61"/>
    <w:rsid w:val="00543798"/>
    <w:rsid w:val="00546F10"/>
    <w:rsid w:val="005556AC"/>
    <w:rsid w:val="0055758E"/>
    <w:rsid w:val="0057140C"/>
    <w:rsid w:val="005750EE"/>
    <w:rsid w:val="00580B6A"/>
    <w:rsid w:val="0059514A"/>
    <w:rsid w:val="005B1CF1"/>
    <w:rsid w:val="005B5792"/>
    <w:rsid w:val="005B6279"/>
    <w:rsid w:val="005C0516"/>
    <w:rsid w:val="005C2447"/>
    <w:rsid w:val="005C5C93"/>
    <w:rsid w:val="005C6958"/>
    <w:rsid w:val="005C71E0"/>
    <w:rsid w:val="005D4345"/>
    <w:rsid w:val="005E0FF4"/>
    <w:rsid w:val="005E45CD"/>
    <w:rsid w:val="005E4945"/>
    <w:rsid w:val="005F4BEF"/>
    <w:rsid w:val="00601A07"/>
    <w:rsid w:val="00603BB2"/>
    <w:rsid w:val="006053E4"/>
    <w:rsid w:val="00614BD1"/>
    <w:rsid w:val="00620E43"/>
    <w:rsid w:val="006240F5"/>
    <w:rsid w:val="00635BCA"/>
    <w:rsid w:val="0063647F"/>
    <w:rsid w:val="006571E3"/>
    <w:rsid w:val="00662E84"/>
    <w:rsid w:val="00666603"/>
    <w:rsid w:val="00670383"/>
    <w:rsid w:val="006714A7"/>
    <w:rsid w:val="00672C3D"/>
    <w:rsid w:val="00674E63"/>
    <w:rsid w:val="006751F9"/>
    <w:rsid w:val="00680AA8"/>
    <w:rsid w:val="00684585"/>
    <w:rsid w:val="00686CCE"/>
    <w:rsid w:val="0069201E"/>
    <w:rsid w:val="006A5D2A"/>
    <w:rsid w:val="006A6E5B"/>
    <w:rsid w:val="006B4755"/>
    <w:rsid w:val="006C425F"/>
    <w:rsid w:val="006C6657"/>
    <w:rsid w:val="006C66F8"/>
    <w:rsid w:val="006D1319"/>
    <w:rsid w:val="006D4217"/>
    <w:rsid w:val="006D4C2D"/>
    <w:rsid w:val="006D6948"/>
    <w:rsid w:val="006D72DD"/>
    <w:rsid w:val="006E0DF7"/>
    <w:rsid w:val="006E57AD"/>
    <w:rsid w:val="006F286E"/>
    <w:rsid w:val="00714709"/>
    <w:rsid w:val="00716E0C"/>
    <w:rsid w:val="00721861"/>
    <w:rsid w:val="007219EF"/>
    <w:rsid w:val="00723697"/>
    <w:rsid w:val="00723D79"/>
    <w:rsid w:val="0072431F"/>
    <w:rsid w:val="007263BA"/>
    <w:rsid w:val="007269DC"/>
    <w:rsid w:val="00727BB1"/>
    <w:rsid w:val="00735DE9"/>
    <w:rsid w:val="00736856"/>
    <w:rsid w:val="0074072D"/>
    <w:rsid w:val="00740F26"/>
    <w:rsid w:val="007435E5"/>
    <w:rsid w:val="007504F6"/>
    <w:rsid w:val="00756FF4"/>
    <w:rsid w:val="00757414"/>
    <w:rsid w:val="007577E2"/>
    <w:rsid w:val="00757A5E"/>
    <w:rsid w:val="00761E3B"/>
    <w:rsid w:val="00766FD5"/>
    <w:rsid w:val="00774E34"/>
    <w:rsid w:val="00776904"/>
    <w:rsid w:val="00783632"/>
    <w:rsid w:val="007874C5"/>
    <w:rsid w:val="00796321"/>
    <w:rsid w:val="007A03D7"/>
    <w:rsid w:val="007A28DD"/>
    <w:rsid w:val="007A292D"/>
    <w:rsid w:val="007A36CF"/>
    <w:rsid w:val="007A6813"/>
    <w:rsid w:val="007B05EE"/>
    <w:rsid w:val="007B0DE3"/>
    <w:rsid w:val="007B4361"/>
    <w:rsid w:val="007B5683"/>
    <w:rsid w:val="007B5C1F"/>
    <w:rsid w:val="007B6D89"/>
    <w:rsid w:val="007B77B8"/>
    <w:rsid w:val="007C3D46"/>
    <w:rsid w:val="007C4A6A"/>
    <w:rsid w:val="007C6629"/>
    <w:rsid w:val="007D1A04"/>
    <w:rsid w:val="007D4C5F"/>
    <w:rsid w:val="007E16FD"/>
    <w:rsid w:val="007E226E"/>
    <w:rsid w:val="007E3BE0"/>
    <w:rsid w:val="007E6EB6"/>
    <w:rsid w:val="007F5638"/>
    <w:rsid w:val="007F786F"/>
    <w:rsid w:val="00803C63"/>
    <w:rsid w:val="0081131D"/>
    <w:rsid w:val="00812311"/>
    <w:rsid w:val="00816C5E"/>
    <w:rsid w:val="00817B9F"/>
    <w:rsid w:val="00824ADD"/>
    <w:rsid w:val="00827412"/>
    <w:rsid w:val="008275DA"/>
    <w:rsid w:val="00840C3F"/>
    <w:rsid w:val="00845ED4"/>
    <w:rsid w:val="00852AA0"/>
    <w:rsid w:val="00866D1B"/>
    <w:rsid w:val="00874223"/>
    <w:rsid w:val="00886760"/>
    <w:rsid w:val="00886766"/>
    <w:rsid w:val="008A7B7F"/>
    <w:rsid w:val="008B0941"/>
    <w:rsid w:val="008B13EE"/>
    <w:rsid w:val="008B1997"/>
    <w:rsid w:val="008C1876"/>
    <w:rsid w:val="008C1CFC"/>
    <w:rsid w:val="008C23FC"/>
    <w:rsid w:val="008C3A50"/>
    <w:rsid w:val="008D4B68"/>
    <w:rsid w:val="008D4D43"/>
    <w:rsid w:val="008D7192"/>
    <w:rsid w:val="008D7621"/>
    <w:rsid w:val="008E2FDD"/>
    <w:rsid w:val="008E3265"/>
    <w:rsid w:val="008E3734"/>
    <w:rsid w:val="008F4884"/>
    <w:rsid w:val="00900039"/>
    <w:rsid w:val="00905873"/>
    <w:rsid w:val="00915840"/>
    <w:rsid w:val="0092443E"/>
    <w:rsid w:val="00940AB9"/>
    <w:rsid w:val="00956B76"/>
    <w:rsid w:val="00963450"/>
    <w:rsid w:val="00965899"/>
    <w:rsid w:val="00975AF4"/>
    <w:rsid w:val="0098016E"/>
    <w:rsid w:val="00981AD1"/>
    <w:rsid w:val="0098416E"/>
    <w:rsid w:val="00991978"/>
    <w:rsid w:val="0099443F"/>
    <w:rsid w:val="009A78AE"/>
    <w:rsid w:val="009B2EFF"/>
    <w:rsid w:val="009C1B22"/>
    <w:rsid w:val="009C5FE6"/>
    <w:rsid w:val="009C6464"/>
    <w:rsid w:val="009D1A00"/>
    <w:rsid w:val="009E00A6"/>
    <w:rsid w:val="009E6B30"/>
    <w:rsid w:val="009F0EAC"/>
    <w:rsid w:val="009F51E3"/>
    <w:rsid w:val="009F6E18"/>
    <w:rsid w:val="00A071DA"/>
    <w:rsid w:val="00A1146B"/>
    <w:rsid w:val="00A11AAF"/>
    <w:rsid w:val="00A13B98"/>
    <w:rsid w:val="00A13CAD"/>
    <w:rsid w:val="00A14C71"/>
    <w:rsid w:val="00A23C07"/>
    <w:rsid w:val="00A24544"/>
    <w:rsid w:val="00A40412"/>
    <w:rsid w:val="00A54B2E"/>
    <w:rsid w:val="00A62397"/>
    <w:rsid w:val="00A625FB"/>
    <w:rsid w:val="00A66E85"/>
    <w:rsid w:val="00A71284"/>
    <w:rsid w:val="00A7498C"/>
    <w:rsid w:val="00A82C44"/>
    <w:rsid w:val="00A82DE5"/>
    <w:rsid w:val="00A84687"/>
    <w:rsid w:val="00A85101"/>
    <w:rsid w:val="00A87FDF"/>
    <w:rsid w:val="00A90704"/>
    <w:rsid w:val="00A926A6"/>
    <w:rsid w:val="00AA307E"/>
    <w:rsid w:val="00AA6CBF"/>
    <w:rsid w:val="00AB205B"/>
    <w:rsid w:val="00AB620E"/>
    <w:rsid w:val="00AE177F"/>
    <w:rsid w:val="00AE42C9"/>
    <w:rsid w:val="00AE4E74"/>
    <w:rsid w:val="00AE530E"/>
    <w:rsid w:val="00AF040C"/>
    <w:rsid w:val="00AF0478"/>
    <w:rsid w:val="00AF0B74"/>
    <w:rsid w:val="00AF3E45"/>
    <w:rsid w:val="00AF49BF"/>
    <w:rsid w:val="00AF4B9D"/>
    <w:rsid w:val="00B0399E"/>
    <w:rsid w:val="00B107A4"/>
    <w:rsid w:val="00B136BE"/>
    <w:rsid w:val="00B20112"/>
    <w:rsid w:val="00B201E3"/>
    <w:rsid w:val="00B203B4"/>
    <w:rsid w:val="00B2522A"/>
    <w:rsid w:val="00B25A31"/>
    <w:rsid w:val="00B43F22"/>
    <w:rsid w:val="00B54175"/>
    <w:rsid w:val="00B603FE"/>
    <w:rsid w:val="00B6083B"/>
    <w:rsid w:val="00B61901"/>
    <w:rsid w:val="00B6534C"/>
    <w:rsid w:val="00B67C73"/>
    <w:rsid w:val="00B74C8A"/>
    <w:rsid w:val="00B76FE0"/>
    <w:rsid w:val="00B83F70"/>
    <w:rsid w:val="00B84B37"/>
    <w:rsid w:val="00B85119"/>
    <w:rsid w:val="00B85A06"/>
    <w:rsid w:val="00B906EB"/>
    <w:rsid w:val="00BA3F5B"/>
    <w:rsid w:val="00BB11E1"/>
    <w:rsid w:val="00BB1A83"/>
    <w:rsid w:val="00BB4439"/>
    <w:rsid w:val="00BB5AE8"/>
    <w:rsid w:val="00BC1016"/>
    <w:rsid w:val="00BC3A35"/>
    <w:rsid w:val="00BC3D91"/>
    <w:rsid w:val="00BC40A9"/>
    <w:rsid w:val="00BC65C8"/>
    <w:rsid w:val="00BE0B9C"/>
    <w:rsid w:val="00BE278B"/>
    <w:rsid w:val="00BE7E6A"/>
    <w:rsid w:val="00BF2FCC"/>
    <w:rsid w:val="00BF3DE6"/>
    <w:rsid w:val="00BF4E55"/>
    <w:rsid w:val="00C004B6"/>
    <w:rsid w:val="00C05624"/>
    <w:rsid w:val="00C12A40"/>
    <w:rsid w:val="00C12D73"/>
    <w:rsid w:val="00C13E69"/>
    <w:rsid w:val="00C212F5"/>
    <w:rsid w:val="00C21D6C"/>
    <w:rsid w:val="00C33AE4"/>
    <w:rsid w:val="00C367D3"/>
    <w:rsid w:val="00C438EA"/>
    <w:rsid w:val="00C45BE1"/>
    <w:rsid w:val="00C5661C"/>
    <w:rsid w:val="00C63213"/>
    <w:rsid w:val="00C6377C"/>
    <w:rsid w:val="00C6548E"/>
    <w:rsid w:val="00C725AE"/>
    <w:rsid w:val="00C806D5"/>
    <w:rsid w:val="00C838AA"/>
    <w:rsid w:val="00C84043"/>
    <w:rsid w:val="00C841B1"/>
    <w:rsid w:val="00C86819"/>
    <w:rsid w:val="00C86E2B"/>
    <w:rsid w:val="00C87124"/>
    <w:rsid w:val="00C90B73"/>
    <w:rsid w:val="00CA0835"/>
    <w:rsid w:val="00CA3715"/>
    <w:rsid w:val="00CA5687"/>
    <w:rsid w:val="00CA5E3A"/>
    <w:rsid w:val="00CB0ED6"/>
    <w:rsid w:val="00CB68BF"/>
    <w:rsid w:val="00CC1B63"/>
    <w:rsid w:val="00CD2678"/>
    <w:rsid w:val="00CD2AA7"/>
    <w:rsid w:val="00CD74AB"/>
    <w:rsid w:val="00CE5497"/>
    <w:rsid w:val="00CF38C1"/>
    <w:rsid w:val="00CF74E1"/>
    <w:rsid w:val="00D016E0"/>
    <w:rsid w:val="00D02206"/>
    <w:rsid w:val="00D02D5B"/>
    <w:rsid w:val="00D0667E"/>
    <w:rsid w:val="00D0750E"/>
    <w:rsid w:val="00D12839"/>
    <w:rsid w:val="00D12CF8"/>
    <w:rsid w:val="00D15E01"/>
    <w:rsid w:val="00D24543"/>
    <w:rsid w:val="00D24EC9"/>
    <w:rsid w:val="00D27134"/>
    <w:rsid w:val="00D2757C"/>
    <w:rsid w:val="00D27972"/>
    <w:rsid w:val="00D30AC9"/>
    <w:rsid w:val="00D3574E"/>
    <w:rsid w:val="00D36B16"/>
    <w:rsid w:val="00D409E1"/>
    <w:rsid w:val="00D40A48"/>
    <w:rsid w:val="00D4421B"/>
    <w:rsid w:val="00D448A3"/>
    <w:rsid w:val="00D455D2"/>
    <w:rsid w:val="00D457A6"/>
    <w:rsid w:val="00D529B5"/>
    <w:rsid w:val="00D56E3D"/>
    <w:rsid w:val="00D66CD9"/>
    <w:rsid w:val="00D70157"/>
    <w:rsid w:val="00D76564"/>
    <w:rsid w:val="00D77963"/>
    <w:rsid w:val="00D80939"/>
    <w:rsid w:val="00D95D3F"/>
    <w:rsid w:val="00D960C2"/>
    <w:rsid w:val="00DA1D2D"/>
    <w:rsid w:val="00DA2B47"/>
    <w:rsid w:val="00DA4A52"/>
    <w:rsid w:val="00DA4B06"/>
    <w:rsid w:val="00DA56D7"/>
    <w:rsid w:val="00DB73D3"/>
    <w:rsid w:val="00DC04B9"/>
    <w:rsid w:val="00DC07B5"/>
    <w:rsid w:val="00DE08B6"/>
    <w:rsid w:val="00DF5E3D"/>
    <w:rsid w:val="00E05E79"/>
    <w:rsid w:val="00E1197F"/>
    <w:rsid w:val="00E1460A"/>
    <w:rsid w:val="00E15256"/>
    <w:rsid w:val="00E15668"/>
    <w:rsid w:val="00E1571E"/>
    <w:rsid w:val="00E211A2"/>
    <w:rsid w:val="00E25681"/>
    <w:rsid w:val="00E30181"/>
    <w:rsid w:val="00E33D7A"/>
    <w:rsid w:val="00E46163"/>
    <w:rsid w:val="00E560EF"/>
    <w:rsid w:val="00E57277"/>
    <w:rsid w:val="00E61A12"/>
    <w:rsid w:val="00E62A4A"/>
    <w:rsid w:val="00E6559F"/>
    <w:rsid w:val="00E661BF"/>
    <w:rsid w:val="00E71424"/>
    <w:rsid w:val="00E722B1"/>
    <w:rsid w:val="00E72E58"/>
    <w:rsid w:val="00E80193"/>
    <w:rsid w:val="00E81E24"/>
    <w:rsid w:val="00E943C9"/>
    <w:rsid w:val="00E96E5E"/>
    <w:rsid w:val="00E96F01"/>
    <w:rsid w:val="00EA0D17"/>
    <w:rsid w:val="00EA7D41"/>
    <w:rsid w:val="00EB5D2D"/>
    <w:rsid w:val="00EB6BE6"/>
    <w:rsid w:val="00EC4F71"/>
    <w:rsid w:val="00EC738C"/>
    <w:rsid w:val="00ED389E"/>
    <w:rsid w:val="00ED41BF"/>
    <w:rsid w:val="00ED494F"/>
    <w:rsid w:val="00ED69D8"/>
    <w:rsid w:val="00EE656E"/>
    <w:rsid w:val="00EE69C7"/>
    <w:rsid w:val="00EF00AA"/>
    <w:rsid w:val="00EF6E26"/>
    <w:rsid w:val="00EF7A66"/>
    <w:rsid w:val="00F03921"/>
    <w:rsid w:val="00F04281"/>
    <w:rsid w:val="00F05346"/>
    <w:rsid w:val="00F07454"/>
    <w:rsid w:val="00F24429"/>
    <w:rsid w:val="00F33C6F"/>
    <w:rsid w:val="00F34A50"/>
    <w:rsid w:val="00F36FD7"/>
    <w:rsid w:val="00F4047A"/>
    <w:rsid w:val="00F40FA4"/>
    <w:rsid w:val="00F42778"/>
    <w:rsid w:val="00F46DB7"/>
    <w:rsid w:val="00F564D6"/>
    <w:rsid w:val="00F568A6"/>
    <w:rsid w:val="00F57684"/>
    <w:rsid w:val="00F611BB"/>
    <w:rsid w:val="00F66AAD"/>
    <w:rsid w:val="00F81392"/>
    <w:rsid w:val="00F814D1"/>
    <w:rsid w:val="00F818AC"/>
    <w:rsid w:val="00F83991"/>
    <w:rsid w:val="00F94F61"/>
    <w:rsid w:val="00FA4A94"/>
    <w:rsid w:val="00FA6317"/>
    <w:rsid w:val="00FB33DD"/>
    <w:rsid w:val="00FB5F39"/>
    <w:rsid w:val="00FC00E0"/>
    <w:rsid w:val="00FC012E"/>
    <w:rsid w:val="00FC4099"/>
    <w:rsid w:val="00FC5648"/>
    <w:rsid w:val="00FC622F"/>
    <w:rsid w:val="00FC659D"/>
    <w:rsid w:val="00FC685A"/>
    <w:rsid w:val="00FD4124"/>
    <w:rsid w:val="00FE220A"/>
    <w:rsid w:val="00FE2531"/>
    <w:rsid w:val="00FE6705"/>
    <w:rsid w:val="00FF01D8"/>
    <w:rsid w:val="00FF1EC1"/>
    <w:rsid w:val="00FF4C28"/>
    <w:rsid w:val="02D73FE5"/>
    <w:rsid w:val="03724869"/>
    <w:rsid w:val="03FC6917"/>
    <w:rsid w:val="0E980DF0"/>
    <w:rsid w:val="0F25330D"/>
    <w:rsid w:val="0FE850A5"/>
    <w:rsid w:val="10790FE5"/>
    <w:rsid w:val="12634176"/>
    <w:rsid w:val="166167A3"/>
    <w:rsid w:val="19DE53BB"/>
    <w:rsid w:val="1C15537C"/>
    <w:rsid w:val="1E6C71A3"/>
    <w:rsid w:val="2318468D"/>
    <w:rsid w:val="23390004"/>
    <w:rsid w:val="253046F8"/>
    <w:rsid w:val="31E518FE"/>
    <w:rsid w:val="338F55A8"/>
    <w:rsid w:val="37052710"/>
    <w:rsid w:val="38C73A62"/>
    <w:rsid w:val="3AA07A16"/>
    <w:rsid w:val="3C834E15"/>
    <w:rsid w:val="3CAD753C"/>
    <w:rsid w:val="42BF18F3"/>
    <w:rsid w:val="444F0C91"/>
    <w:rsid w:val="448F0B09"/>
    <w:rsid w:val="4B766C25"/>
    <w:rsid w:val="4EB34849"/>
    <w:rsid w:val="4FA113E3"/>
    <w:rsid w:val="51740AA0"/>
    <w:rsid w:val="51AA3F45"/>
    <w:rsid w:val="53C67B24"/>
    <w:rsid w:val="56065FEE"/>
    <w:rsid w:val="57A62321"/>
    <w:rsid w:val="5A32124F"/>
    <w:rsid w:val="5B0D0192"/>
    <w:rsid w:val="5B111C92"/>
    <w:rsid w:val="5B445208"/>
    <w:rsid w:val="5B6B2194"/>
    <w:rsid w:val="5C93062A"/>
    <w:rsid w:val="5D292A17"/>
    <w:rsid w:val="5DE30E18"/>
    <w:rsid w:val="5E8425FB"/>
    <w:rsid w:val="611724E2"/>
    <w:rsid w:val="62B20439"/>
    <w:rsid w:val="636A2657"/>
    <w:rsid w:val="63926BBF"/>
    <w:rsid w:val="66E87218"/>
    <w:rsid w:val="675D5C43"/>
    <w:rsid w:val="67E90086"/>
    <w:rsid w:val="6AA933EA"/>
    <w:rsid w:val="6B102E01"/>
    <w:rsid w:val="6EC32CCC"/>
    <w:rsid w:val="6F15104E"/>
    <w:rsid w:val="7024623F"/>
    <w:rsid w:val="711D243B"/>
    <w:rsid w:val="716704ED"/>
    <w:rsid w:val="7361523B"/>
    <w:rsid w:val="76B353F2"/>
    <w:rsid w:val="79F3510B"/>
    <w:rsid w:val="7AF75765"/>
    <w:rsid w:val="7BA84D8C"/>
    <w:rsid w:val="7BBF0CBF"/>
    <w:rsid w:val="7CB7391D"/>
    <w:rsid w:val="7E1D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2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22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unhideWhenUsed/>
    <w:qFormat/>
    <w:uiPriority w:val="99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Emphasis"/>
    <w:basedOn w:val="11"/>
    <w:autoRedefine/>
    <w:qFormat/>
    <w:uiPriority w:val="20"/>
    <w:rPr>
      <w:i/>
      <w:iCs/>
    </w:rPr>
  </w:style>
  <w:style w:type="character" w:styleId="16">
    <w:name w:val="Hyperlink"/>
    <w:basedOn w:val="11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8">
    <w:name w:val="页眉 Char"/>
    <w:basedOn w:val="11"/>
    <w:link w:val="6"/>
    <w:autoRedefine/>
    <w:qFormat/>
    <w:uiPriority w:val="99"/>
    <w:rPr>
      <w:sz w:val="18"/>
      <w:szCs w:val="18"/>
    </w:rPr>
  </w:style>
  <w:style w:type="character" w:customStyle="1" w:styleId="19">
    <w:name w:val="页脚 Char"/>
    <w:basedOn w:val="11"/>
    <w:link w:val="5"/>
    <w:qFormat/>
    <w:uiPriority w:val="99"/>
    <w:rPr>
      <w:sz w:val="18"/>
      <w:szCs w:val="18"/>
    </w:rPr>
  </w:style>
  <w:style w:type="character" w:styleId="20">
    <w:name w:val="Placeholder Text"/>
    <w:basedOn w:val="11"/>
    <w:semiHidden/>
    <w:qFormat/>
    <w:uiPriority w:val="99"/>
    <w:rPr>
      <w:color w:val="808080"/>
    </w:rPr>
  </w:style>
  <w:style w:type="character" w:customStyle="1" w:styleId="21">
    <w:name w:val="批注文字 Char"/>
    <w:basedOn w:val="11"/>
    <w:link w:val="3"/>
    <w:autoRedefine/>
    <w:semiHidden/>
    <w:qFormat/>
    <w:uiPriority w:val="99"/>
  </w:style>
  <w:style w:type="character" w:customStyle="1" w:styleId="22">
    <w:name w:val="批注主题 Char"/>
    <w:basedOn w:val="21"/>
    <w:link w:val="8"/>
    <w:semiHidden/>
    <w:qFormat/>
    <w:uiPriority w:val="99"/>
    <w:rPr>
      <w:b/>
      <w:bCs/>
    </w:rPr>
  </w:style>
  <w:style w:type="character" w:customStyle="1" w:styleId="23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005正文 Char"/>
    <w:link w:val="26"/>
    <w:qFormat/>
    <w:locked/>
    <w:uiPriority w:val="0"/>
    <w:rPr>
      <w:rFonts w:ascii="Times New Roman" w:hAnsi="Times New Roman"/>
    </w:rPr>
  </w:style>
  <w:style w:type="paragraph" w:customStyle="1" w:styleId="26">
    <w:name w:val="005正文"/>
    <w:basedOn w:val="1"/>
    <w:link w:val="25"/>
    <w:autoRedefine/>
    <w:qFormat/>
    <w:uiPriority w:val="0"/>
    <w:pPr>
      <w:spacing w:beforeLines="50" w:line="360" w:lineRule="auto"/>
      <w:ind w:firstLine="200" w:firstLineChars="200"/>
    </w:pPr>
    <w:rPr>
      <w:rFonts w:ascii="Times New Roman" w:hAnsi="Times New Roman"/>
    </w:rPr>
  </w:style>
  <w:style w:type="character" w:customStyle="1" w:styleId="27">
    <w:name w:val="标题 3 Char"/>
    <w:basedOn w:val="11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8">
    <w:name w:val="未处理的提及1"/>
    <w:basedOn w:val="11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1">
    <w:name w:val="xl6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2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7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1">
    <w:name w:val="xl7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7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Table Text"/>
    <w:basedOn w:val="1"/>
    <w:semiHidden/>
    <w:qFormat/>
    <w:uiPriority w:val="0"/>
    <w:rPr>
      <w:rFonts w:ascii="宋体" w:hAnsi="宋体" w:eastAsia="宋体" w:cs="宋体"/>
      <w:szCs w:val="21"/>
      <w:lang w:eastAsia="en-US"/>
    </w:rPr>
  </w:style>
  <w:style w:type="table" w:customStyle="1" w:styleId="4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2DA0B-3A5E-470D-AC5D-132FFB01A3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1964</Words>
  <Characters>2153</Characters>
  <Lines>20</Lines>
  <Paragraphs>5</Paragraphs>
  <TotalTime>166</TotalTime>
  <ScaleCrop>false</ScaleCrop>
  <LinksUpToDate>false</LinksUpToDate>
  <CharactersWithSpaces>2159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2022-11-01T07:22:00Z</dcterms:created>
  <dc:creator>吴婷</dc:creator>
  <cp:lastModifiedBy>谢强</cp:lastModifiedBy>
  <cp:lastPrinted>2019-11-04T07:32:00Z</cp:lastPrinted>
  <dcterms:modified xsi:type="dcterms:W3CDTF">2026-08-27T07:13:06Z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58346E938CD3449CA74E34E38DE88A9E_13</vt:lpwstr>
  </property>
  <property fmtid="{D5CDD505-2E9C-101B-9397-08002B2CF9AE}" pid="4" name="KSOTemplateDocerSaveRecord">
    <vt:lpwstr>eyJoZGlkIjoiYzAzODAxMzg0OTI0MWEyOWMxM2I5ZTE5NDQ5MDEyN2YiLCJ1c2VySWQiOiI2NDA5MjkyMjYifQ==</vt:lpwstr>
  </property>
</Properties>
</file>