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AD85B9" w14:textId="77777777" w:rsidR="001A7500" w:rsidRDefault="00C95588">
      <w:pPr>
        <w:spacing w:beforeLines="50" w:before="156" w:afterLines="50" w:after="156" w:line="400" w:lineRule="exact"/>
        <w:ind w:firstLineChars="0" w:firstLine="0"/>
        <w:rPr>
          <w:rFonts w:ascii="宋体" w:hAnsi="宋体"/>
          <w:bCs/>
          <w:iCs/>
          <w:color w:val="000000"/>
          <w:szCs w:val="22"/>
        </w:rPr>
      </w:pPr>
      <w:r>
        <w:rPr>
          <w:rFonts w:ascii="宋体" w:hAnsi="宋体" w:hint="eastAsia"/>
          <w:bCs/>
          <w:iCs/>
          <w:color w:val="000000"/>
          <w:szCs w:val="22"/>
        </w:rPr>
        <w:t>证券代码：</w:t>
      </w:r>
      <w:r>
        <w:rPr>
          <w:bCs/>
          <w:iCs/>
          <w:color w:val="000000"/>
          <w:szCs w:val="22"/>
        </w:rPr>
        <w:t>688315</w:t>
      </w:r>
      <w:r>
        <w:rPr>
          <w:rFonts w:ascii="宋体" w:hAnsi="宋体" w:hint="eastAsia"/>
          <w:bCs/>
          <w:iCs/>
          <w:color w:val="000000"/>
          <w:szCs w:val="22"/>
        </w:rPr>
        <w:t xml:space="preserve">                           </w:t>
      </w:r>
      <w:r>
        <w:rPr>
          <w:rFonts w:ascii="宋体" w:hAnsi="宋体"/>
          <w:bCs/>
          <w:iCs/>
          <w:color w:val="000000"/>
          <w:szCs w:val="22"/>
        </w:rPr>
        <w:t xml:space="preserve">      </w:t>
      </w:r>
      <w:r>
        <w:rPr>
          <w:rFonts w:ascii="宋体" w:hAnsi="宋体" w:hint="eastAsia"/>
          <w:bCs/>
          <w:iCs/>
          <w:color w:val="000000"/>
          <w:szCs w:val="22"/>
        </w:rPr>
        <w:t>证券简称：</w:t>
      </w:r>
      <w:proofErr w:type="gramStart"/>
      <w:r>
        <w:rPr>
          <w:rFonts w:ascii="宋体" w:hAnsi="宋体" w:hint="eastAsia"/>
          <w:bCs/>
          <w:iCs/>
          <w:color w:val="000000"/>
          <w:szCs w:val="22"/>
        </w:rPr>
        <w:t>诺禾致源</w:t>
      </w:r>
      <w:proofErr w:type="gramEnd"/>
      <w:r>
        <w:rPr>
          <w:rFonts w:ascii="宋体" w:hAnsi="宋体"/>
          <w:bCs/>
          <w:iCs/>
          <w:color w:val="000000"/>
          <w:szCs w:val="22"/>
        </w:rPr>
        <w:t xml:space="preserve"> </w:t>
      </w:r>
    </w:p>
    <w:p w14:paraId="6AEFC7CC" w14:textId="77777777" w:rsidR="001A7500" w:rsidRDefault="00C95588">
      <w:pPr>
        <w:ind w:firstLine="482"/>
        <w:jc w:val="center"/>
        <w:rPr>
          <w:rFonts w:ascii="宋体" w:hAnsi="宋体"/>
          <w:b/>
          <w:bCs/>
          <w:iCs/>
          <w:color w:val="000000"/>
        </w:rPr>
      </w:pPr>
      <w:r>
        <w:rPr>
          <w:rFonts w:ascii="宋体" w:hAnsi="宋体" w:hint="eastAsia"/>
          <w:b/>
          <w:bCs/>
          <w:iCs/>
          <w:color w:val="000000"/>
        </w:rPr>
        <w:t>北京诺禾致源科技股份有限公司投资者关系活动记录表</w:t>
      </w:r>
    </w:p>
    <w:p w14:paraId="0BD0C2CA" w14:textId="77777777" w:rsidR="001A7500" w:rsidRDefault="00C95588">
      <w:pPr>
        <w:spacing w:line="400" w:lineRule="exact"/>
        <w:ind w:firstLine="480"/>
        <w:rPr>
          <w:rFonts w:ascii="宋体" w:hAnsi="宋体"/>
          <w:bCs/>
          <w:iCs/>
          <w:color w:val="000000"/>
        </w:rPr>
      </w:pPr>
      <w:r>
        <w:rPr>
          <w:rFonts w:ascii="宋体" w:hAnsi="宋体" w:hint="eastAsia"/>
          <w:bCs/>
          <w:iCs/>
          <w:color w:val="000000"/>
        </w:rPr>
        <w:t xml:space="preserve">                                                         编号：</w:t>
      </w:r>
      <w:r>
        <w:rPr>
          <w:bCs/>
          <w:iCs/>
          <w:color w:val="000000"/>
        </w:rPr>
        <w:t>019</w:t>
      </w:r>
    </w:p>
    <w:tbl>
      <w:tblPr>
        <w:tblW w:w="8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6324"/>
      </w:tblGrid>
      <w:tr w:rsidR="001A7500" w14:paraId="27B41F09" w14:textId="77777777">
        <w:trPr>
          <w:trHeight w:val="2520"/>
          <w:jc w:val="center"/>
        </w:trPr>
        <w:tc>
          <w:tcPr>
            <w:tcW w:w="1823" w:type="dxa"/>
            <w:tcBorders>
              <w:top w:val="single" w:sz="4" w:space="0" w:color="auto"/>
              <w:left w:val="single" w:sz="4" w:space="0" w:color="auto"/>
              <w:bottom w:val="single" w:sz="4" w:space="0" w:color="auto"/>
              <w:right w:val="single" w:sz="4" w:space="0" w:color="auto"/>
            </w:tcBorders>
            <w:vAlign w:val="center"/>
          </w:tcPr>
          <w:p w14:paraId="62CD8597" w14:textId="77777777" w:rsidR="001A7500" w:rsidRDefault="00C95588">
            <w:pPr>
              <w:ind w:firstLineChars="0" w:firstLine="0"/>
              <w:rPr>
                <w:rFonts w:ascii="宋体" w:hAnsi="宋体" w:cs="宋体"/>
                <w:bCs/>
                <w:iCs/>
                <w:color w:val="000000"/>
              </w:rPr>
            </w:pPr>
            <w:r>
              <w:rPr>
                <w:rFonts w:ascii="宋体" w:hAnsi="宋体" w:cs="宋体" w:hint="eastAsia"/>
                <w:bCs/>
                <w:iCs/>
                <w:color w:val="000000"/>
              </w:rPr>
              <w:t>投资者关系活动类别</w:t>
            </w:r>
          </w:p>
          <w:p w14:paraId="018AD344" w14:textId="77777777" w:rsidR="001A7500" w:rsidRDefault="001A7500">
            <w:pPr>
              <w:ind w:firstLineChars="0" w:firstLine="0"/>
              <w:rPr>
                <w:rFonts w:ascii="宋体" w:hAnsi="宋体" w:cs="宋体"/>
                <w:bCs/>
                <w:iCs/>
                <w:color w:val="000000"/>
              </w:rPr>
            </w:pPr>
          </w:p>
        </w:tc>
        <w:tc>
          <w:tcPr>
            <w:tcW w:w="6324" w:type="dxa"/>
            <w:tcBorders>
              <w:top w:val="single" w:sz="4" w:space="0" w:color="auto"/>
              <w:left w:val="single" w:sz="4" w:space="0" w:color="auto"/>
              <w:bottom w:val="single" w:sz="4" w:space="0" w:color="auto"/>
              <w:right w:val="single" w:sz="4" w:space="0" w:color="auto"/>
            </w:tcBorders>
          </w:tcPr>
          <w:p w14:paraId="45D79046" w14:textId="77777777" w:rsidR="001A7500" w:rsidRDefault="00C95588">
            <w:pPr>
              <w:spacing w:line="480" w:lineRule="atLeast"/>
              <w:ind w:firstLineChars="0" w:firstLine="0"/>
              <w:rPr>
                <w:rFonts w:ascii="宋体" w:hAnsi="宋体" w:cs="宋体"/>
                <w:bCs/>
                <w:iCs/>
                <w:color w:val="000000"/>
              </w:rPr>
            </w:pPr>
            <w:r>
              <w:rPr>
                <w:rFonts w:ascii="宋体" w:hAnsi="宋体" w:cs="宋体" w:hint="eastAsia"/>
                <w:bCs/>
                <w:iCs/>
                <w:color w:val="000000"/>
              </w:rPr>
              <w:sym w:font="Wingdings 2" w:char="00A3"/>
            </w:r>
            <w:r>
              <w:rPr>
                <w:rFonts w:ascii="宋体" w:hAnsi="宋体" w:cs="宋体" w:hint="eastAsia"/>
              </w:rPr>
              <w:t xml:space="preserve">特定对象调研        </w:t>
            </w:r>
            <w:r>
              <w:rPr>
                <w:rFonts w:ascii="宋体" w:hAnsi="宋体" w:cs="宋体" w:hint="eastAsia"/>
                <w:bCs/>
                <w:iCs/>
                <w:color w:val="000000"/>
              </w:rPr>
              <w:t>□</w:t>
            </w:r>
            <w:r>
              <w:rPr>
                <w:rFonts w:ascii="宋体" w:hAnsi="宋体" w:cs="宋体" w:hint="eastAsia"/>
              </w:rPr>
              <w:t>分析师会议</w:t>
            </w:r>
          </w:p>
          <w:p w14:paraId="79C6AC96" w14:textId="77777777" w:rsidR="001A7500" w:rsidRDefault="00C95588">
            <w:pPr>
              <w:spacing w:line="480" w:lineRule="atLeast"/>
              <w:ind w:firstLineChars="0" w:firstLine="0"/>
              <w:rPr>
                <w:rFonts w:ascii="宋体" w:hAnsi="宋体" w:cs="宋体"/>
                <w:bCs/>
                <w:iCs/>
                <w:color w:val="000000"/>
              </w:rPr>
            </w:pPr>
            <w:r>
              <w:rPr>
                <w:rFonts w:ascii="宋体" w:hAnsi="宋体" w:cs="宋体" w:hint="eastAsia"/>
                <w:bCs/>
                <w:iCs/>
                <w:color w:val="000000"/>
              </w:rPr>
              <w:t>□</w:t>
            </w:r>
            <w:r>
              <w:rPr>
                <w:rFonts w:ascii="宋体" w:hAnsi="宋体" w:cs="宋体" w:hint="eastAsia"/>
              </w:rPr>
              <w:t xml:space="preserve">媒体采访            </w:t>
            </w:r>
            <w:r>
              <w:rPr>
                <w:rFonts w:ascii="宋体" w:hAnsi="宋体" w:cs="宋体" w:hint="eastAsia"/>
                <w:bCs/>
                <w:iCs/>
                <w:color w:val="000000"/>
              </w:rPr>
              <w:sym w:font="Wingdings 2" w:char="0052"/>
            </w:r>
            <w:r>
              <w:rPr>
                <w:rFonts w:ascii="宋体" w:hAnsi="宋体" w:cs="宋体" w:hint="eastAsia"/>
              </w:rPr>
              <w:t>业绩说明会</w:t>
            </w:r>
          </w:p>
          <w:p w14:paraId="55D7F605" w14:textId="77777777" w:rsidR="001A7500" w:rsidRDefault="00C95588">
            <w:pPr>
              <w:spacing w:line="480" w:lineRule="atLeast"/>
              <w:ind w:firstLineChars="0" w:firstLine="0"/>
              <w:rPr>
                <w:rFonts w:ascii="宋体" w:hAnsi="宋体" w:cs="宋体"/>
                <w:bCs/>
                <w:iCs/>
                <w:color w:val="000000"/>
              </w:rPr>
            </w:pPr>
            <w:r>
              <w:rPr>
                <w:rFonts w:ascii="宋体" w:hAnsi="宋体" w:cs="宋体" w:hint="eastAsia"/>
                <w:bCs/>
                <w:iCs/>
                <w:color w:val="000000"/>
              </w:rPr>
              <w:t>□</w:t>
            </w:r>
            <w:r>
              <w:rPr>
                <w:rFonts w:ascii="宋体" w:hAnsi="宋体" w:cs="宋体" w:hint="eastAsia"/>
              </w:rPr>
              <w:t xml:space="preserve">新闻发布会          </w:t>
            </w:r>
            <w:r>
              <w:rPr>
                <w:rFonts w:ascii="宋体" w:hAnsi="宋体" w:cs="宋体" w:hint="eastAsia"/>
                <w:bCs/>
                <w:iCs/>
                <w:color w:val="000000"/>
              </w:rPr>
              <w:t>□</w:t>
            </w:r>
            <w:r>
              <w:rPr>
                <w:rFonts w:ascii="宋体" w:hAnsi="宋体" w:cs="宋体" w:hint="eastAsia"/>
              </w:rPr>
              <w:t>路演活动</w:t>
            </w:r>
          </w:p>
          <w:p w14:paraId="5905FDA6" w14:textId="77777777" w:rsidR="001A7500" w:rsidRDefault="00C95588">
            <w:pPr>
              <w:tabs>
                <w:tab w:val="left" w:pos="3045"/>
                <w:tab w:val="center" w:pos="3199"/>
              </w:tabs>
              <w:spacing w:line="480" w:lineRule="atLeast"/>
              <w:ind w:firstLineChars="0" w:firstLine="0"/>
              <w:rPr>
                <w:rFonts w:ascii="宋体" w:hAnsi="宋体" w:cs="宋体"/>
                <w:bCs/>
                <w:iCs/>
                <w:color w:val="000000"/>
              </w:rPr>
            </w:pPr>
            <w:r>
              <w:rPr>
                <w:rFonts w:ascii="宋体" w:hAnsi="宋体" w:cs="宋体" w:hint="eastAsia"/>
                <w:bCs/>
                <w:iCs/>
                <w:color w:val="000000"/>
              </w:rPr>
              <w:sym w:font="Wingdings 2" w:char="00A3"/>
            </w:r>
            <w:r>
              <w:rPr>
                <w:rFonts w:ascii="宋体" w:hAnsi="宋体" w:cs="宋体" w:hint="eastAsia"/>
              </w:rPr>
              <w:t>现场参观</w:t>
            </w:r>
            <w:r>
              <w:rPr>
                <w:rFonts w:ascii="宋体" w:hAnsi="宋体" w:cs="宋体" w:hint="eastAsia"/>
                <w:bCs/>
                <w:iCs/>
                <w:color w:val="000000"/>
              </w:rPr>
              <w:tab/>
            </w:r>
          </w:p>
          <w:p w14:paraId="55E0AF5B" w14:textId="77777777" w:rsidR="001A7500" w:rsidRDefault="00C95588">
            <w:pPr>
              <w:tabs>
                <w:tab w:val="center" w:pos="3199"/>
              </w:tabs>
              <w:spacing w:line="480" w:lineRule="atLeast"/>
              <w:ind w:firstLineChars="0" w:firstLine="0"/>
              <w:rPr>
                <w:rFonts w:ascii="宋体" w:hAnsi="宋体" w:cs="宋体"/>
                <w:bCs/>
                <w:iCs/>
                <w:color w:val="000000"/>
              </w:rPr>
            </w:pPr>
            <w:r>
              <w:rPr>
                <w:rFonts w:ascii="宋体" w:hAnsi="宋体" w:cs="宋体" w:hint="eastAsia"/>
                <w:bCs/>
                <w:iCs/>
                <w:color w:val="000000"/>
              </w:rPr>
              <w:t>□</w:t>
            </w:r>
            <w:r>
              <w:rPr>
                <w:rFonts w:ascii="宋体" w:hAnsi="宋体" w:cs="宋体" w:hint="eastAsia"/>
              </w:rPr>
              <w:t>其他 （</w:t>
            </w:r>
            <w:proofErr w:type="gramStart"/>
            <w:r>
              <w:rPr>
                <w:rFonts w:ascii="宋体" w:hAnsi="宋体" w:cs="宋体" w:hint="eastAsia"/>
                <w:u w:val="single"/>
              </w:rPr>
              <w:t>请文字</w:t>
            </w:r>
            <w:proofErr w:type="gramEnd"/>
            <w:r>
              <w:rPr>
                <w:rFonts w:ascii="宋体" w:hAnsi="宋体" w:cs="宋体" w:hint="eastAsia"/>
                <w:u w:val="single"/>
              </w:rPr>
              <w:t>说明其他活动内容）</w:t>
            </w:r>
          </w:p>
        </w:tc>
      </w:tr>
      <w:tr w:rsidR="001A7500" w14:paraId="45E6840D" w14:textId="77777777">
        <w:trPr>
          <w:trHeight w:val="1692"/>
          <w:jc w:val="center"/>
        </w:trPr>
        <w:tc>
          <w:tcPr>
            <w:tcW w:w="1823" w:type="dxa"/>
            <w:tcBorders>
              <w:top w:val="single" w:sz="4" w:space="0" w:color="auto"/>
              <w:left w:val="single" w:sz="4" w:space="0" w:color="auto"/>
              <w:bottom w:val="single" w:sz="4" w:space="0" w:color="auto"/>
              <w:right w:val="single" w:sz="4" w:space="0" w:color="auto"/>
            </w:tcBorders>
            <w:vAlign w:val="center"/>
          </w:tcPr>
          <w:p w14:paraId="4417621A" w14:textId="77777777" w:rsidR="001A7500" w:rsidRDefault="00C95588">
            <w:pPr>
              <w:ind w:firstLineChars="0" w:firstLine="0"/>
              <w:rPr>
                <w:rFonts w:ascii="宋体" w:hAnsi="宋体" w:cs="宋体"/>
                <w:bCs/>
                <w:iCs/>
                <w:color w:val="000000"/>
              </w:rPr>
            </w:pPr>
            <w:r>
              <w:rPr>
                <w:rFonts w:ascii="宋体" w:hAnsi="宋体" w:cs="宋体" w:hint="eastAsia"/>
                <w:bCs/>
                <w:iCs/>
                <w:color w:val="000000"/>
              </w:rPr>
              <w:t>参与单位名称及人员姓名</w:t>
            </w:r>
          </w:p>
        </w:tc>
        <w:tc>
          <w:tcPr>
            <w:tcW w:w="6324" w:type="dxa"/>
            <w:tcBorders>
              <w:top w:val="single" w:sz="4" w:space="0" w:color="auto"/>
              <w:left w:val="single" w:sz="4" w:space="0" w:color="auto"/>
              <w:bottom w:val="single" w:sz="4" w:space="0" w:color="auto"/>
              <w:right w:val="single" w:sz="4" w:space="0" w:color="auto"/>
            </w:tcBorders>
            <w:vAlign w:val="center"/>
          </w:tcPr>
          <w:p w14:paraId="501B6460" w14:textId="77777777" w:rsidR="001A7500" w:rsidRDefault="00C95588">
            <w:pPr>
              <w:spacing w:line="480" w:lineRule="atLeast"/>
              <w:ind w:firstLineChars="0" w:firstLine="0"/>
              <w:rPr>
                <w:color w:val="000000"/>
                <w:kern w:val="0"/>
                <w:lang w:bidi="ar"/>
              </w:rPr>
            </w:pPr>
            <w:r>
              <w:rPr>
                <w:color w:val="000000"/>
                <w:kern w:val="0"/>
                <w:lang w:bidi="ar"/>
              </w:rPr>
              <w:t>国联民生医药：杨芳；</w:t>
            </w:r>
            <w:r>
              <w:rPr>
                <w:rFonts w:hint="eastAsia"/>
                <w:color w:val="000000"/>
                <w:kern w:val="0"/>
                <w:lang w:bidi="ar"/>
              </w:rPr>
              <w:t>东吴证券</w:t>
            </w:r>
            <w:r>
              <w:rPr>
                <w:color w:val="000000"/>
                <w:kern w:val="0"/>
                <w:lang w:bidi="ar"/>
              </w:rPr>
              <w:t>：</w:t>
            </w:r>
            <w:r>
              <w:rPr>
                <w:rFonts w:hint="eastAsia"/>
                <w:color w:val="000000"/>
                <w:kern w:val="0"/>
                <w:lang w:bidi="ar"/>
              </w:rPr>
              <w:t>刘若彤</w:t>
            </w:r>
            <w:r>
              <w:rPr>
                <w:color w:val="000000"/>
                <w:kern w:val="0"/>
                <w:lang w:bidi="ar"/>
              </w:rPr>
              <w:t>等</w:t>
            </w:r>
            <w:r>
              <w:rPr>
                <w:color w:val="000000"/>
                <w:kern w:val="0"/>
                <w:lang w:bidi="ar"/>
              </w:rPr>
              <w:t>56</w:t>
            </w:r>
            <w:r>
              <w:rPr>
                <w:color w:val="000000"/>
                <w:kern w:val="0"/>
                <w:lang w:bidi="ar"/>
              </w:rPr>
              <w:t>人。</w:t>
            </w:r>
          </w:p>
        </w:tc>
      </w:tr>
      <w:tr w:rsidR="001A7500" w14:paraId="023114E9" w14:textId="77777777">
        <w:trPr>
          <w:trHeight w:val="411"/>
          <w:jc w:val="center"/>
        </w:trPr>
        <w:tc>
          <w:tcPr>
            <w:tcW w:w="1823" w:type="dxa"/>
            <w:tcBorders>
              <w:top w:val="single" w:sz="4" w:space="0" w:color="auto"/>
              <w:left w:val="single" w:sz="4" w:space="0" w:color="auto"/>
              <w:bottom w:val="single" w:sz="4" w:space="0" w:color="auto"/>
              <w:right w:val="single" w:sz="4" w:space="0" w:color="auto"/>
            </w:tcBorders>
            <w:vAlign w:val="center"/>
          </w:tcPr>
          <w:p w14:paraId="3764C402" w14:textId="77777777" w:rsidR="001A7500" w:rsidRDefault="00C95588">
            <w:pPr>
              <w:ind w:firstLineChars="0" w:firstLine="0"/>
              <w:rPr>
                <w:rFonts w:ascii="宋体" w:hAnsi="宋体" w:cs="宋体"/>
                <w:bCs/>
                <w:iCs/>
                <w:color w:val="000000"/>
              </w:rPr>
            </w:pPr>
            <w:r>
              <w:rPr>
                <w:rFonts w:ascii="宋体" w:hAnsi="宋体" w:cs="宋体" w:hint="eastAsia"/>
                <w:bCs/>
                <w:iCs/>
                <w:color w:val="000000"/>
              </w:rPr>
              <w:t>时间</w:t>
            </w:r>
          </w:p>
        </w:tc>
        <w:tc>
          <w:tcPr>
            <w:tcW w:w="6324" w:type="dxa"/>
            <w:tcBorders>
              <w:top w:val="single" w:sz="4" w:space="0" w:color="auto"/>
              <w:left w:val="single" w:sz="4" w:space="0" w:color="auto"/>
              <w:bottom w:val="single" w:sz="4" w:space="0" w:color="auto"/>
              <w:right w:val="single" w:sz="4" w:space="0" w:color="auto"/>
            </w:tcBorders>
          </w:tcPr>
          <w:p w14:paraId="2FC06009" w14:textId="77777777" w:rsidR="001A7500" w:rsidRDefault="00C95588">
            <w:pPr>
              <w:spacing w:line="480" w:lineRule="atLeast"/>
              <w:ind w:firstLineChars="0" w:firstLine="0"/>
            </w:pPr>
            <w:r>
              <w:rPr>
                <w:bCs/>
                <w:iCs/>
                <w:color w:val="000000"/>
              </w:rPr>
              <w:t>2026</w:t>
            </w:r>
            <w:r>
              <w:rPr>
                <w:rFonts w:hint="eastAsia"/>
                <w:bCs/>
                <w:iCs/>
                <w:color w:val="000000"/>
              </w:rPr>
              <w:t>年</w:t>
            </w:r>
            <w:r>
              <w:rPr>
                <w:bCs/>
                <w:iCs/>
                <w:color w:val="000000"/>
              </w:rPr>
              <w:t>8</w:t>
            </w:r>
            <w:r>
              <w:rPr>
                <w:rFonts w:hint="eastAsia"/>
                <w:bCs/>
                <w:iCs/>
                <w:color w:val="000000"/>
              </w:rPr>
              <w:t>月</w:t>
            </w:r>
            <w:r>
              <w:rPr>
                <w:bCs/>
                <w:iCs/>
                <w:color w:val="000000"/>
              </w:rPr>
              <w:t>25</w:t>
            </w:r>
            <w:r>
              <w:rPr>
                <w:rFonts w:hint="eastAsia"/>
                <w:bCs/>
                <w:iCs/>
                <w:color w:val="000000"/>
              </w:rPr>
              <w:t>日（周二）</w:t>
            </w:r>
            <w:r>
              <w:rPr>
                <w:bCs/>
                <w:iCs/>
                <w:color w:val="000000"/>
              </w:rPr>
              <w:t>20</w:t>
            </w:r>
            <w:r>
              <w:rPr>
                <w:rFonts w:hint="eastAsia"/>
                <w:bCs/>
                <w:iCs/>
                <w:color w:val="000000"/>
              </w:rPr>
              <w:t>：</w:t>
            </w:r>
            <w:r>
              <w:rPr>
                <w:bCs/>
                <w:iCs/>
                <w:color w:val="000000"/>
              </w:rPr>
              <w:t>30</w:t>
            </w:r>
            <w:r>
              <w:t>-21</w:t>
            </w:r>
            <w:r>
              <w:rPr>
                <w:rFonts w:hint="eastAsia"/>
              </w:rPr>
              <w:t>：</w:t>
            </w:r>
            <w:r>
              <w:t>30</w:t>
            </w:r>
          </w:p>
        </w:tc>
      </w:tr>
      <w:tr w:rsidR="001A7500" w14:paraId="174C1705" w14:textId="77777777">
        <w:trPr>
          <w:trHeight w:val="632"/>
          <w:jc w:val="center"/>
        </w:trPr>
        <w:tc>
          <w:tcPr>
            <w:tcW w:w="1823" w:type="dxa"/>
            <w:tcBorders>
              <w:top w:val="single" w:sz="4" w:space="0" w:color="auto"/>
              <w:left w:val="single" w:sz="4" w:space="0" w:color="auto"/>
              <w:bottom w:val="single" w:sz="4" w:space="0" w:color="auto"/>
              <w:right w:val="single" w:sz="4" w:space="0" w:color="auto"/>
            </w:tcBorders>
            <w:vAlign w:val="center"/>
          </w:tcPr>
          <w:p w14:paraId="2FFBE7BE" w14:textId="77777777" w:rsidR="001A7500" w:rsidRDefault="00C95588">
            <w:pPr>
              <w:ind w:firstLineChars="0" w:firstLine="0"/>
              <w:rPr>
                <w:rFonts w:ascii="宋体" w:hAnsi="宋体" w:cs="宋体"/>
                <w:bCs/>
                <w:iCs/>
                <w:color w:val="000000"/>
              </w:rPr>
            </w:pPr>
            <w:r>
              <w:rPr>
                <w:rFonts w:ascii="宋体" w:hAnsi="宋体" w:cs="宋体" w:hint="eastAsia"/>
                <w:bCs/>
                <w:iCs/>
                <w:color w:val="000000"/>
              </w:rPr>
              <w:t>地点</w:t>
            </w:r>
          </w:p>
        </w:tc>
        <w:tc>
          <w:tcPr>
            <w:tcW w:w="6324" w:type="dxa"/>
            <w:tcBorders>
              <w:top w:val="single" w:sz="4" w:space="0" w:color="auto"/>
              <w:left w:val="single" w:sz="4" w:space="0" w:color="auto"/>
              <w:bottom w:val="single" w:sz="4" w:space="0" w:color="auto"/>
              <w:right w:val="single" w:sz="4" w:space="0" w:color="auto"/>
            </w:tcBorders>
          </w:tcPr>
          <w:p w14:paraId="6DF6273C" w14:textId="77777777" w:rsidR="001A7500" w:rsidRDefault="00C95588">
            <w:pPr>
              <w:spacing w:line="480" w:lineRule="atLeast"/>
              <w:ind w:firstLineChars="0" w:firstLine="0"/>
              <w:rPr>
                <w:rFonts w:ascii="宋体" w:hAnsi="宋体" w:cs="宋体"/>
                <w:bCs/>
                <w:iCs/>
                <w:color w:val="000000"/>
              </w:rPr>
            </w:pPr>
            <w:r>
              <w:rPr>
                <w:rFonts w:ascii="宋体" w:hAnsi="宋体" w:cs="宋体" w:hint="eastAsia"/>
                <w:bCs/>
                <w:iCs/>
                <w:color w:val="000000"/>
              </w:rPr>
              <w:t>公司会议室</w:t>
            </w:r>
          </w:p>
        </w:tc>
      </w:tr>
      <w:tr w:rsidR="001A7500" w14:paraId="05852716" w14:textId="77777777">
        <w:trPr>
          <w:trHeight w:val="1492"/>
          <w:jc w:val="center"/>
        </w:trPr>
        <w:tc>
          <w:tcPr>
            <w:tcW w:w="1823" w:type="dxa"/>
            <w:tcBorders>
              <w:top w:val="single" w:sz="4" w:space="0" w:color="auto"/>
              <w:left w:val="single" w:sz="4" w:space="0" w:color="auto"/>
              <w:bottom w:val="single" w:sz="4" w:space="0" w:color="auto"/>
              <w:right w:val="single" w:sz="4" w:space="0" w:color="auto"/>
            </w:tcBorders>
            <w:vAlign w:val="center"/>
          </w:tcPr>
          <w:p w14:paraId="5D1BD5C9" w14:textId="77777777" w:rsidR="001A7500" w:rsidRDefault="00C95588">
            <w:pPr>
              <w:ind w:firstLineChars="0" w:firstLine="0"/>
              <w:rPr>
                <w:rFonts w:ascii="宋体" w:hAnsi="宋体" w:cs="宋体"/>
                <w:bCs/>
                <w:iCs/>
                <w:color w:val="000000"/>
              </w:rPr>
            </w:pPr>
            <w:r>
              <w:rPr>
                <w:rFonts w:ascii="宋体" w:hAnsi="宋体" w:cs="宋体" w:hint="eastAsia"/>
                <w:bCs/>
                <w:iCs/>
                <w:color w:val="000000"/>
              </w:rPr>
              <w:t>上市公司接待人员姓名</w:t>
            </w:r>
          </w:p>
        </w:tc>
        <w:tc>
          <w:tcPr>
            <w:tcW w:w="6324" w:type="dxa"/>
            <w:tcBorders>
              <w:top w:val="single" w:sz="4" w:space="0" w:color="auto"/>
              <w:left w:val="single" w:sz="4" w:space="0" w:color="auto"/>
              <w:bottom w:val="single" w:sz="4" w:space="0" w:color="auto"/>
              <w:right w:val="single" w:sz="4" w:space="0" w:color="auto"/>
            </w:tcBorders>
          </w:tcPr>
          <w:p w14:paraId="0FE557FD" w14:textId="77777777" w:rsidR="001A7500" w:rsidRDefault="00C95588">
            <w:pPr>
              <w:spacing w:line="480" w:lineRule="atLeast"/>
              <w:ind w:firstLineChars="0" w:firstLine="0"/>
              <w:rPr>
                <w:rFonts w:ascii="宋体" w:hAnsi="宋体" w:cs="宋体"/>
                <w:bCs/>
                <w:iCs/>
                <w:color w:val="000000"/>
              </w:rPr>
            </w:pPr>
            <w:r>
              <w:rPr>
                <w:rFonts w:ascii="宋体" w:hAnsi="宋体" w:cs="宋体" w:hint="eastAsia"/>
                <w:bCs/>
                <w:iCs/>
                <w:color w:val="000000"/>
              </w:rPr>
              <w:t>董事长、总经理：李瑞强</w:t>
            </w:r>
          </w:p>
          <w:p w14:paraId="6C6D41D3" w14:textId="77777777" w:rsidR="001A7500" w:rsidRDefault="00C95588">
            <w:pPr>
              <w:spacing w:line="480" w:lineRule="atLeast"/>
              <w:ind w:firstLineChars="0" w:firstLine="0"/>
              <w:rPr>
                <w:rFonts w:ascii="宋体" w:hAnsi="宋体" w:cs="宋体"/>
                <w:bCs/>
                <w:iCs/>
                <w:color w:val="000000"/>
              </w:rPr>
            </w:pPr>
            <w:r>
              <w:rPr>
                <w:rFonts w:ascii="宋体" w:hAnsi="宋体" w:cs="宋体" w:hint="eastAsia"/>
                <w:bCs/>
                <w:iCs/>
                <w:color w:val="000000"/>
              </w:rPr>
              <w:t>董事会秘书：王其锋</w:t>
            </w:r>
          </w:p>
          <w:p w14:paraId="5FC2420A" w14:textId="77777777" w:rsidR="001A7500" w:rsidRDefault="00C95588">
            <w:pPr>
              <w:spacing w:line="480" w:lineRule="atLeast"/>
              <w:ind w:firstLineChars="0" w:firstLine="0"/>
              <w:rPr>
                <w:rFonts w:ascii="宋体" w:hAnsi="宋体" w:cs="宋体"/>
                <w:bCs/>
                <w:iCs/>
                <w:color w:val="000000"/>
              </w:rPr>
            </w:pPr>
            <w:r>
              <w:rPr>
                <w:rFonts w:ascii="宋体" w:hAnsi="宋体" w:cs="宋体" w:hint="eastAsia"/>
                <w:bCs/>
                <w:iCs/>
                <w:color w:val="000000"/>
              </w:rPr>
              <w:t>财务总监：施加山</w:t>
            </w:r>
          </w:p>
          <w:p w14:paraId="61BC07D3" w14:textId="77777777" w:rsidR="001A7500" w:rsidRDefault="00C95588">
            <w:pPr>
              <w:spacing w:line="480" w:lineRule="atLeast"/>
              <w:ind w:firstLineChars="0" w:firstLine="0"/>
              <w:rPr>
                <w:rFonts w:ascii="宋体" w:hAnsi="宋体" w:cs="宋体"/>
                <w:bCs/>
                <w:iCs/>
                <w:color w:val="000000"/>
              </w:rPr>
            </w:pPr>
            <w:r>
              <w:rPr>
                <w:rFonts w:ascii="宋体" w:hAnsi="宋体" w:cs="宋体" w:hint="eastAsia"/>
                <w:bCs/>
                <w:iCs/>
                <w:color w:val="000000"/>
              </w:rPr>
              <w:t>证券事务代表：赵丽华</w:t>
            </w:r>
          </w:p>
        </w:tc>
      </w:tr>
      <w:tr w:rsidR="001A7500" w14:paraId="50FC29AA" w14:textId="77777777">
        <w:trPr>
          <w:trHeight w:val="90"/>
          <w:jc w:val="center"/>
        </w:trPr>
        <w:tc>
          <w:tcPr>
            <w:tcW w:w="1823" w:type="dxa"/>
            <w:tcBorders>
              <w:top w:val="single" w:sz="4" w:space="0" w:color="auto"/>
              <w:left w:val="single" w:sz="4" w:space="0" w:color="auto"/>
              <w:bottom w:val="single" w:sz="4" w:space="0" w:color="auto"/>
              <w:right w:val="single" w:sz="4" w:space="0" w:color="auto"/>
            </w:tcBorders>
            <w:vAlign w:val="center"/>
          </w:tcPr>
          <w:p w14:paraId="60392D04" w14:textId="77777777" w:rsidR="001A7500" w:rsidRDefault="00C95588">
            <w:pPr>
              <w:ind w:firstLineChars="0" w:firstLine="0"/>
              <w:rPr>
                <w:rFonts w:ascii="宋体" w:hAnsi="宋体" w:cs="宋体"/>
                <w:bCs/>
                <w:iCs/>
                <w:color w:val="000000"/>
              </w:rPr>
            </w:pPr>
            <w:r>
              <w:rPr>
                <w:rFonts w:ascii="宋体" w:hAnsi="宋体" w:cs="宋体" w:hint="eastAsia"/>
                <w:bCs/>
                <w:iCs/>
                <w:color w:val="000000"/>
              </w:rPr>
              <w:t>投资者关系活动主要内容介绍</w:t>
            </w:r>
          </w:p>
          <w:p w14:paraId="0C80CADF" w14:textId="77777777" w:rsidR="001A7500" w:rsidRDefault="001A7500">
            <w:pPr>
              <w:ind w:firstLineChars="0" w:firstLine="0"/>
              <w:rPr>
                <w:rFonts w:ascii="宋体" w:hAnsi="宋体" w:cs="宋体"/>
                <w:bCs/>
                <w:iCs/>
                <w:color w:val="000000"/>
              </w:rPr>
            </w:pPr>
          </w:p>
        </w:tc>
        <w:tc>
          <w:tcPr>
            <w:tcW w:w="6324" w:type="dxa"/>
            <w:tcBorders>
              <w:top w:val="single" w:sz="4" w:space="0" w:color="auto"/>
              <w:left w:val="single" w:sz="4" w:space="0" w:color="auto"/>
              <w:bottom w:val="single" w:sz="4" w:space="0" w:color="auto"/>
              <w:right w:val="single" w:sz="4" w:space="0" w:color="auto"/>
            </w:tcBorders>
          </w:tcPr>
          <w:p w14:paraId="2D4A7A69" w14:textId="77777777" w:rsidR="001A7500" w:rsidRDefault="00C95588">
            <w:pPr>
              <w:ind w:firstLine="482"/>
              <w:rPr>
                <w:b/>
                <w:bCs/>
              </w:rPr>
            </w:pPr>
            <w:r>
              <w:rPr>
                <w:rFonts w:hint="eastAsia"/>
                <w:b/>
                <w:bCs/>
              </w:rPr>
              <w:t xml:space="preserve">Q1: </w:t>
            </w:r>
            <w:r>
              <w:rPr>
                <w:rFonts w:hint="eastAsia"/>
                <w:b/>
                <w:bCs/>
              </w:rPr>
              <w:t>请介绍</w:t>
            </w:r>
            <w:r>
              <w:rPr>
                <w:rFonts w:hint="eastAsia"/>
                <w:b/>
                <w:bCs/>
              </w:rPr>
              <w:t>2</w:t>
            </w:r>
            <w:r>
              <w:rPr>
                <w:b/>
                <w:bCs/>
              </w:rPr>
              <w:t>026</w:t>
            </w:r>
            <w:r>
              <w:rPr>
                <w:rFonts w:hint="eastAsia"/>
                <w:b/>
                <w:bCs/>
              </w:rPr>
              <w:t>年上半年公司的业绩情况？</w:t>
            </w:r>
            <w:r>
              <w:rPr>
                <w:rFonts w:hint="eastAsia"/>
                <w:b/>
                <w:bCs/>
              </w:rPr>
              <w:t xml:space="preserve"> </w:t>
            </w:r>
          </w:p>
          <w:p w14:paraId="7BC6668D" w14:textId="72A065DD" w:rsidR="001A7500" w:rsidRDefault="00C95588">
            <w:pPr>
              <w:ind w:firstLine="480"/>
            </w:pPr>
            <w:r>
              <w:t>A</w:t>
            </w:r>
            <w:r>
              <w:rPr>
                <w:rFonts w:hint="eastAsia"/>
              </w:rPr>
              <w:t>：公司</w:t>
            </w:r>
            <w:r>
              <w:t>2026</w:t>
            </w:r>
            <w:r>
              <w:t>年上半年实现营收</w:t>
            </w:r>
            <w:r>
              <w:rPr>
                <w:rFonts w:hint="eastAsia"/>
              </w:rPr>
              <w:t>111,382.98</w:t>
            </w:r>
            <w:r>
              <w:t>万元，同比增长了</w:t>
            </w:r>
            <w:r>
              <w:t>7.09%</w:t>
            </w:r>
            <w:r>
              <w:t>；其中中国大陆营业收入</w:t>
            </w:r>
            <w:r>
              <w:t>55,562.86</w:t>
            </w:r>
            <w:r>
              <w:t>万元，同比增长</w:t>
            </w:r>
            <w:r>
              <w:t>9.66%</w:t>
            </w:r>
            <w:r>
              <w:t>；港澳台及海外地区营业收入</w:t>
            </w:r>
            <w:r>
              <w:t>55,820.12</w:t>
            </w:r>
            <w:r>
              <w:t>万元，同比增长</w:t>
            </w:r>
            <w:r>
              <w:t>4.65%</w:t>
            </w:r>
            <w:r>
              <w:t>。</w:t>
            </w:r>
            <w:r>
              <w:rPr>
                <w:rFonts w:hint="eastAsia"/>
              </w:rPr>
              <w:t>公司坚持以客户为中心的市场策略，有效落地全球本地化战略，通过产品结构优化与市场拓展，推动公司营业收入增长。</w:t>
            </w:r>
          </w:p>
          <w:p w14:paraId="1F43EC37" w14:textId="6E0E882C" w:rsidR="001A7500" w:rsidRDefault="00C95588">
            <w:pPr>
              <w:ind w:firstLine="480"/>
            </w:pPr>
            <w:r>
              <w:rPr>
                <w:rFonts w:hint="eastAsia"/>
              </w:rPr>
              <w:t>公司</w:t>
            </w:r>
            <w:r>
              <w:t>2026</w:t>
            </w:r>
            <w:r>
              <w:t>年上半年</w:t>
            </w:r>
            <w:r>
              <w:rPr>
                <w:rFonts w:hint="eastAsia"/>
              </w:rPr>
              <w:t>实现归属于上市公司股东的净利润</w:t>
            </w:r>
            <w:r>
              <w:t>6,312.26</w:t>
            </w:r>
            <w:r>
              <w:t>万元，同比下降</w:t>
            </w:r>
            <w:r>
              <w:t>19.82%</w:t>
            </w:r>
            <w:r>
              <w:t>；毛利率</w:t>
            </w:r>
            <w:r>
              <w:t>41.86%</w:t>
            </w:r>
            <w:r>
              <w:t>，同比</w:t>
            </w:r>
            <w:r w:rsidR="002D5AAA">
              <w:rPr>
                <w:rFonts w:hint="eastAsia"/>
              </w:rPr>
              <w:t>增加</w:t>
            </w:r>
            <w:r w:rsidR="002D5AAA">
              <w:rPr>
                <w:rFonts w:hint="eastAsia"/>
              </w:rPr>
              <w:t>1</w:t>
            </w:r>
            <w:r w:rsidR="002D5AAA">
              <w:t>.06</w:t>
            </w:r>
            <w:r w:rsidR="002D5AAA">
              <w:rPr>
                <w:rFonts w:hint="eastAsia"/>
              </w:rPr>
              <w:t>个百分点</w:t>
            </w:r>
            <w:r w:rsidR="001F03A7">
              <w:rPr>
                <w:rFonts w:hint="eastAsia"/>
              </w:rPr>
              <w:t>；</w:t>
            </w:r>
            <w:r>
              <w:t>研发支出</w:t>
            </w:r>
            <w:r>
              <w:t>9,123.87</w:t>
            </w:r>
            <w:r>
              <w:t>万元，同比增长</w:t>
            </w:r>
            <w:r>
              <w:lastRenderedPageBreak/>
              <w:t>45.73%</w:t>
            </w:r>
            <w:r>
              <w:t>，占营业</w:t>
            </w:r>
            <w:bookmarkStart w:id="0" w:name="_GoBack"/>
            <w:bookmarkEnd w:id="0"/>
            <w:r>
              <w:t>收入</w:t>
            </w:r>
            <w:r>
              <w:t>8.19%</w:t>
            </w:r>
            <w:r>
              <w:t>。</w:t>
            </w:r>
            <w:r>
              <w:rPr>
                <w:rFonts w:hint="eastAsia"/>
              </w:rPr>
              <w:t>公司按照研发项目计划开展研发活动，以及持续加大在人工智能驱动的产品研发与产品、技术创新领域的投入。</w:t>
            </w:r>
          </w:p>
          <w:p w14:paraId="250F888A" w14:textId="77777777" w:rsidR="001A7500" w:rsidRDefault="00C95588">
            <w:pPr>
              <w:ind w:firstLine="482"/>
              <w:rPr>
                <w:b/>
                <w:bCs/>
              </w:rPr>
            </w:pPr>
            <w:r>
              <w:rPr>
                <w:rFonts w:hint="eastAsia"/>
                <w:b/>
                <w:bCs/>
              </w:rPr>
              <w:t>Q</w:t>
            </w:r>
            <w:r>
              <w:rPr>
                <w:b/>
                <w:bCs/>
              </w:rPr>
              <w:t>2</w:t>
            </w:r>
            <w:r>
              <w:rPr>
                <w:rFonts w:hint="eastAsia"/>
                <w:b/>
                <w:bCs/>
              </w:rPr>
              <w:t>：请介绍一下新一代</w:t>
            </w:r>
            <w:r>
              <w:rPr>
                <w:rFonts w:hint="eastAsia"/>
                <w:b/>
                <w:bCs/>
              </w:rPr>
              <w:t>Falcon</w:t>
            </w:r>
            <w:r>
              <w:rPr>
                <w:b/>
                <w:bCs/>
              </w:rPr>
              <w:t xml:space="preserve"> </w:t>
            </w:r>
            <w:r>
              <w:rPr>
                <w:rFonts w:ascii="宋体" w:hAnsi="宋体" w:hint="eastAsia"/>
                <w:b/>
                <w:bCs/>
              </w:rPr>
              <w:t>Ⅳ情况</w:t>
            </w:r>
          </w:p>
          <w:p w14:paraId="48450B4A" w14:textId="596C42B1" w:rsidR="001A7500" w:rsidRDefault="00C95588">
            <w:pPr>
              <w:ind w:firstLine="480"/>
            </w:pPr>
            <w:r>
              <w:rPr>
                <w:rFonts w:hint="eastAsia"/>
              </w:rPr>
              <w:t>A</w:t>
            </w:r>
            <w:r>
              <w:rPr>
                <w:rFonts w:hint="eastAsia"/>
              </w:rPr>
              <w:t>：该平台集成</w:t>
            </w:r>
            <w:r>
              <w:rPr>
                <w:rFonts w:hint="eastAsia"/>
              </w:rPr>
              <w:t>15</w:t>
            </w:r>
            <w:r>
              <w:rPr>
                <w:rFonts w:hint="eastAsia"/>
              </w:rPr>
              <w:t>台精密设备，可自主完成建库前取样、建库、文库定量、文库均一化、文库检测的全流程智能化操作。精准的流程控制与无缝衔接保障系统</w:t>
            </w:r>
            <w:r>
              <w:rPr>
                <w:rFonts w:hint="eastAsia"/>
              </w:rPr>
              <w:t>24</w:t>
            </w:r>
            <w:r>
              <w:rPr>
                <w:rFonts w:hint="eastAsia"/>
              </w:rPr>
              <w:t>小时不间断运行带来了</w:t>
            </w:r>
            <w:r>
              <w:rPr>
                <w:rFonts w:hint="eastAsia"/>
              </w:rPr>
              <w:t xml:space="preserve">Falcon </w:t>
            </w:r>
            <w:r>
              <w:rPr>
                <w:rFonts w:hint="eastAsia"/>
              </w:rPr>
              <w:t>Ⅳ产能实现大幅提升——</w:t>
            </w:r>
            <w:r>
              <w:rPr>
                <w:rFonts w:hint="eastAsia"/>
              </w:rPr>
              <w:t>24</w:t>
            </w:r>
            <w:r>
              <w:rPr>
                <w:rFonts w:hint="eastAsia"/>
              </w:rPr>
              <w:t>小时内完成</w:t>
            </w:r>
            <w:r>
              <w:rPr>
                <w:rFonts w:hint="eastAsia"/>
              </w:rPr>
              <w:t>1,440</w:t>
            </w:r>
            <w:r>
              <w:rPr>
                <w:rFonts w:hint="eastAsia"/>
              </w:rPr>
              <w:t>例</w:t>
            </w:r>
            <w:r>
              <w:rPr>
                <w:rFonts w:hint="eastAsia"/>
              </w:rPr>
              <w:t>mRNA</w:t>
            </w:r>
            <w:r>
              <w:rPr>
                <w:rFonts w:hint="eastAsia"/>
              </w:rPr>
              <w:t>样本建库库检，相较</w:t>
            </w:r>
            <w:r>
              <w:rPr>
                <w:rFonts w:hint="eastAsia"/>
              </w:rPr>
              <w:t xml:space="preserve">Falcon </w:t>
            </w:r>
            <w:r>
              <w:rPr>
                <w:rFonts w:hint="eastAsia"/>
              </w:rPr>
              <w:t>Ⅲ</w:t>
            </w:r>
            <w:proofErr w:type="gramStart"/>
            <w:r>
              <w:rPr>
                <w:rFonts w:hint="eastAsia"/>
              </w:rPr>
              <w:t>产线产能</w:t>
            </w:r>
            <w:proofErr w:type="gramEnd"/>
            <w:r>
              <w:rPr>
                <w:rFonts w:hint="eastAsia"/>
              </w:rPr>
              <w:t>提升</w:t>
            </w:r>
            <w:r>
              <w:rPr>
                <w:rFonts w:hint="eastAsia"/>
              </w:rPr>
              <w:t>200%</w:t>
            </w:r>
            <w:r>
              <w:rPr>
                <w:rFonts w:hint="eastAsia"/>
              </w:rPr>
              <w:t>。系统支持按需启动、随时插单、快速流转及连续运行，可根据实际需求灵活分配产能，适配多种工艺和产能配置，实现弹性下单，充分满足多样化交付需求。</w:t>
            </w:r>
          </w:p>
          <w:p w14:paraId="2C389E98" w14:textId="77777777" w:rsidR="001A7500" w:rsidRDefault="00C95588">
            <w:pPr>
              <w:ind w:firstLine="482"/>
              <w:rPr>
                <w:b/>
                <w:bCs/>
              </w:rPr>
            </w:pPr>
            <w:r>
              <w:rPr>
                <w:rFonts w:hint="eastAsia"/>
                <w:b/>
                <w:bCs/>
              </w:rPr>
              <w:t>Q</w:t>
            </w:r>
            <w:r>
              <w:rPr>
                <w:b/>
                <w:bCs/>
              </w:rPr>
              <w:t>3</w:t>
            </w:r>
            <w:r>
              <w:rPr>
                <w:rFonts w:hint="eastAsia"/>
                <w:b/>
                <w:bCs/>
              </w:rPr>
              <w:t>:</w:t>
            </w:r>
            <w:r>
              <w:rPr>
                <w:b/>
                <w:bCs/>
              </w:rPr>
              <w:t>2026</w:t>
            </w:r>
            <w:r>
              <w:rPr>
                <w:rFonts w:hint="eastAsia"/>
                <w:b/>
                <w:bCs/>
              </w:rPr>
              <w:t>年上半年，公司在</w:t>
            </w:r>
            <w:r>
              <w:rPr>
                <w:rFonts w:hint="eastAsia"/>
                <w:b/>
                <w:bCs/>
              </w:rPr>
              <w:t>A</w:t>
            </w:r>
            <w:r>
              <w:rPr>
                <w:b/>
                <w:bCs/>
              </w:rPr>
              <w:t>I</w:t>
            </w:r>
            <w:r>
              <w:rPr>
                <w:rFonts w:hint="eastAsia"/>
                <w:b/>
                <w:bCs/>
              </w:rPr>
              <w:t>技术方面有何进展</w:t>
            </w:r>
          </w:p>
          <w:p w14:paraId="600068E7" w14:textId="5A2602AC" w:rsidR="001A7500" w:rsidRDefault="00C95588">
            <w:pPr>
              <w:ind w:firstLine="480"/>
            </w:pPr>
            <w:r>
              <w:t>A</w:t>
            </w:r>
            <w:r>
              <w:rPr>
                <w:rFonts w:hint="eastAsia"/>
              </w:rPr>
              <w:t>：</w:t>
            </w:r>
            <w:r>
              <w:rPr>
                <w:rFonts w:hint="eastAsia"/>
              </w:rPr>
              <w:t xml:space="preserve">AI4S </w:t>
            </w:r>
            <w:r>
              <w:rPr>
                <w:rFonts w:hint="eastAsia"/>
              </w:rPr>
              <w:t>技术体系实现了</w:t>
            </w:r>
            <w:r>
              <w:rPr>
                <w:rFonts w:hint="eastAsia"/>
              </w:rPr>
              <w:t>AI</w:t>
            </w:r>
            <w:r>
              <w:rPr>
                <w:rFonts w:hint="eastAsia"/>
              </w:rPr>
              <w:t>技术与核心业务的深度融合，探索出科研服务智能化升级的有效路径。</w:t>
            </w:r>
          </w:p>
          <w:p w14:paraId="462FBB9A" w14:textId="05527156" w:rsidR="001A7500" w:rsidRDefault="00C95588">
            <w:pPr>
              <w:ind w:firstLine="480"/>
            </w:pPr>
            <w:r>
              <w:rPr>
                <w:rFonts w:hint="eastAsia"/>
              </w:rPr>
              <w:t>2026</w:t>
            </w:r>
            <w:r>
              <w:rPr>
                <w:rFonts w:hint="eastAsia"/>
              </w:rPr>
              <w:t>年上半年，自主研发的</w:t>
            </w:r>
            <w:r>
              <w:rPr>
                <w:rFonts w:hint="eastAsia"/>
              </w:rPr>
              <w:t>AI4S</w:t>
            </w:r>
            <w:r>
              <w:rPr>
                <w:rFonts w:hint="eastAsia"/>
              </w:rPr>
              <w:t>科研平台再次升级，使用搭载的</w:t>
            </w:r>
            <w:proofErr w:type="gramStart"/>
            <w:r>
              <w:rPr>
                <w:rFonts w:hint="eastAsia"/>
              </w:rPr>
              <w:t>生信分析</w:t>
            </w:r>
            <w:proofErr w:type="gramEnd"/>
            <w:r>
              <w:rPr>
                <w:rFonts w:hint="eastAsia"/>
              </w:rPr>
              <w:t>Skills</w:t>
            </w:r>
            <w:r>
              <w:rPr>
                <w:rFonts w:hint="eastAsia"/>
              </w:rPr>
              <w:t>进一步提升在数据分析和数据解读场景的准确性。该平台采用主从式多智能体架构，融合大语言模型和知识图谱等技术，在人类专家监督下覆盖科研全流程，包括假设生成、实验设计、实验执行、结果分析解读及报告撰写；系统集成</w:t>
            </w:r>
            <w:r>
              <w:rPr>
                <w:rFonts w:hint="eastAsia"/>
              </w:rPr>
              <w:t>5</w:t>
            </w:r>
            <w:r>
              <w:rPr>
                <w:rFonts w:hint="eastAsia"/>
              </w:rPr>
              <w:t>个智能体，具备通用行业知识问答、课题设计、</w:t>
            </w:r>
            <w:proofErr w:type="gramStart"/>
            <w:r>
              <w:rPr>
                <w:rFonts w:hint="eastAsia"/>
              </w:rPr>
              <w:t>生信分析</w:t>
            </w:r>
            <w:proofErr w:type="gramEnd"/>
            <w:r>
              <w:rPr>
                <w:rFonts w:hint="eastAsia"/>
              </w:rPr>
              <w:t>、情景化解读与文献关联等核心能力。</w:t>
            </w:r>
          </w:p>
          <w:p w14:paraId="6F94103F" w14:textId="24F51561" w:rsidR="001A7500" w:rsidRDefault="00C95588">
            <w:pPr>
              <w:ind w:firstLine="480"/>
            </w:pPr>
            <w:r>
              <w:rPr>
                <w:rFonts w:hint="eastAsia"/>
              </w:rPr>
              <w:t>未来，公司将持续加大</w:t>
            </w:r>
            <w:r>
              <w:rPr>
                <w:rFonts w:hint="eastAsia"/>
              </w:rPr>
              <w:t>AI4S</w:t>
            </w:r>
            <w:r>
              <w:rPr>
                <w:rFonts w:hint="eastAsia"/>
              </w:rPr>
              <w:t>研发投入，优化人才与技术体系，迭代</w:t>
            </w:r>
            <w:r>
              <w:rPr>
                <w:rFonts w:hint="eastAsia"/>
              </w:rPr>
              <w:t>AI4S</w:t>
            </w:r>
            <w:r>
              <w:rPr>
                <w:rFonts w:hint="eastAsia"/>
              </w:rPr>
              <w:t>平台，拓展</w:t>
            </w:r>
            <w:r>
              <w:rPr>
                <w:rFonts w:hint="eastAsia"/>
              </w:rPr>
              <w:t>AI</w:t>
            </w:r>
            <w:r>
              <w:rPr>
                <w:rFonts w:hint="eastAsia"/>
              </w:rPr>
              <w:t>技术在分子育种、临床检测、多组学联</w:t>
            </w:r>
            <w:proofErr w:type="gramStart"/>
            <w:r>
              <w:rPr>
                <w:rFonts w:hint="eastAsia"/>
              </w:rPr>
              <w:t>合分析</w:t>
            </w:r>
            <w:proofErr w:type="gramEnd"/>
            <w:r>
              <w:rPr>
                <w:rFonts w:hint="eastAsia"/>
              </w:rPr>
              <w:t>等领域的应用，以技术创新驱动科研服务能力持续提升。同时，公司将构建自主可控、开放可扩展的人工智能虚拟细胞（</w:t>
            </w:r>
            <w:r>
              <w:rPr>
                <w:rFonts w:hint="eastAsia"/>
              </w:rPr>
              <w:t>AIVC</w:t>
            </w:r>
            <w:r>
              <w:rPr>
                <w:rFonts w:hint="eastAsia"/>
              </w:rPr>
              <w:t>）科研服务平台，实现多组学数据向可扰动数字细胞模型的转化，覆盖科研假设生成、</w:t>
            </w:r>
            <w:r>
              <w:rPr>
                <w:rFonts w:hint="eastAsia"/>
              </w:rPr>
              <w:lastRenderedPageBreak/>
              <w:t>实验设计优化、数据解析、多模态整合与结果解读的全流程闭环，形成国内领先、国际先进的数字细胞技术体系，支撑精准医学、类器官数字孪生及创新药研发应用。</w:t>
            </w:r>
          </w:p>
          <w:p w14:paraId="5164681B" w14:textId="77777777" w:rsidR="001A7500" w:rsidRDefault="00C95588">
            <w:pPr>
              <w:ind w:firstLine="482"/>
              <w:rPr>
                <w:b/>
              </w:rPr>
            </w:pPr>
            <w:r>
              <w:rPr>
                <w:rFonts w:hint="eastAsia"/>
                <w:b/>
              </w:rPr>
              <w:t>Q</w:t>
            </w:r>
            <w:r>
              <w:rPr>
                <w:b/>
              </w:rPr>
              <w:t>4:</w:t>
            </w:r>
            <w:r>
              <w:rPr>
                <w:rFonts w:hint="eastAsia"/>
                <w:b/>
              </w:rPr>
              <w:t xml:space="preserve"> </w:t>
            </w:r>
            <w:r>
              <w:rPr>
                <w:rFonts w:hint="eastAsia"/>
                <w:b/>
              </w:rPr>
              <w:t>请问公司如何看待行业发展趋势</w:t>
            </w:r>
          </w:p>
          <w:p w14:paraId="68184F5A" w14:textId="5B12CE2F" w:rsidR="001A7500" w:rsidRDefault="00C95588">
            <w:pPr>
              <w:ind w:firstLine="480"/>
            </w:pPr>
            <w:r w:rsidRPr="00C95588">
              <w:rPr>
                <w:bCs/>
              </w:rPr>
              <w:t>A</w:t>
            </w:r>
            <w:r w:rsidRPr="00C95588">
              <w:rPr>
                <w:rFonts w:hint="eastAsia"/>
                <w:bCs/>
              </w:rPr>
              <w:t>：</w:t>
            </w:r>
            <w:r>
              <w:rPr>
                <w:rFonts w:hint="eastAsia"/>
              </w:rPr>
              <w:t>AI</w:t>
            </w:r>
            <w:r>
              <w:rPr>
                <w:rFonts w:hint="eastAsia"/>
              </w:rPr>
              <w:t>与多组学融合，推动生命科学数据分析向云端化、智能化科研范式演进。</w:t>
            </w:r>
            <w:r>
              <w:rPr>
                <w:rFonts w:hint="eastAsia"/>
              </w:rPr>
              <w:t>AI</w:t>
            </w:r>
            <w:r>
              <w:rPr>
                <w:rFonts w:hint="eastAsia"/>
              </w:rPr>
              <w:t>正在推动生命科学研究从“单机</w:t>
            </w:r>
            <w:r>
              <w:rPr>
                <w:rFonts w:hint="eastAsia"/>
              </w:rPr>
              <w:t>/</w:t>
            </w:r>
            <w:r>
              <w:rPr>
                <w:rFonts w:hint="eastAsia"/>
              </w:rPr>
              <w:t>本地分析”向“云端智能科研平台”演进。随着单细胞、空间组学、多组学等数据规模快速增长，以及</w:t>
            </w:r>
            <w:r>
              <w:rPr>
                <w:rFonts w:hint="eastAsia"/>
              </w:rPr>
              <w:t>GPU</w:t>
            </w:r>
            <w:r>
              <w:rPr>
                <w:rFonts w:hint="eastAsia"/>
              </w:rPr>
              <w:t>等</w:t>
            </w:r>
            <w:proofErr w:type="gramStart"/>
            <w:r>
              <w:rPr>
                <w:rFonts w:hint="eastAsia"/>
              </w:rPr>
              <w:t>算力基础</w:t>
            </w:r>
            <w:proofErr w:type="gramEnd"/>
            <w:r>
              <w:rPr>
                <w:rFonts w:hint="eastAsia"/>
              </w:rPr>
              <w:t>设施持续成熟，传统依赖研究者在本地服务器自行配置软件、搭建流程和完成分析的模式，正在逐步向以云计算、云存储为基础的集中化、平台化方向转变。在此基础上，大语言模型、知识图谱和智能</w:t>
            </w:r>
            <w:proofErr w:type="gramStart"/>
            <w:r>
              <w:rPr>
                <w:rFonts w:hint="eastAsia"/>
              </w:rPr>
              <w:t>体技术</w:t>
            </w:r>
            <w:proofErr w:type="gramEnd"/>
            <w:r>
              <w:rPr>
                <w:rFonts w:hint="eastAsia"/>
              </w:rPr>
              <w:t>进一步改变了科研人员与分析工具之间的交互方式。生命科学研究由传统“人工操作软件—逐步完成分析”的模式，向“自然语言提出问题—智能体组织数据与工具—自动执行分析—生成科研洞见”的新型范式演进。未来，</w:t>
            </w:r>
            <w:r>
              <w:rPr>
                <w:rFonts w:hint="eastAsia"/>
              </w:rPr>
              <w:t>AI</w:t>
            </w:r>
            <w:r>
              <w:rPr>
                <w:rFonts w:hint="eastAsia"/>
              </w:rPr>
              <w:t>工具与平台有望进一步依托云计算、云存储能力，将公共数据、专有数据、分析流程、计算资源和领域知识整合为统一的科研基础设施，使数据分析从单一工具使用升级为面向科学问题的智能化全过程协同。</w:t>
            </w:r>
          </w:p>
          <w:p w14:paraId="7125C4CF" w14:textId="7B7CC061" w:rsidR="001A7500" w:rsidRDefault="00C95588">
            <w:pPr>
              <w:ind w:firstLine="480"/>
            </w:pPr>
            <w:r>
              <w:rPr>
                <w:rFonts w:hint="eastAsia"/>
              </w:rPr>
              <w:t>在测序技术层面，</w:t>
            </w:r>
            <w:proofErr w:type="gramStart"/>
            <w:r>
              <w:rPr>
                <w:rFonts w:hint="eastAsia"/>
              </w:rPr>
              <w:t>长短读</w:t>
            </w:r>
            <w:proofErr w:type="gramEnd"/>
            <w:r>
              <w:rPr>
                <w:rFonts w:hint="eastAsia"/>
              </w:rPr>
              <w:t>长测序技术均已成熟，行业正加速推动</w:t>
            </w:r>
            <w:proofErr w:type="gramStart"/>
            <w:r>
              <w:rPr>
                <w:rFonts w:hint="eastAsia"/>
              </w:rPr>
              <w:t>长短读</w:t>
            </w:r>
            <w:proofErr w:type="gramEnd"/>
            <w:r>
              <w:rPr>
                <w:rFonts w:hint="eastAsia"/>
              </w:rPr>
              <w:t>长互补的全读</w:t>
            </w:r>
            <w:proofErr w:type="gramStart"/>
            <w:r>
              <w:rPr>
                <w:rFonts w:hint="eastAsia"/>
              </w:rPr>
              <w:t>长解决</w:t>
            </w:r>
            <w:proofErr w:type="gramEnd"/>
            <w:r>
              <w:rPr>
                <w:rFonts w:hint="eastAsia"/>
              </w:rPr>
              <w:t>方案落地应用；</w:t>
            </w:r>
            <w:r>
              <w:rPr>
                <w:rFonts w:hint="eastAsia"/>
              </w:rPr>
              <w:t>AI</w:t>
            </w:r>
            <w:r>
              <w:rPr>
                <w:rFonts w:hint="eastAsia"/>
              </w:rPr>
              <w:t>与测序技术、实验室自动化设备的深度融合，正在成为推动行业转型和重构竞争格局的关键力量。</w:t>
            </w:r>
          </w:p>
        </w:tc>
      </w:tr>
      <w:tr w:rsidR="001A7500" w14:paraId="558471EC" w14:textId="77777777">
        <w:trPr>
          <w:trHeight w:val="90"/>
          <w:jc w:val="center"/>
        </w:trPr>
        <w:tc>
          <w:tcPr>
            <w:tcW w:w="1823" w:type="dxa"/>
            <w:tcBorders>
              <w:top w:val="single" w:sz="4" w:space="0" w:color="auto"/>
              <w:left w:val="single" w:sz="4" w:space="0" w:color="auto"/>
              <w:bottom w:val="single" w:sz="4" w:space="0" w:color="auto"/>
              <w:right w:val="single" w:sz="4" w:space="0" w:color="auto"/>
            </w:tcBorders>
            <w:vAlign w:val="center"/>
          </w:tcPr>
          <w:p w14:paraId="74D75152" w14:textId="77777777" w:rsidR="001A7500" w:rsidRDefault="00C95588">
            <w:pPr>
              <w:ind w:firstLineChars="0" w:firstLine="0"/>
              <w:rPr>
                <w:rFonts w:ascii="宋体" w:hAnsi="宋体" w:cs="宋体"/>
                <w:bCs/>
                <w:iCs/>
                <w:color w:val="000000"/>
              </w:rPr>
            </w:pPr>
            <w:r>
              <w:rPr>
                <w:rFonts w:ascii="宋体" w:hAnsi="宋体" w:cs="宋体" w:hint="eastAsia"/>
                <w:bCs/>
                <w:iCs/>
                <w:color w:val="000000"/>
              </w:rPr>
              <w:lastRenderedPageBreak/>
              <w:t>附件清单（如有）</w:t>
            </w:r>
          </w:p>
        </w:tc>
        <w:tc>
          <w:tcPr>
            <w:tcW w:w="6324" w:type="dxa"/>
            <w:tcBorders>
              <w:top w:val="single" w:sz="4" w:space="0" w:color="auto"/>
              <w:left w:val="single" w:sz="4" w:space="0" w:color="auto"/>
              <w:bottom w:val="single" w:sz="4" w:space="0" w:color="auto"/>
              <w:right w:val="single" w:sz="4" w:space="0" w:color="auto"/>
            </w:tcBorders>
          </w:tcPr>
          <w:p w14:paraId="0357AC95" w14:textId="77777777" w:rsidR="001A7500" w:rsidRDefault="00C95588">
            <w:pPr>
              <w:spacing w:line="480" w:lineRule="atLeast"/>
              <w:ind w:firstLineChars="0" w:firstLine="0"/>
              <w:rPr>
                <w:rFonts w:ascii="宋体" w:hAnsi="宋体" w:cs="宋体"/>
                <w:bCs/>
                <w:iCs/>
                <w:color w:val="000000"/>
              </w:rPr>
            </w:pPr>
            <w:r>
              <w:rPr>
                <w:rFonts w:ascii="宋体" w:hAnsi="宋体" w:cs="宋体" w:hint="eastAsia"/>
                <w:bCs/>
                <w:iCs/>
                <w:color w:val="000000"/>
              </w:rPr>
              <w:t>无</w:t>
            </w:r>
          </w:p>
        </w:tc>
      </w:tr>
      <w:tr w:rsidR="001A7500" w14:paraId="18432FDB" w14:textId="77777777">
        <w:trPr>
          <w:trHeight w:val="90"/>
          <w:jc w:val="center"/>
        </w:trPr>
        <w:tc>
          <w:tcPr>
            <w:tcW w:w="1823" w:type="dxa"/>
            <w:tcBorders>
              <w:top w:val="single" w:sz="4" w:space="0" w:color="auto"/>
              <w:left w:val="single" w:sz="4" w:space="0" w:color="auto"/>
              <w:bottom w:val="single" w:sz="4" w:space="0" w:color="auto"/>
              <w:right w:val="single" w:sz="4" w:space="0" w:color="auto"/>
            </w:tcBorders>
            <w:vAlign w:val="center"/>
          </w:tcPr>
          <w:p w14:paraId="396C1579" w14:textId="77777777" w:rsidR="001A7500" w:rsidRDefault="00C95588">
            <w:pPr>
              <w:ind w:firstLineChars="0" w:firstLine="0"/>
              <w:rPr>
                <w:rFonts w:ascii="宋体" w:hAnsi="宋体" w:cs="宋体"/>
                <w:bCs/>
                <w:iCs/>
                <w:color w:val="000000"/>
              </w:rPr>
            </w:pPr>
            <w:r>
              <w:rPr>
                <w:rFonts w:ascii="宋体" w:hAnsi="宋体" w:hint="eastAsia"/>
                <w:bCs/>
                <w:iCs/>
                <w:color w:val="000000"/>
              </w:rPr>
              <w:t>关于本次活动是否涉及应当披露重大信息的说明</w:t>
            </w:r>
          </w:p>
        </w:tc>
        <w:tc>
          <w:tcPr>
            <w:tcW w:w="6324" w:type="dxa"/>
            <w:tcBorders>
              <w:top w:val="single" w:sz="4" w:space="0" w:color="auto"/>
              <w:left w:val="single" w:sz="4" w:space="0" w:color="auto"/>
              <w:bottom w:val="single" w:sz="4" w:space="0" w:color="auto"/>
              <w:right w:val="single" w:sz="4" w:space="0" w:color="auto"/>
            </w:tcBorders>
            <w:vAlign w:val="center"/>
          </w:tcPr>
          <w:p w14:paraId="02808A38" w14:textId="77777777" w:rsidR="001A7500" w:rsidRDefault="00C95588">
            <w:pPr>
              <w:spacing w:line="480" w:lineRule="atLeast"/>
              <w:ind w:firstLineChars="0" w:firstLine="0"/>
              <w:rPr>
                <w:rFonts w:ascii="宋体" w:hAnsi="宋体" w:cs="宋体"/>
                <w:bCs/>
                <w:iCs/>
                <w:color w:val="000000"/>
              </w:rPr>
            </w:pPr>
            <w:r>
              <w:rPr>
                <w:rFonts w:ascii="宋体" w:hAnsi="宋体" w:hint="eastAsia"/>
                <w:bCs/>
                <w:iCs/>
                <w:color w:val="000000"/>
              </w:rPr>
              <w:t>公司严格按照相关规定交流沟通，不存在未公开重大信息泄露等情形。</w:t>
            </w:r>
          </w:p>
        </w:tc>
      </w:tr>
      <w:tr w:rsidR="001A7500" w14:paraId="3AFBF5C6" w14:textId="77777777">
        <w:trPr>
          <w:trHeight w:val="549"/>
          <w:jc w:val="center"/>
        </w:trPr>
        <w:tc>
          <w:tcPr>
            <w:tcW w:w="1823" w:type="dxa"/>
            <w:tcBorders>
              <w:top w:val="single" w:sz="4" w:space="0" w:color="auto"/>
              <w:left w:val="single" w:sz="4" w:space="0" w:color="auto"/>
              <w:bottom w:val="single" w:sz="4" w:space="0" w:color="auto"/>
              <w:right w:val="single" w:sz="4" w:space="0" w:color="auto"/>
            </w:tcBorders>
            <w:vAlign w:val="center"/>
          </w:tcPr>
          <w:p w14:paraId="55134180" w14:textId="77777777" w:rsidR="001A7500" w:rsidRDefault="00C95588">
            <w:pPr>
              <w:ind w:firstLineChars="0" w:firstLine="0"/>
              <w:rPr>
                <w:rFonts w:ascii="宋体" w:hAnsi="宋体" w:cs="宋体"/>
                <w:bCs/>
                <w:iCs/>
                <w:color w:val="000000"/>
              </w:rPr>
            </w:pPr>
            <w:r>
              <w:rPr>
                <w:rFonts w:ascii="宋体" w:hAnsi="宋体" w:cs="宋体" w:hint="eastAsia"/>
                <w:bCs/>
                <w:iCs/>
                <w:color w:val="000000"/>
              </w:rPr>
              <w:t>日期</w:t>
            </w:r>
          </w:p>
        </w:tc>
        <w:tc>
          <w:tcPr>
            <w:tcW w:w="6324" w:type="dxa"/>
            <w:tcBorders>
              <w:top w:val="single" w:sz="4" w:space="0" w:color="auto"/>
              <w:left w:val="single" w:sz="4" w:space="0" w:color="auto"/>
              <w:bottom w:val="single" w:sz="4" w:space="0" w:color="auto"/>
              <w:right w:val="single" w:sz="4" w:space="0" w:color="auto"/>
            </w:tcBorders>
          </w:tcPr>
          <w:p w14:paraId="5EC4B260" w14:textId="77777777" w:rsidR="001A7500" w:rsidRDefault="00C95588">
            <w:pPr>
              <w:spacing w:line="480" w:lineRule="atLeast"/>
              <w:ind w:firstLineChars="0" w:firstLine="0"/>
              <w:rPr>
                <w:bCs/>
                <w:iCs/>
                <w:color w:val="000000"/>
              </w:rPr>
            </w:pPr>
            <w:r>
              <w:rPr>
                <w:bCs/>
                <w:iCs/>
                <w:color w:val="000000"/>
              </w:rPr>
              <w:t>2026</w:t>
            </w:r>
            <w:r>
              <w:rPr>
                <w:rFonts w:hint="eastAsia"/>
                <w:bCs/>
                <w:iCs/>
                <w:color w:val="000000"/>
              </w:rPr>
              <w:t>年</w:t>
            </w:r>
            <w:r>
              <w:rPr>
                <w:bCs/>
                <w:iCs/>
                <w:color w:val="000000"/>
              </w:rPr>
              <w:t>8</w:t>
            </w:r>
            <w:r>
              <w:rPr>
                <w:rFonts w:hint="eastAsia"/>
                <w:bCs/>
                <w:iCs/>
                <w:color w:val="000000"/>
              </w:rPr>
              <w:t>月</w:t>
            </w:r>
            <w:r>
              <w:rPr>
                <w:bCs/>
                <w:iCs/>
                <w:color w:val="000000"/>
              </w:rPr>
              <w:t>25</w:t>
            </w:r>
            <w:r>
              <w:rPr>
                <w:rFonts w:hint="eastAsia"/>
                <w:bCs/>
                <w:iCs/>
                <w:color w:val="000000"/>
              </w:rPr>
              <w:t>日</w:t>
            </w:r>
          </w:p>
        </w:tc>
      </w:tr>
    </w:tbl>
    <w:p w14:paraId="69C3F194" w14:textId="77777777" w:rsidR="001A7500" w:rsidRDefault="001A7500">
      <w:pPr>
        <w:ind w:firstLineChars="0" w:firstLine="0"/>
        <w:rPr>
          <w:rFonts w:ascii="宋体" w:hAnsi="宋体" w:cs="宋体"/>
          <w:color w:val="000000"/>
          <w:kern w:val="0"/>
          <w:lang w:bidi="ar"/>
        </w:rPr>
      </w:pPr>
    </w:p>
    <w:sectPr w:rsidR="001A7500">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097A85" w14:textId="77777777" w:rsidR="001A7500" w:rsidRDefault="00C95588">
      <w:pPr>
        <w:spacing w:line="240" w:lineRule="auto"/>
        <w:ind w:firstLine="480"/>
      </w:pPr>
      <w:r>
        <w:separator/>
      </w:r>
    </w:p>
  </w:endnote>
  <w:endnote w:type="continuationSeparator" w:id="0">
    <w:p w14:paraId="67AE1E33" w14:textId="77777777" w:rsidR="001A7500" w:rsidRDefault="00C95588">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5C996" w14:textId="77777777" w:rsidR="001A7500" w:rsidRDefault="001A7500">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6D926" w14:textId="77777777" w:rsidR="001A7500" w:rsidRDefault="001A7500">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34F45" w14:textId="77777777" w:rsidR="001A7500" w:rsidRDefault="001A7500">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BD5F0F" w14:textId="77777777" w:rsidR="001A7500" w:rsidRDefault="00C95588">
      <w:pPr>
        <w:ind w:firstLine="480"/>
      </w:pPr>
      <w:r>
        <w:separator/>
      </w:r>
    </w:p>
  </w:footnote>
  <w:footnote w:type="continuationSeparator" w:id="0">
    <w:p w14:paraId="78F473C0" w14:textId="77777777" w:rsidR="001A7500" w:rsidRDefault="00C95588">
      <w:pPr>
        <w:ind w:firstLine="48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2855E" w14:textId="77777777" w:rsidR="001A7500" w:rsidRDefault="001A7500">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ED87C" w14:textId="77777777" w:rsidR="001A7500" w:rsidRDefault="001A7500">
    <w:pPr>
      <w:spacing w:line="240" w:lineRule="auto"/>
      <w:ind w:firstLine="480"/>
      <w:jc w:val="center"/>
      <w:rPr>
        <w:rFonts w:ascii="宋体" w:hAnsi="宋体"/>
        <w:bC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F1065" w14:textId="77777777" w:rsidR="001A7500" w:rsidRDefault="001A7500">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NkZjA4Y2FhNzhiMGNkOWFkNDY4N2U3MDk3MTRjZjgifQ=="/>
    <w:docVar w:name="KSO_WPS_MARK_KEY" w:val="c9e77134-38d3-439c-a9fa-6fd0d7276fc5"/>
  </w:docVars>
  <w:rsids>
    <w:rsidRoot w:val="4C464239"/>
    <w:rsid w:val="0000042A"/>
    <w:rsid w:val="000416A5"/>
    <w:rsid w:val="00054889"/>
    <w:rsid w:val="0005683D"/>
    <w:rsid w:val="00072CDB"/>
    <w:rsid w:val="00075F62"/>
    <w:rsid w:val="000A2453"/>
    <w:rsid w:val="000A4DF2"/>
    <w:rsid w:val="000B0962"/>
    <w:rsid w:val="000C46C7"/>
    <w:rsid w:val="000C62AA"/>
    <w:rsid w:val="000D57F0"/>
    <w:rsid w:val="000D6F1B"/>
    <w:rsid w:val="000E0072"/>
    <w:rsid w:val="0010661B"/>
    <w:rsid w:val="0010748C"/>
    <w:rsid w:val="00112137"/>
    <w:rsid w:val="001145C4"/>
    <w:rsid w:val="00114605"/>
    <w:rsid w:val="00153EFB"/>
    <w:rsid w:val="00167000"/>
    <w:rsid w:val="00172FFC"/>
    <w:rsid w:val="00173108"/>
    <w:rsid w:val="00176A2D"/>
    <w:rsid w:val="00194BDA"/>
    <w:rsid w:val="001A7500"/>
    <w:rsid w:val="001D3F68"/>
    <w:rsid w:val="001D5AAD"/>
    <w:rsid w:val="001E0CF5"/>
    <w:rsid w:val="001F03A7"/>
    <w:rsid w:val="001F1175"/>
    <w:rsid w:val="001F2540"/>
    <w:rsid w:val="00206685"/>
    <w:rsid w:val="00206F58"/>
    <w:rsid w:val="002117B3"/>
    <w:rsid w:val="00221C02"/>
    <w:rsid w:val="002221DB"/>
    <w:rsid w:val="002229A0"/>
    <w:rsid w:val="00225D75"/>
    <w:rsid w:val="002309A8"/>
    <w:rsid w:val="00244DE9"/>
    <w:rsid w:val="002475A5"/>
    <w:rsid w:val="00247EF3"/>
    <w:rsid w:val="002536D2"/>
    <w:rsid w:val="00264F82"/>
    <w:rsid w:val="00271351"/>
    <w:rsid w:val="00272063"/>
    <w:rsid w:val="00274DA8"/>
    <w:rsid w:val="00280131"/>
    <w:rsid w:val="00281600"/>
    <w:rsid w:val="002829DE"/>
    <w:rsid w:val="0028690D"/>
    <w:rsid w:val="002A0AC0"/>
    <w:rsid w:val="002A2579"/>
    <w:rsid w:val="002C56ED"/>
    <w:rsid w:val="002C7122"/>
    <w:rsid w:val="002D5AAA"/>
    <w:rsid w:val="002E5D8B"/>
    <w:rsid w:val="002F1C84"/>
    <w:rsid w:val="003009D2"/>
    <w:rsid w:val="00303AD2"/>
    <w:rsid w:val="00307C20"/>
    <w:rsid w:val="00313583"/>
    <w:rsid w:val="00317EC8"/>
    <w:rsid w:val="00324D9E"/>
    <w:rsid w:val="00333FC7"/>
    <w:rsid w:val="0033455F"/>
    <w:rsid w:val="003417D5"/>
    <w:rsid w:val="00360592"/>
    <w:rsid w:val="003614AE"/>
    <w:rsid w:val="00364D27"/>
    <w:rsid w:val="00382A7E"/>
    <w:rsid w:val="00383159"/>
    <w:rsid w:val="0039233D"/>
    <w:rsid w:val="00396D29"/>
    <w:rsid w:val="003B1B81"/>
    <w:rsid w:val="003B1EDE"/>
    <w:rsid w:val="003B5BCD"/>
    <w:rsid w:val="003C0EAE"/>
    <w:rsid w:val="003E19E4"/>
    <w:rsid w:val="003E1A15"/>
    <w:rsid w:val="003E6645"/>
    <w:rsid w:val="003E78C4"/>
    <w:rsid w:val="00404BA0"/>
    <w:rsid w:val="004062D1"/>
    <w:rsid w:val="0041338D"/>
    <w:rsid w:val="004221B8"/>
    <w:rsid w:val="00427425"/>
    <w:rsid w:val="00441E36"/>
    <w:rsid w:val="00441ED5"/>
    <w:rsid w:val="00444B01"/>
    <w:rsid w:val="00444D56"/>
    <w:rsid w:val="00451721"/>
    <w:rsid w:val="00452EF7"/>
    <w:rsid w:val="00477C83"/>
    <w:rsid w:val="00477E7B"/>
    <w:rsid w:val="004851C1"/>
    <w:rsid w:val="0049513B"/>
    <w:rsid w:val="00495D97"/>
    <w:rsid w:val="004A4958"/>
    <w:rsid w:val="004A6D07"/>
    <w:rsid w:val="004B1266"/>
    <w:rsid w:val="004C015D"/>
    <w:rsid w:val="004D2C93"/>
    <w:rsid w:val="004D2F35"/>
    <w:rsid w:val="004E0AE0"/>
    <w:rsid w:val="004E1A9F"/>
    <w:rsid w:val="004E64EC"/>
    <w:rsid w:val="004F1F32"/>
    <w:rsid w:val="004F6B19"/>
    <w:rsid w:val="005175BF"/>
    <w:rsid w:val="00525B7F"/>
    <w:rsid w:val="005263DF"/>
    <w:rsid w:val="00536020"/>
    <w:rsid w:val="0054106F"/>
    <w:rsid w:val="005411B1"/>
    <w:rsid w:val="0054178E"/>
    <w:rsid w:val="005432EB"/>
    <w:rsid w:val="00545D6F"/>
    <w:rsid w:val="0056320B"/>
    <w:rsid w:val="0057682D"/>
    <w:rsid w:val="00583BB6"/>
    <w:rsid w:val="005866F4"/>
    <w:rsid w:val="00591F26"/>
    <w:rsid w:val="005929E1"/>
    <w:rsid w:val="00597173"/>
    <w:rsid w:val="005A4DA2"/>
    <w:rsid w:val="005C77A7"/>
    <w:rsid w:val="005D0074"/>
    <w:rsid w:val="005D2CEC"/>
    <w:rsid w:val="005D4235"/>
    <w:rsid w:val="005D7AFA"/>
    <w:rsid w:val="005E043F"/>
    <w:rsid w:val="005F331B"/>
    <w:rsid w:val="005F3E45"/>
    <w:rsid w:val="00606A55"/>
    <w:rsid w:val="0061058A"/>
    <w:rsid w:val="00615F97"/>
    <w:rsid w:val="006162EE"/>
    <w:rsid w:val="006327D7"/>
    <w:rsid w:val="006350F0"/>
    <w:rsid w:val="006375DE"/>
    <w:rsid w:val="00642C9C"/>
    <w:rsid w:val="00657F78"/>
    <w:rsid w:val="00663A0F"/>
    <w:rsid w:val="00665760"/>
    <w:rsid w:val="00685976"/>
    <w:rsid w:val="006872A8"/>
    <w:rsid w:val="00694994"/>
    <w:rsid w:val="00694AF1"/>
    <w:rsid w:val="006B46BD"/>
    <w:rsid w:val="006D44B9"/>
    <w:rsid w:val="006E1D17"/>
    <w:rsid w:val="006E2C37"/>
    <w:rsid w:val="006E3913"/>
    <w:rsid w:val="006E5609"/>
    <w:rsid w:val="006E7137"/>
    <w:rsid w:val="0073474B"/>
    <w:rsid w:val="00735715"/>
    <w:rsid w:val="00765788"/>
    <w:rsid w:val="00766469"/>
    <w:rsid w:val="00766AE7"/>
    <w:rsid w:val="007961B3"/>
    <w:rsid w:val="007C3BF9"/>
    <w:rsid w:val="007C4C4E"/>
    <w:rsid w:val="007C4D29"/>
    <w:rsid w:val="007C4F01"/>
    <w:rsid w:val="007E145C"/>
    <w:rsid w:val="007E1558"/>
    <w:rsid w:val="007E5B2E"/>
    <w:rsid w:val="007E7250"/>
    <w:rsid w:val="007F0E29"/>
    <w:rsid w:val="007F3C89"/>
    <w:rsid w:val="007F7938"/>
    <w:rsid w:val="00811140"/>
    <w:rsid w:val="00812415"/>
    <w:rsid w:val="00812D16"/>
    <w:rsid w:val="008340F4"/>
    <w:rsid w:val="008423AD"/>
    <w:rsid w:val="008453B5"/>
    <w:rsid w:val="0084574B"/>
    <w:rsid w:val="0085196C"/>
    <w:rsid w:val="00857D09"/>
    <w:rsid w:val="00866657"/>
    <w:rsid w:val="00894147"/>
    <w:rsid w:val="008960D9"/>
    <w:rsid w:val="008A1F5C"/>
    <w:rsid w:val="008C5EC8"/>
    <w:rsid w:val="008F0699"/>
    <w:rsid w:val="008F1ED9"/>
    <w:rsid w:val="009001C5"/>
    <w:rsid w:val="0090566B"/>
    <w:rsid w:val="00913C3F"/>
    <w:rsid w:val="0092045D"/>
    <w:rsid w:val="00921EFA"/>
    <w:rsid w:val="00931795"/>
    <w:rsid w:val="009365D8"/>
    <w:rsid w:val="00941658"/>
    <w:rsid w:val="00941FB6"/>
    <w:rsid w:val="0099127F"/>
    <w:rsid w:val="009B5281"/>
    <w:rsid w:val="009C06AF"/>
    <w:rsid w:val="009C2749"/>
    <w:rsid w:val="009E5CBD"/>
    <w:rsid w:val="00A03CFB"/>
    <w:rsid w:val="00A1754B"/>
    <w:rsid w:val="00A2167B"/>
    <w:rsid w:val="00A25F27"/>
    <w:rsid w:val="00A37B0A"/>
    <w:rsid w:val="00A46227"/>
    <w:rsid w:val="00A64516"/>
    <w:rsid w:val="00A8014E"/>
    <w:rsid w:val="00A82D32"/>
    <w:rsid w:val="00A85406"/>
    <w:rsid w:val="00A913E1"/>
    <w:rsid w:val="00A91C6D"/>
    <w:rsid w:val="00AA054E"/>
    <w:rsid w:val="00AB58ED"/>
    <w:rsid w:val="00AB67EA"/>
    <w:rsid w:val="00AC24E5"/>
    <w:rsid w:val="00AC363E"/>
    <w:rsid w:val="00AC5075"/>
    <w:rsid w:val="00AC5B85"/>
    <w:rsid w:val="00AE0340"/>
    <w:rsid w:val="00AE5141"/>
    <w:rsid w:val="00AE7100"/>
    <w:rsid w:val="00B031C9"/>
    <w:rsid w:val="00B27C01"/>
    <w:rsid w:val="00B365F1"/>
    <w:rsid w:val="00B40F30"/>
    <w:rsid w:val="00B43CC5"/>
    <w:rsid w:val="00B46BAD"/>
    <w:rsid w:val="00B513B7"/>
    <w:rsid w:val="00B51B9D"/>
    <w:rsid w:val="00B6233E"/>
    <w:rsid w:val="00B7239B"/>
    <w:rsid w:val="00B76708"/>
    <w:rsid w:val="00B8060F"/>
    <w:rsid w:val="00B97AF2"/>
    <w:rsid w:val="00BC2204"/>
    <w:rsid w:val="00BD6AE3"/>
    <w:rsid w:val="00C00951"/>
    <w:rsid w:val="00C07C74"/>
    <w:rsid w:val="00C07D03"/>
    <w:rsid w:val="00C12014"/>
    <w:rsid w:val="00C27462"/>
    <w:rsid w:val="00C31188"/>
    <w:rsid w:val="00C3310D"/>
    <w:rsid w:val="00C345CD"/>
    <w:rsid w:val="00C45847"/>
    <w:rsid w:val="00C734B1"/>
    <w:rsid w:val="00C748DF"/>
    <w:rsid w:val="00C93D71"/>
    <w:rsid w:val="00C95588"/>
    <w:rsid w:val="00CD6640"/>
    <w:rsid w:val="00CD7119"/>
    <w:rsid w:val="00CE3812"/>
    <w:rsid w:val="00CE7453"/>
    <w:rsid w:val="00CF601E"/>
    <w:rsid w:val="00CF7FE4"/>
    <w:rsid w:val="00D259B0"/>
    <w:rsid w:val="00D37767"/>
    <w:rsid w:val="00D40B66"/>
    <w:rsid w:val="00D41127"/>
    <w:rsid w:val="00D44324"/>
    <w:rsid w:val="00D51503"/>
    <w:rsid w:val="00D52630"/>
    <w:rsid w:val="00D53FAB"/>
    <w:rsid w:val="00D64F5B"/>
    <w:rsid w:val="00D66DEA"/>
    <w:rsid w:val="00D87F8B"/>
    <w:rsid w:val="00D904C2"/>
    <w:rsid w:val="00D912CB"/>
    <w:rsid w:val="00DB6D85"/>
    <w:rsid w:val="00DC42BC"/>
    <w:rsid w:val="00DF5A6A"/>
    <w:rsid w:val="00E00922"/>
    <w:rsid w:val="00E168C6"/>
    <w:rsid w:val="00E22C38"/>
    <w:rsid w:val="00E2658F"/>
    <w:rsid w:val="00E31B76"/>
    <w:rsid w:val="00E46E62"/>
    <w:rsid w:val="00E569BB"/>
    <w:rsid w:val="00E774C8"/>
    <w:rsid w:val="00E83E7D"/>
    <w:rsid w:val="00E8720F"/>
    <w:rsid w:val="00E9159E"/>
    <w:rsid w:val="00EA21B2"/>
    <w:rsid w:val="00EB5FD4"/>
    <w:rsid w:val="00EC0CB6"/>
    <w:rsid w:val="00EF4773"/>
    <w:rsid w:val="00F01CB6"/>
    <w:rsid w:val="00F14F34"/>
    <w:rsid w:val="00F43B78"/>
    <w:rsid w:val="00F51741"/>
    <w:rsid w:val="00F54EE4"/>
    <w:rsid w:val="00F61E74"/>
    <w:rsid w:val="00F62D94"/>
    <w:rsid w:val="00F67574"/>
    <w:rsid w:val="00F72591"/>
    <w:rsid w:val="00F836F0"/>
    <w:rsid w:val="00F90CE1"/>
    <w:rsid w:val="00F9352D"/>
    <w:rsid w:val="00FA2103"/>
    <w:rsid w:val="00FA6C6C"/>
    <w:rsid w:val="00FB1E4A"/>
    <w:rsid w:val="00FC02B1"/>
    <w:rsid w:val="00FC295C"/>
    <w:rsid w:val="00FC635B"/>
    <w:rsid w:val="00FD2A2E"/>
    <w:rsid w:val="00FD308B"/>
    <w:rsid w:val="00FE70D8"/>
    <w:rsid w:val="01234FE0"/>
    <w:rsid w:val="01502D10"/>
    <w:rsid w:val="0244428D"/>
    <w:rsid w:val="04F670C0"/>
    <w:rsid w:val="04FB15C8"/>
    <w:rsid w:val="06A93138"/>
    <w:rsid w:val="06BE7A2F"/>
    <w:rsid w:val="0A141655"/>
    <w:rsid w:val="0A232419"/>
    <w:rsid w:val="0B601776"/>
    <w:rsid w:val="0E3A7A5E"/>
    <w:rsid w:val="0F5172E4"/>
    <w:rsid w:val="0FB45D3D"/>
    <w:rsid w:val="10F61636"/>
    <w:rsid w:val="111A7F35"/>
    <w:rsid w:val="11BB005F"/>
    <w:rsid w:val="13E94E98"/>
    <w:rsid w:val="13F41679"/>
    <w:rsid w:val="145044DA"/>
    <w:rsid w:val="1511125D"/>
    <w:rsid w:val="16AF7B64"/>
    <w:rsid w:val="17B179BF"/>
    <w:rsid w:val="1BD91EA9"/>
    <w:rsid w:val="1D4E4D5C"/>
    <w:rsid w:val="1D8A34E9"/>
    <w:rsid w:val="1DA23FF1"/>
    <w:rsid w:val="1EBC1835"/>
    <w:rsid w:val="1F6745C6"/>
    <w:rsid w:val="20255703"/>
    <w:rsid w:val="21582E98"/>
    <w:rsid w:val="22B14FED"/>
    <w:rsid w:val="23214F26"/>
    <w:rsid w:val="25137AB5"/>
    <w:rsid w:val="252510E2"/>
    <w:rsid w:val="261A2F71"/>
    <w:rsid w:val="26D03852"/>
    <w:rsid w:val="28D40A43"/>
    <w:rsid w:val="295E47AB"/>
    <w:rsid w:val="2A0B22AF"/>
    <w:rsid w:val="2B96237A"/>
    <w:rsid w:val="2C802549"/>
    <w:rsid w:val="2C974366"/>
    <w:rsid w:val="2D0C5076"/>
    <w:rsid w:val="2DAB2A2E"/>
    <w:rsid w:val="2ED83964"/>
    <w:rsid w:val="2FEE7FD3"/>
    <w:rsid w:val="30506672"/>
    <w:rsid w:val="31B86E8C"/>
    <w:rsid w:val="32FA4514"/>
    <w:rsid w:val="32FB2E93"/>
    <w:rsid w:val="358520A4"/>
    <w:rsid w:val="35E2495D"/>
    <w:rsid w:val="361436B2"/>
    <w:rsid w:val="365B4235"/>
    <w:rsid w:val="36C32AA7"/>
    <w:rsid w:val="36D93CDC"/>
    <w:rsid w:val="36E713FF"/>
    <w:rsid w:val="37382FE8"/>
    <w:rsid w:val="386B36DD"/>
    <w:rsid w:val="3ABC3E96"/>
    <w:rsid w:val="3BA935E9"/>
    <w:rsid w:val="3E546A69"/>
    <w:rsid w:val="3E901EE1"/>
    <w:rsid w:val="3F1E0435"/>
    <w:rsid w:val="3FBA4920"/>
    <w:rsid w:val="40980764"/>
    <w:rsid w:val="40AD49D3"/>
    <w:rsid w:val="40BA6693"/>
    <w:rsid w:val="4447737B"/>
    <w:rsid w:val="44680FD8"/>
    <w:rsid w:val="44867AEB"/>
    <w:rsid w:val="45060DC3"/>
    <w:rsid w:val="466E7585"/>
    <w:rsid w:val="475143C5"/>
    <w:rsid w:val="48CF5863"/>
    <w:rsid w:val="49CC144D"/>
    <w:rsid w:val="4BF9574E"/>
    <w:rsid w:val="4C410F9B"/>
    <w:rsid w:val="4C464239"/>
    <w:rsid w:val="50774629"/>
    <w:rsid w:val="507C320F"/>
    <w:rsid w:val="529E1268"/>
    <w:rsid w:val="52EB0BC7"/>
    <w:rsid w:val="557963A3"/>
    <w:rsid w:val="56903F5F"/>
    <w:rsid w:val="571C73E3"/>
    <w:rsid w:val="57374A11"/>
    <w:rsid w:val="5AF80325"/>
    <w:rsid w:val="5AFD593B"/>
    <w:rsid w:val="5D0D455B"/>
    <w:rsid w:val="5D131F08"/>
    <w:rsid w:val="5E082837"/>
    <w:rsid w:val="5E802817"/>
    <w:rsid w:val="5F99000F"/>
    <w:rsid w:val="622D66DF"/>
    <w:rsid w:val="62535E8B"/>
    <w:rsid w:val="63647270"/>
    <w:rsid w:val="654E74BF"/>
    <w:rsid w:val="662F78AA"/>
    <w:rsid w:val="67504A1F"/>
    <w:rsid w:val="677D6C3B"/>
    <w:rsid w:val="679C3CDE"/>
    <w:rsid w:val="68727938"/>
    <w:rsid w:val="68A13DAA"/>
    <w:rsid w:val="69617F7B"/>
    <w:rsid w:val="6B6B2A60"/>
    <w:rsid w:val="6D3639C4"/>
    <w:rsid w:val="6E2C05BA"/>
    <w:rsid w:val="6E92241A"/>
    <w:rsid w:val="6ED03AA2"/>
    <w:rsid w:val="6F0B53B7"/>
    <w:rsid w:val="6FB90C23"/>
    <w:rsid w:val="6FD35D9C"/>
    <w:rsid w:val="70801882"/>
    <w:rsid w:val="70A01788"/>
    <w:rsid w:val="729D5593"/>
    <w:rsid w:val="72A72905"/>
    <w:rsid w:val="73D94E13"/>
    <w:rsid w:val="74C07CAE"/>
    <w:rsid w:val="76B854AE"/>
    <w:rsid w:val="778E68BB"/>
    <w:rsid w:val="79A225D4"/>
    <w:rsid w:val="7A2603C8"/>
    <w:rsid w:val="7B013661"/>
    <w:rsid w:val="7BE63AA2"/>
    <w:rsid w:val="7D354697"/>
    <w:rsid w:val="7E866635"/>
    <w:rsid w:val="7E9764D0"/>
    <w:rsid w:val="7EF667A6"/>
    <w:rsid w:val="7F477001"/>
    <w:rsid w:val="7FBB16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2F8D0E"/>
  <w15:docId w15:val="{BC307B18-AA4F-4E15-9520-33129C10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unhideWhenUsed="1" w:qFormat="1"/>
    <w:lsdException w:name="footer" w:uiPriority="99" w:unhideWhenUsed="1"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60" w:lineRule="auto"/>
      <w:ind w:firstLineChars="200" w:firstLine="20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alloon Text"/>
    <w:basedOn w:val="a"/>
    <w:link w:val="a6"/>
    <w:qFormat/>
    <w:pPr>
      <w:spacing w:line="240" w:lineRule="auto"/>
    </w:pPr>
    <w:rPr>
      <w:sz w:val="18"/>
      <w:szCs w:val="18"/>
    </w:rPr>
  </w:style>
  <w:style w:type="paragraph" w:styleId="a7">
    <w:name w:val="footer"/>
    <w:basedOn w:val="a"/>
    <w:uiPriority w:val="99"/>
    <w:unhideWhenUsed/>
    <w:qFormat/>
    <w:pPr>
      <w:tabs>
        <w:tab w:val="center" w:pos="4153"/>
        <w:tab w:val="right" w:pos="8306"/>
      </w:tabs>
      <w:snapToGrid w:val="0"/>
      <w:spacing w:line="240" w:lineRule="auto"/>
      <w:ind w:firstLineChars="0" w:firstLine="0"/>
      <w:jc w:val="left"/>
    </w:pPr>
    <w:rPr>
      <w:rFonts w:asciiTheme="minorHAnsi" w:eastAsiaTheme="minorEastAsia" w:hAnsiTheme="minorHAnsi" w:cstheme="minorBidi"/>
      <w:sz w:val="18"/>
      <w:szCs w:val="18"/>
    </w:rPr>
  </w:style>
  <w:style w:type="paragraph" w:styleId="a8">
    <w:name w:val="header"/>
    <w:basedOn w:val="a"/>
    <w:uiPriority w:val="99"/>
    <w:unhideWhenUsed/>
    <w:qFormat/>
    <w:pPr>
      <w:pBdr>
        <w:bottom w:val="single" w:sz="6" w:space="1" w:color="auto"/>
      </w:pBdr>
      <w:tabs>
        <w:tab w:val="center" w:pos="4153"/>
        <w:tab w:val="right" w:pos="8306"/>
      </w:tabs>
      <w:snapToGrid w:val="0"/>
      <w:spacing w:line="240" w:lineRule="auto"/>
      <w:ind w:firstLineChars="0" w:firstLine="0"/>
      <w:jc w:val="center"/>
    </w:pPr>
    <w:rPr>
      <w:rFonts w:asciiTheme="minorHAnsi" w:eastAsiaTheme="minorEastAsia" w:hAnsiTheme="minorHAnsi" w:cstheme="minorBidi"/>
      <w:sz w:val="18"/>
      <w:szCs w:val="18"/>
    </w:rPr>
  </w:style>
  <w:style w:type="paragraph" w:styleId="a9">
    <w:name w:val="annotation subject"/>
    <w:basedOn w:val="a3"/>
    <w:next w:val="a3"/>
    <w:link w:val="aa"/>
    <w:qFormat/>
    <w:rPr>
      <w:b/>
      <w:bCs/>
    </w:rPr>
  </w:style>
  <w:style w:type="table" w:styleId="ab">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qFormat/>
    <w:rPr>
      <w:color w:val="0000FF"/>
      <w:u w:val="single"/>
    </w:rPr>
  </w:style>
  <w:style w:type="character" w:styleId="ad">
    <w:name w:val="annotation reference"/>
    <w:basedOn w:val="a0"/>
    <w:qFormat/>
    <w:rPr>
      <w:sz w:val="21"/>
      <w:szCs w:val="21"/>
    </w:rPr>
  </w:style>
  <w:style w:type="paragraph" w:styleId="ae">
    <w:name w:val="List Paragraph"/>
    <w:basedOn w:val="a"/>
    <w:uiPriority w:val="34"/>
    <w:qFormat/>
    <w:pPr>
      <w:ind w:firstLine="420"/>
    </w:pPr>
  </w:style>
  <w:style w:type="character" w:customStyle="1" w:styleId="a4">
    <w:name w:val="批注文字 字符"/>
    <w:basedOn w:val="a0"/>
    <w:link w:val="a3"/>
    <w:qFormat/>
    <w:rPr>
      <w:kern w:val="2"/>
      <w:sz w:val="24"/>
      <w:szCs w:val="24"/>
    </w:rPr>
  </w:style>
  <w:style w:type="character" w:customStyle="1" w:styleId="aa">
    <w:name w:val="批注主题 字符"/>
    <w:basedOn w:val="a4"/>
    <w:link w:val="a9"/>
    <w:qFormat/>
    <w:rPr>
      <w:b/>
      <w:bCs/>
      <w:kern w:val="2"/>
      <w:sz w:val="24"/>
      <w:szCs w:val="24"/>
    </w:rPr>
  </w:style>
  <w:style w:type="paragraph" w:customStyle="1" w:styleId="1">
    <w:name w:val="修订1"/>
    <w:hidden/>
    <w:uiPriority w:val="99"/>
    <w:semiHidden/>
    <w:qFormat/>
    <w:rPr>
      <w:kern w:val="2"/>
      <w:sz w:val="24"/>
      <w:szCs w:val="24"/>
    </w:rPr>
  </w:style>
  <w:style w:type="character" w:customStyle="1" w:styleId="a6">
    <w:name w:val="批注框文本 字符"/>
    <w:basedOn w:val="a0"/>
    <w:link w:val="a5"/>
    <w:qFormat/>
    <w:rPr>
      <w:kern w:val="2"/>
      <w:sz w:val="18"/>
      <w:szCs w:val="18"/>
    </w:rPr>
  </w:style>
  <w:style w:type="paragraph" w:customStyle="1" w:styleId="2">
    <w:name w:val="修订2"/>
    <w:hidden/>
    <w:uiPriority w:val="99"/>
    <w:semiHidden/>
    <w:qFormat/>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F3AC7-9AB1-4BD6-B930-B326393F5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Pages>
  <Words>1690</Words>
  <Characters>362</Characters>
  <Application>Microsoft Office Word</Application>
  <DocSecurity>0</DocSecurity>
  <Lines>3</Lines>
  <Paragraphs>4</Paragraphs>
  <ScaleCrop>false</ScaleCrop>
  <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dc:creator>
  <cp:lastModifiedBy>苏打</cp:lastModifiedBy>
  <cp:revision>13</cp:revision>
  <cp:lastPrinted>2021-07-15T03:39:00Z</cp:lastPrinted>
  <dcterms:created xsi:type="dcterms:W3CDTF">2026-04-16T07:33:00Z</dcterms:created>
  <dcterms:modified xsi:type="dcterms:W3CDTF">2026-08-27T08:31:00Z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CC2BBD4730924BAE80D9148B686E36E1_13</vt:lpwstr>
  </property>
  <property fmtid="{D5CDD505-2E9C-101B-9397-08002B2CF9AE}" pid="4" name="KSOTemplateDocerSaveRecord">
    <vt:lpwstr>eyJoZGlkIjoiZTk3ZjE0YzhhNDMxZDQ5MzYxZmUxMjE2ZTM5MDA4YzgiLCJ1c2VySWQiOiIyMzkwNzE1OTcifQ==</vt:lpwstr>
  </property>
</Properties>
</file>