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A6D609">
      <w:pPr>
        <w:jc w:val="right"/>
        <w:rPr>
          <w:rFonts w:ascii="宋体" w:hAnsi="宋体" w:eastAsia="宋体" w:cs="宋体"/>
          <w:sz w:val="24"/>
        </w:rPr>
      </w:pPr>
      <w:r>
        <w:rPr>
          <w:rFonts w:hint="eastAsia" w:ascii="宋体" w:hAnsi="宋体" w:eastAsia="宋体" w:cs="宋体"/>
          <w:sz w:val="24"/>
        </w:rPr>
        <w:t xml:space="preserve">证券代码：688388                             </w:t>
      </w:r>
      <w:r>
        <w:rPr>
          <w:rFonts w:hint="eastAsia" w:ascii="宋体" w:hAnsi="宋体" w:eastAsia="宋体" w:cs="宋体"/>
          <w:sz w:val="24"/>
          <w:lang w:val="en-US" w:eastAsia="zh-CN"/>
        </w:rPr>
        <w:t xml:space="preserve"> </w:t>
      </w:r>
      <w:r>
        <w:rPr>
          <w:rFonts w:hint="eastAsia" w:ascii="宋体" w:hAnsi="宋体" w:eastAsia="宋体" w:cs="宋体"/>
          <w:sz w:val="24"/>
        </w:rPr>
        <w:t xml:space="preserve">  </w:t>
      </w:r>
      <w:r>
        <w:rPr>
          <w:rFonts w:hint="eastAsia" w:ascii="宋体" w:hAnsi="宋体" w:eastAsia="宋体" w:cs="宋体"/>
          <w:sz w:val="24"/>
          <w:lang w:val="en-US" w:eastAsia="zh-CN"/>
        </w:rPr>
        <w:t xml:space="preserve">   </w:t>
      </w:r>
      <w:r>
        <w:rPr>
          <w:rFonts w:hint="eastAsia" w:ascii="宋体" w:hAnsi="宋体" w:eastAsia="宋体" w:cs="宋体"/>
          <w:sz w:val="24"/>
        </w:rPr>
        <w:t>证券简称：嘉元科技</w:t>
      </w:r>
    </w:p>
    <w:p w14:paraId="2C13F363">
      <w:pPr>
        <w:rPr>
          <w:rFonts w:ascii="宋体" w:hAnsi="宋体" w:eastAsia="宋体" w:cs="宋体"/>
        </w:rPr>
      </w:pPr>
    </w:p>
    <w:p w14:paraId="3DFA6C5C">
      <w:pPr>
        <w:jc w:val="center"/>
        <w:rPr>
          <w:rFonts w:ascii="宋体" w:hAnsi="宋体" w:eastAsia="宋体" w:cs="宋体"/>
          <w:b/>
          <w:bCs/>
          <w:sz w:val="30"/>
          <w:szCs w:val="30"/>
        </w:rPr>
      </w:pPr>
      <w:r>
        <w:rPr>
          <w:rFonts w:hint="eastAsia" w:ascii="宋体" w:hAnsi="宋体" w:eastAsia="宋体" w:cs="宋体"/>
          <w:b/>
          <w:bCs/>
          <w:sz w:val="30"/>
          <w:szCs w:val="30"/>
        </w:rPr>
        <w:t>广东嘉元科技股份有限公司投资者关系活动记录表</w:t>
      </w:r>
    </w:p>
    <w:tbl>
      <w:tblPr>
        <w:tblStyle w:val="4"/>
        <w:tblW w:w="85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850"/>
      </w:tblGrid>
      <w:tr w14:paraId="6DB50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8" w:hRule="atLeast"/>
          <w:jc w:val="center"/>
        </w:trPr>
        <w:tc>
          <w:tcPr>
            <w:tcW w:w="1661" w:type="dxa"/>
            <w:vAlign w:val="center"/>
          </w:tcPr>
          <w:p w14:paraId="7A52B37E">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投资者关系</w:t>
            </w:r>
          </w:p>
          <w:p w14:paraId="4498730B">
            <w:pPr>
              <w:spacing w:line="360" w:lineRule="auto"/>
              <w:jc w:val="center"/>
              <w:rPr>
                <w:rFonts w:ascii="宋体" w:hAnsi="宋体" w:eastAsia="宋体" w:cs="宋体"/>
                <w:b/>
                <w:bCs/>
                <w:color w:val="auto"/>
                <w:sz w:val="30"/>
                <w:szCs w:val="30"/>
                <w:highlight w:val="none"/>
              </w:rPr>
            </w:pPr>
            <w:r>
              <w:rPr>
                <w:rFonts w:hint="eastAsia" w:ascii="宋体" w:hAnsi="宋体" w:eastAsia="宋体" w:cs="宋体"/>
                <w:color w:val="auto"/>
                <w:sz w:val="24"/>
                <w:highlight w:val="none"/>
              </w:rPr>
              <w:t>活动类别</w:t>
            </w:r>
          </w:p>
        </w:tc>
        <w:tc>
          <w:tcPr>
            <w:tcW w:w="6850" w:type="dxa"/>
            <w:vAlign w:val="center"/>
          </w:tcPr>
          <w:p w14:paraId="0C11FC58">
            <w:pPr>
              <w:spacing w:line="360" w:lineRule="auto"/>
              <w:jc w:val="left"/>
              <w:rPr>
                <w:rFonts w:ascii="宋体" w:hAnsi="宋体" w:eastAsia="宋体" w:cs="宋体"/>
                <w:color w:val="auto"/>
                <w:sz w:val="24"/>
                <w:highlight w:val="none"/>
              </w:rPr>
            </w:pPr>
            <w:r>
              <w:rPr>
                <w:rFonts w:hint="eastAsia" w:ascii="宋体" w:hAnsi="宋体" w:eastAsia="宋体" w:cs="宋体"/>
                <w:color w:val="auto"/>
                <w:sz w:val="24"/>
                <w:highlight w:val="none"/>
              </w:rPr>
              <w:sym w:font="Wingdings 2" w:char="00A3"/>
            </w:r>
            <w:r>
              <w:rPr>
                <w:rFonts w:hint="eastAsia" w:ascii="宋体" w:hAnsi="宋体" w:eastAsia="宋体" w:cs="宋体"/>
                <w:color w:val="auto"/>
                <w:sz w:val="24"/>
                <w:highlight w:val="none"/>
              </w:rPr>
              <w:t xml:space="preserve">特定对象调研      </w:t>
            </w:r>
            <w:r>
              <w:rPr>
                <w:rFonts w:hint="eastAsia" w:ascii="宋体" w:hAnsi="宋体" w:eastAsia="宋体" w:cs="宋体"/>
                <w:color w:val="auto"/>
                <w:sz w:val="24"/>
                <w:highlight w:val="none"/>
              </w:rPr>
              <w:sym w:font="Wingdings 2" w:char="00A3"/>
            </w:r>
            <w:r>
              <w:rPr>
                <w:rFonts w:hint="eastAsia" w:ascii="宋体" w:hAnsi="宋体" w:eastAsia="宋体" w:cs="宋体"/>
                <w:color w:val="auto"/>
                <w:sz w:val="24"/>
                <w:highlight w:val="none"/>
              </w:rPr>
              <w:t>分析师会议</w:t>
            </w:r>
          </w:p>
          <w:p w14:paraId="1D8A5E70">
            <w:pPr>
              <w:spacing w:line="360" w:lineRule="auto"/>
              <w:jc w:val="left"/>
              <w:rPr>
                <w:rFonts w:ascii="宋体" w:hAnsi="宋体" w:eastAsia="宋体" w:cs="宋体"/>
                <w:color w:val="auto"/>
                <w:sz w:val="24"/>
                <w:highlight w:val="none"/>
              </w:rPr>
            </w:pPr>
            <w:r>
              <w:rPr>
                <w:rFonts w:hint="eastAsia" w:ascii="宋体" w:hAnsi="宋体" w:eastAsia="宋体" w:cs="宋体"/>
                <w:color w:val="auto"/>
                <w:sz w:val="24"/>
                <w:highlight w:val="none"/>
              </w:rPr>
              <w:sym w:font="Wingdings 2" w:char="00A3"/>
            </w:r>
            <w:r>
              <w:rPr>
                <w:rFonts w:hint="eastAsia" w:ascii="宋体" w:hAnsi="宋体" w:eastAsia="宋体" w:cs="宋体"/>
                <w:color w:val="auto"/>
                <w:sz w:val="24"/>
                <w:highlight w:val="none"/>
              </w:rPr>
              <w:t xml:space="preserve">媒体采访          </w:t>
            </w:r>
            <w:r>
              <w:rPr>
                <w:rFonts w:hint="eastAsia" w:ascii="宋体" w:hAnsi="宋体" w:eastAsia="宋体" w:cs="宋体"/>
                <w:color w:val="auto"/>
                <w:sz w:val="24"/>
                <w:highlight w:val="none"/>
              </w:rPr>
              <w:sym w:font="Wingdings 2" w:char="0052"/>
            </w:r>
            <w:r>
              <w:rPr>
                <w:rFonts w:hint="eastAsia" w:ascii="宋体" w:hAnsi="宋体" w:eastAsia="宋体" w:cs="宋体"/>
                <w:color w:val="auto"/>
                <w:sz w:val="24"/>
                <w:highlight w:val="none"/>
              </w:rPr>
              <w:t>业绩说明会</w:t>
            </w:r>
          </w:p>
          <w:p w14:paraId="5DE3C779">
            <w:pPr>
              <w:spacing w:line="360" w:lineRule="auto"/>
              <w:jc w:val="left"/>
              <w:rPr>
                <w:rFonts w:ascii="宋体" w:hAnsi="宋体" w:eastAsia="宋体" w:cs="宋体"/>
                <w:color w:val="auto"/>
                <w:sz w:val="24"/>
                <w:highlight w:val="none"/>
              </w:rPr>
            </w:pPr>
            <w:r>
              <w:rPr>
                <w:rFonts w:hint="eastAsia" w:ascii="宋体" w:hAnsi="宋体" w:eastAsia="宋体" w:cs="宋体"/>
                <w:color w:val="auto"/>
                <w:sz w:val="24"/>
                <w:highlight w:val="none"/>
              </w:rPr>
              <w:sym w:font="Wingdings 2" w:char="00A3"/>
            </w:r>
            <w:r>
              <w:rPr>
                <w:rFonts w:hint="eastAsia" w:ascii="宋体" w:hAnsi="宋体" w:eastAsia="宋体" w:cs="宋体"/>
                <w:color w:val="auto"/>
                <w:sz w:val="24"/>
                <w:highlight w:val="none"/>
              </w:rPr>
              <w:t xml:space="preserve">新闻发布会        </w:t>
            </w:r>
            <w:r>
              <w:rPr>
                <w:rFonts w:hint="eastAsia" w:ascii="宋体" w:hAnsi="宋体" w:eastAsia="宋体" w:cs="宋体"/>
                <w:color w:val="auto"/>
                <w:sz w:val="24"/>
                <w:highlight w:val="none"/>
              </w:rPr>
              <w:sym w:font="Wingdings 2" w:char="00A3"/>
            </w:r>
            <w:r>
              <w:rPr>
                <w:rFonts w:hint="eastAsia" w:ascii="宋体" w:hAnsi="宋体" w:eastAsia="宋体" w:cs="宋体"/>
                <w:color w:val="auto"/>
                <w:sz w:val="24"/>
                <w:highlight w:val="none"/>
              </w:rPr>
              <w:t>路演活动</w:t>
            </w:r>
          </w:p>
          <w:p w14:paraId="48F16397">
            <w:pPr>
              <w:spacing w:line="360" w:lineRule="auto"/>
              <w:jc w:val="left"/>
              <w:rPr>
                <w:rFonts w:ascii="宋体" w:hAnsi="宋体" w:eastAsia="宋体" w:cs="宋体"/>
                <w:color w:val="auto"/>
                <w:sz w:val="24"/>
                <w:highlight w:val="none"/>
              </w:rPr>
            </w:pPr>
            <w:r>
              <w:rPr>
                <w:rFonts w:hint="eastAsia" w:ascii="宋体" w:hAnsi="宋体" w:eastAsia="宋体" w:cs="宋体"/>
                <w:color w:val="auto"/>
                <w:sz w:val="24"/>
                <w:highlight w:val="none"/>
              </w:rPr>
              <w:sym w:font="Wingdings 2" w:char="00A3"/>
            </w:r>
            <w:r>
              <w:rPr>
                <w:rFonts w:hint="eastAsia" w:ascii="宋体" w:hAnsi="宋体" w:eastAsia="宋体" w:cs="宋体"/>
                <w:color w:val="auto"/>
                <w:sz w:val="24"/>
                <w:highlight w:val="none"/>
              </w:rPr>
              <w:t>现场参观</w:t>
            </w:r>
          </w:p>
          <w:p w14:paraId="6DE5BDFC">
            <w:pPr>
              <w:spacing w:line="360" w:lineRule="auto"/>
              <w:jc w:val="left"/>
              <w:rPr>
                <w:rFonts w:ascii="宋体" w:hAnsi="宋体" w:eastAsia="宋体" w:cs="宋体"/>
                <w:b/>
                <w:bCs/>
                <w:color w:val="auto"/>
                <w:sz w:val="24"/>
                <w:highlight w:val="none"/>
              </w:rPr>
            </w:pPr>
            <w:r>
              <w:rPr>
                <w:rFonts w:hint="eastAsia" w:ascii="宋体" w:hAnsi="宋体" w:eastAsia="宋体" w:cs="宋体"/>
                <w:color w:val="auto"/>
                <w:sz w:val="24"/>
                <w:highlight w:val="none"/>
              </w:rPr>
              <w:sym w:font="Wingdings 2" w:char="00A3"/>
            </w:r>
            <w:r>
              <w:rPr>
                <w:rFonts w:hint="eastAsia" w:ascii="宋体" w:hAnsi="宋体" w:eastAsia="宋体" w:cs="宋体"/>
                <w:color w:val="auto"/>
                <w:sz w:val="24"/>
                <w:highlight w:val="none"/>
              </w:rPr>
              <w:t>线上交流</w:t>
            </w:r>
          </w:p>
        </w:tc>
      </w:tr>
      <w:tr w14:paraId="55B85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1661" w:type="dxa"/>
            <w:vAlign w:val="center"/>
          </w:tcPr>
          <w:p w14:paraId="348DA540">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参与活动</w:t>
            </w:r>
          </w:p>
          <w:p w14:paraId="43632CD3">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单位名称</w:t>
            </w:r>
          </w:p>
        </w:tc>
        <w:tc>
          <w:tcPr>
            <w:tcW w:w="6850" w:type="dxa"/>
            <w:vAlign w:val="center"/>
          </w:tcPr>
          <w:p w14:paraId="3D3E63C2">
            <w:pPr>
              <w:spacing w:line="360" w:lineRule="auto"/>
              <w:jc w:val="both"/>
              <w:rPr>
                <w:rFonts w:hint="default" w:ascii="宋体" w:hAnsi="宋体" w:eastAsia="宋体" w:cs="宋体"/>
                <w:color w:val="auto"/>
                <w:sz w:val="24"/>
                <w:highlight w:val="none"/>
                <w:lang w:val="en-US" w:eastAsia="zh-CN"/>
              </w:rPr>
            </w:pPr>
            <w:r>
              <w:rPr>
                <w:rFonts w:hint="default" w:ascii="宋体" w:hAnsi="宋体" w:eastAsia="宋体" w:cs="宋体"/>
                <w:color w:val="auto"/>
                <w:sz w:val="24"/>
                <w:highlight w:val="none"/>
                <w:lang w:val="en-US" w:eastAsia="zh-CN"/>
              </w:rPr>
              <w:t>通过上证路演中心网络文字互动方式参与公司202</w:t>
            </w:r>
            <w:r>
              <w:rPr>
                <w:rFonts w:hint="eastAsia" w:ascii="宋体" w:hAnsi="宋体" w:eastAsia="宋体" w:cs="宋体"/>
                <w:color w:val="auto"/>
                <w:sz w:val="24"/>
                <w:highlight w:val="none"/>
                <w:lang w:val="en-US" w:eastAsia="zh-CN"/>
              </w:rPr>
              <w:t>6</w:t>
            </w:r>
            <w:r>
              <w:rPr>
                <w:rFonts w:hint="default" w:ascii="宋体" w:hAnsi="宋体" w:eastAsia="宋体" w:cs="宋体"/>
                <w:color w:val="auto"/>
                <w:sz w:val="24"/>
                <w:highlight w:val="none"/>
                <w:lang w:val="en-US" w:eastAsia="zh-CN"/>
              </w:rPr>
              <w:t>年半年度业绩说明会的投资者</w:t>
            </w:r>
          </w:p>
        </w:tc>
      </w:tr>
      <w:tr w14:paraId="2F22F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7" w:hRule="atLeast"/>
          <w:jc w:val="center"/>
        </w:trPr>
        <w:tc>
          <w:tcPr>
            <w:tcW w:w="1661" w:type="dxa"/>
            <w:vAlign w:val="center"/>
          </w:tcPr>
          <w:p w14:paraId="42E3D4D3">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上市公司</w:t>
            </w:r>
          </w:p>
          <w:p w14:paraId="374CE96D">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接待人员</w:t>
            </w:r>
          </w:p>
        </w:tc>
        <w:tc>
          <w:tcPr>
            <w:tcW w:w="6850" w:type="dxa"/>
            <w:vAlign w:val="center"/>
          </w:tcPr>
          <w:p w14:paraId="4FEA4306">
            <w:pPr>
              <w:spacing w:line="360" w:lineRule="auto"/>
              <w:jc w:val="both"/>
              <w:rPr>
                <w:rFonts w:hint="eastAsia" w:ascii="宋体" w:hAnsi="宋体" w:eastAsia="宋体" w:cs="宋体"/>
                <w:color w:val="auto"/>
                <w:sz w:val="24"/>
                <w:highlight w:val="none"/>
                <w:lang w:val="en-US" w:eastAsia="zh-CN"/>
              </w:rPr>
            </w:pPr>
            <w:r>
              <w:rPr>
                <w:rFonts w:hint="default" w:ascii="宋体" w:hAnsi="宋体"/>
                <w:bCs/>
                <w:sz w:val="24"/>
                <w:highlight w:val="none"/>
              </w:rPr>
              <w:t>董事长：廖平元先生</w:t>
            </w:r>
          </w:p>
          <w:p w14:paraId="1B57967C">
            <w:pPr>
              <w:spacing w:line="360" w:lineRule="auto"/>
              <w:jc w:val="both"/>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董事、总裁（总经理）：杨剑文先生</w:t>
            </w:r>
          </w:p>
          <w:p w14:paraId="1B422EA6">
            <w:pPr>
              <w:spacing w:line="360" w:lineRule="auto"/>
              <w:jc w:val="both"/>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rPr>
              <w:t>董事会秘书</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副总裁：李恒宏先生</w:t>
            </w:r>
          </w:p>
          <w:p w14:paraId="4E98E64D">
            <w:pPr>
              <w:spacing w:line="360" w:lineRule="auto"/>
              <w:jc w:val="both"/>
              <w:rPr>
                <w:rFonts w:hint="default" w:ascii="宋体" w:hAnsi="宋体" w:eastAsia="宋体" w:cs="宋体"/>
                <w:color w:val="auto"/>
                <w:sz w:val="24"/>
                <w:highlight w:val="none"/>
                <w:lang w:val="en-US"/>
              </w:rPr>
            </w:pPr>
            <w:r>
              <w:rPr>
                <w:rFonts w:hint="eastAsia" w:ascii="宋体" w:hAnsi="宋体" w:eastAsia="宋体" w:cs="宋体"/>
                <w:color w:val="auto"/>
                <w:sz w:val="24"/>
                <w:highlight w:val="none"/>
              </w:rPr>
              <w:t>财务</w:t>
            </w:r>
            <w:r>
              <w:rPr>
                <w:rFonts w:hint="eastAsia" w:ascii="宋体" w:hAnsi="宋体" w:eastAsia="宋体" w:cs="宋体"/>
                <w:color w:val="auto"/>
                <w:sz w:val="24"/>
                <w:highlight w:val="none"/>
                <w:lang w:val="en-US" w:eastAsia="zh-CN"/>
              </w:rPr>
              <w:t>负责人：郑幸友先生</w:t>
            </w:r>
          </w:p>
          <w:p w14:paraId="0BBF524E">
            <w:pPr>
              <w:spacing w:line="360" w:lineRule="auto"/>
              <w:jc w:val="both"/>
              <w:rPr>
                <w:rFonts w:hint="default" w:ascii="宋体" w:hAnsi="宋体" w:eastAsia="宋体" w:cs="宋体"/>
                <w:color w:val="auto"/>
                <w:sz w:val="24"/>
                <w:highlight w:val="none"/>
              </w:rPr>
            </w:pPr>
            <w:r>
              <w:rPr>
                <w:rFonts w:hint="default" w:ascii="宋体" w:hAnsi="宋体" w:eastAsia="宋体" w:cs="宋体"/>
                <w:color w:val="auto"/>
                <w:sz w:val="24"/>
                <w:highlight w:val="none"/>
              </w:rPr>
              <w:t>总工程师：王俊锋先生</w:t>
            </w:r>
          </w:p>
          <w:p w14:paraId="0A9ABAD7">
            <w:pPr>
              <w:spacing w:line="360" w:lineRule="auto"/>
              <w:jc w:val="both"/>
              <w:rPr>
                <w:rFonts w:hint="default" w:ascii="宋体" w:hAnsi="宋体" w:eastAsia="宋体" w:cs="宋体"/>
                <w:color w:val="auto"/>
                <w:sz w:val="24"/>
                <w:highlight w:val="none"/>
                <w:lang w:val="en-US" w:eastAsia="zh-CN"/>
              </w:rPr>
            </w:pPr>
            <w:r>
              <w:rPr>
                <w:rFonts w:hint="default" w:ascii="宋体" w:hAnsi="宋体" w:eastAsia="宋体" w:cs="宋体"/>
                <w:color w:val="auto"/>
                <w:sz w:val="24"/>
                <w:highlight w:val="none"/>
              </w:rPr>
              <w:t>独立董事兼审计委员会主任委员：夏芸女士</w:t>
            </w:r>
          </w:p>
        </w:tc>
      </w:tr>
      <w:tr w14:paraId="7CB5C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661" w:type="dxa"/>
            <w:vAlign w:val="center"/>
          </w:tcPr>
          <w:p w14:paraId="60DB7C39">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时间</w:t>
            </w:r>
          </w:p>
        </w:tc>
        <w:tc>
          <w:tcPr>
            <w:tcW w:w="6850" w:type="dxa"/>
            <w:vAlign w:val="center"/>
          </w:tcPr>
          <w:p w14:paraId="41F4EB90">
            <w:pPr>
              <w:spacing w:line="360" w:lineRule="auto"/>
              <w:jc w:val="both"/>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rPr>
              <w:t>202</w:t>
            </w:r>
            <w:r>
              <w:rPr>
                <w:rFonts w:hint="eastAsia" w:ascii="宋体" w:hAnsi="宋体" w:eastAsia="宋体" w:cs="宋体"/>
                <w:color w:val="auto"/>
                <w:sz w:val="24"/>
                <w:highlight w:val="none"/>
                <w:lang w:val="en-US" w:eastAsia="zh-CN"/>
              </w:rPr>
              <w:t>6</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lang w:val="en-US" w:eastAsia="zh-CN"/>
              </w:rPr>
              <w:t>8</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lang w:val="en-US" w:eastAsia="zh-CN"/>
              </w:rPr>
              <w:t>27</w:t>
            </w:r>
            <w:r>
              <w:rPr>
                <w:rFonts w:hint="eastAsia" w:ascii="宋体" w:hAnsi="宋体" w:eastAsia="宋体" w:cs="宋体"/>
                <w:color w:val="auto"/>
                <w:sz w:val="24"/>
                <w:highlight w:val="none"/>
              </w:rPr>
              <w:t>日</w:t>
            </w:r>
            <w:r>
              <w:rPr>
                <w:rFonts w:hint="eastAsia" w:ascii="宋体" w:hAnsi="宋体" w:eastAsia="宋体" w:cs="宋体"/>
                <w:color w:val="auto"/>
                <w:sz w:val="24"/>
                <w:highlight w:val="none"/>
                <w:lang w:val="en-US" w:eastAsia="zh-CN"/>
              </w:rPr>
              <w:t>11:</w:t>
            </w:r>
            <w:r>
              <w:rPr>
                <w:rFonts w:hint="default" w:ascii="宋体" w:hAnsi="宋体" w:eastAsia="宋体" w:cs="宋体"/>
                <w:color w:val="auto"/>
                <w:sz w:val="24"/>
                <w:highlight w:val="none"/>
                <w:lang w:val="en-US" w:eastAsia="zh-CN"/>
              </w:rPr>
              <w:t>0</w:t>
            </w:r>
            <w:r>
              <w:rPr>
                <w:rFonts w:hint="eastAsia" w:ascii="宋体" w:hAnsi="宋体" w:eastAsia="宋体" w:cs="宋体"/>
                <w:color w:val="auto"/>
                <w:sz w:val="24"/>
                <w:highlight w:val="none"/>
                <w:lang w:val="en-US" w:eastAsia="zh-CN"/>
              </w:rPr>
              <w:t>0-12:</w:t>
            </w:r>
            <w:r>
              <w:rPr>
                <w:rFonts w:hint="default" w:ascii="宋体" w:hAnsi="宋体" w:eastAsia="宋体" w:cs="宋体"/>
                <w:color w:val="auto"/>
                <w:sz w:val="24"/>
                <w:highlight w:val="none"/>
                <w:lang w:val="en-US" w:eastAsia="zh-CN"/>
              </w:rPr>
              <w:t>0</w:t>
            </w:r>
            <w:r>
              <w:rPr>
                <w:rFonts w:hint="eastAsia" w:ascii="宋体" w:hAnsi="宋体" w:eastAsia="宋体" w:cs="宋体"/>
                <w:color w:val="auto"/>
                <w:sz w:val="24"/>
                <w:highlight w:val="none"/>
                <w:lang w:val="en-US" w:eastAsia="zh-CN"/>
              </w:rPr>
              <w:t>0</w:t>
            </w:r>
          </w:p>
        </w:tc>
      </w:tr>
      <w:tr w14:paraId="54003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661" w:type="dxa"/>
            <w:vAlign w:val="center"/>
          </w:tcPr>
          <w:p w14:paraId="322757E1">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地点</w:t>
            </w:r>
          </w:p>
        </w:tc>
        <w:tc>
          <w:tcPr>
            <w:tcW w:w="6850" w:type="dxa"/>
            <w:vAlign w:val="center"/>
          </w:tcPr>
          <w:p w14:paraId="11BC142B">
            <w:pPr>
              <w:spacing w:line="360" w:lineRule="auto"/>
              <w:jc w:val="both"/>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rPr>
              <w:t>线上交流</w:t>
            </w:r>
          </w:p>
        </w:tc>
      </w:tr>
      <w:tr w14:paraId="50A94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1661" w:type="dxa"/>
            <w:vAlign w:val="center"/>
          </w:tcPr>
          <w:p w14:paraId="4E9A27F2">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投资者关系</w:t>
            </w:r>
          </w:p>
          <w:p w14:paraId="5C8586ED">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活动主要</w:t>
            </w:r>
          </w:p>
          <w:p w14:paraId="1A99FF20">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内容介绍</w:t>
            </w:r>
          </w:p>
        </w:tc>
        <w:tc>
          <w:tcPr>
            <w:tcW w:w="6850" w:type="dxa"/>
            <w:vAlign w:val="center"/>
          </w:tcPr>
          <w:p w14:paraId="166E21A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投资者关系活动的主要内容如下：</w:t>
            </w:r>
          </w:p>
          <w:p w14:paraId="5559FBF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公司202</w:t>
            </w:r>
            <w:r>
              <w:rPr>
                <w:rFonts w:hint="eastAsia" w:ascii="宋体" w:hAnsi="宋体" w:eastAsia="宋体" w:cs="宋体"/>
                <w:color w:val="auto"/>
                <w:sz w:val="24"/>
                <w:highlight w:val="none"/>
                <w:lang w:val="en-US" w:eastAsia="zh-CN"/>
              </w:rPr>
              <w:t>6</w:t>
            </w:r>
            <w:r>
              <w:rPr>
                <w:rFonts w:hint="eastAsia" w:ascii="宋体" w:hAnsi="宋体" w:eastAsia="宋体" w:cs="宋体"/>
                <w:color w:val="auto"/>
                <w:sz w:val="24"/>
                <w:highlight w:val="none"/>
              </w:rPr>
              <w:t>年半年度业绩说明会在上证路演中心采取网络文字互动问答的形式，公司参会人员就投资者关注的问题给予解答，帮助投资者更全面地了解公司202</w:t>
            </w:r>
            <w:r>
              <w:rPr>
                <w:rFonts w:hint="eastAsia" w:ascii="宋体" w:hAnsi="宋体" w:eastAsia="宋体" w:cs="宋体"/>
                <w:color w:val="auto"/>
                <w:sz w:val="24"/>
                <w:highlight w:val="none"/>
                <w:lang w:val="en-US" w:eastAsia="zh-CN"/>
              </w:rPr>
              <w:t>6</w:t>
            </w:r>
            <w:r>
              <w:rPr>
                <w:rFonts w:hint="eastAsia" w:ascii="宋体" w:hAnsi="宋体" w:eastAsia="宋体" w:cs="宋体"/>
                <w:color w:val="auto"/>
                <w:sz w:val="24"/>
                <w:highlight w:val="none"/>
              </w:rPr>
              <w:t>年半年度经营成果及财务状况，公司参会人员在会议过程中遵循了投资者关系管理规定、上市公司信息披露等规定。</w:t>
            </w:r>
          </w:p>
          <w:p w14:paraId="38247D5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highlight w:val="none"/>
                <w:lang w:val="en-US" w:eastAsia="zh-CN"/>
              </w:rPr>
            </w:pPr>
          </w:p>
          <w:p w14:paraId="3B0CD48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投资者提出的问题及公司回复情况</w:t>
            </w:r>
          </w:p>
          <w:p w14:paraId="142ED9C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color w:val="auto"/>
                <w:sz w:val="24"/>
                <w:highlight w:val="none"/>
              </w:rPr>
            </w:pPr>
            <w:r>
              <w:rPr>
                <w:rFonts w:hint="eastAsia" w:ascii="宋体" w:hAnsi="宋体" w:eastAsia="宋体" w:cs="宋体"/>
                <w:b/>
                <w:bCs/>
                <w:color w:val="auto"/>
                <w:kern w:val="2"/>
                <w:sz w:val="24"/>
                <w:szCs w:val="24"/>
                <w:lang w:val="en-US" w:eastAsia="zh-CN" w:bidi="ar-SA"/>
              </w:rPr>
              <w:t>1、</w:t>
            </w:r>
            <w:r>
              <w:rPr>
                <w:rFonts w:hint="eastAsia" w:ascii="宋体" w:hAnsi="宋体" w:eastAsia="宋体" w:cs="宋体"/>
                <w:b/>
                <w:bCs/>
                <w:color w:val="auto"/>
                <w:sz w:val="24"/>
                <w:highlight w:val="none"/>
              </w:rPr>
              <w:t>公司主营华东区西南区毛利率综合只有三个多点，严重低于同行业水平，是大客户极端压价还是公司产品毫无竟争力？PCB铜箔高端品没有大量出货都有五个点毛利率，能转产部分锂电箔产能做标箔吗？</w:t>
            </w:r>
          </w:p>
          <w:p w14:paraId="03C0D0F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szCs w:val="24"/>
                <w:highlight w:val="none"/>
                <w:lang w:val="en-US" w:eastAsia="zh-CN"/>
              </w:rPr>
              <w:t>回复：尊敬的投资者，您好！因不同地区用户结构不同、管理业务规模等原因，毛利率存在差异。公司半年度整体毛利率为6.29%，毛利率受区域客户结构以及原材料价格波动等多种因素影响。公司将持续优化产品结构，提升高附加值产品销售占比，持续优化生产工艺，有效提升产品品质，深化降本增效工作，持续提高公司盈利能力。公司电子电路铜箔和锂电铜箔产线可柔性切换，以积极响应市场需求并提供高质量产品。感谢您的关注！</w:t>
            </w:r>
          </w:p>
          <w:p w14:paraId="1949E70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lang w:val="en-US" w:eastAsia="zh-CN"/>
              </w:rPr>
              <w:t>2、</w:t>
            </w:r>
            <w:r>
              <w:rPr>
                <w:rFonts w:hint="eastAsia" w:ascii="宋体" w:hAnsi="宋体" w:eastAsia="宋体" w:cs="宋体"/>
                <w:b/>
                <w:bCs/>
                <w:color w:val="auto"/>
                <w:sz w:val="24"/>
                <w:highlight w:val="none"/>
              </w:rPr>
              <w:t>AI 相关高端电路铜箔何时实现规模量产？</w:t>
            </w:r>
          </w:p>
          <w:p w14:paraId="0A79D106">
            <w:pPr>
              <w:numPr>
                <w:ilvl w:val="0"/>
                <w:numId w:val="0"/>
              </w:numPr>
              <w:adjustRightInd w:val="0"/>
              <w:snapToGrid/>
              <w:spacing w:beforeAutospacing="0" w:afterAutospacing="0" w:line="360" w:lineRule="auto"/>
              <w:ind w:left="0" w:leftChars="0" w:right="0" w:rightChars="0" w:firstLine="480" w:firstLineChars="200"/>
              <w:jc w:val="left"/>
              <w:rPr>
                <w:rFonts w:hint="eastAsia" w:ascii="宋体" w:hAnsi="宋体" w:eastAsia="宋体" w:cs="宋体"/>
                <w:color w:val="auto"/>
                <w:sz w:val="24"/>
                <w:highlight w:val="none"/>
              </w:rPr>
            </w:pPr>
            <w:r>
              <w:rPr>
                <w:rFonts w:hint="eastAsia" w:ascii="宋体" w:hAnsi="宋体" w:eastAsia="宋体" w:cs="宋体"/>
                <w:b w:val="0"/>
                <w:bCs w:val="0"/>
                <w:color w:val="auto"/>
                <w:sz w:val="24"/>
                <w:szCs w:val="24"/>
                <w:highlight w:val="none"/>
                <w:lang w:val="en-US" w:eastAsia="zh-CN"/>
              </w:rPr>
              <w:t>回复：</w:t>
            </w:r>
            <w:r>
              <w:rPr>
                <w:rFonts w:hint="eastAsia" w:ascii="宋体" w:hAnsi="宋体" w:eastAsia="宋体" w:cs="宋体"/>
                <w:color w:val="auto"/>
                <w:sz w:val="24"/>
                <w:highlight w:val="none"/>
              </w:rPr>
              <w:t>尊敬的投资者，您好！公司在高端电子电路铜箔取得重要突破，成功实现了RTF铜箔、载体铜箔等高性能产品的技术突破，并具备量产能力。但高端电子电路铜箔的下游验证是一个多层级、多轮次的严谨过程，尤其面向AI服务器、高频高速领域时，客户对可靠性指标会进行极限工况下的反复核验，因此下游高端客户的产品验证、认证周期相对较长，相关高端电子铜箔产品的出货量具体以公司对外披露的信息为准！感谢您的关注！</w:t>
            </w:r>
          </w:p>
          <w:p w14:paraId="1C2EBD6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kern w:val="2"/>
                <w:sz w:val="24"/>
                <w:szCs w:val="24"/>
                <w:lang w:val="en-US" w:eastAsia="zh-CN" w:bidi="ar-SA"/>
              </w:rPr>
              <w:t>3、</w:t>
            </w:r>
            <w:r>
              <w:rPr>
                <w:rFonts w:hint="eastAsia" w:ascii="宋体" w:hAnsi="宋体" w:eastAsia="宋体" w:cs="宋体"/>
                <w:b/>
                <w:bCs/>
                <w:color w:val="auto"/>
                <w:sz w:val="24"/>
                <w:highlight w:val="none"/>
                <w:lang w:val="en-US" w:eastAsia="zh-CN"/>
              </w:rPr>
              <w:t>①</w:t>
            </w:r>
            <w:r>
              <w:rPr>
                <w:rFonts w:hint="eastAsia" w:ascii="宋体" w:hAnsi="宋体" w:eastAsia="宋体" w:cs="宋体"/>
                <w:b/>
                <w:bCs/>
                <w:color w:val="auto"/>
                <w:sz w:val="24"/>
                <w:highlight w:val="none"/>
              </w:rPr>
              <w:t>公司高端PCB铜箔产品去年七月就在下游验证，到目前有进展吗？</w:t>
            </w:r>
            <w:r>
              <w:rPr>
                <w:rFonts w:hint="eastAsia" w:ascii="宋体" w:hAnsi="宋体" w:eastAsia="宋体" w:cs="宋体"/>
                <w:b/>
                <w:bCs/>
                <w:color w:val="auto"/>
                <w:sz w:val="24"/>
                <w:highlight w:val="none"/>
                <w:lang w:val="en-US" w:eastAsia="zh-CN"/>
              </w:rPr>
              <w:t>②</w:t>
            </w:r>
            <w:r>
              <w:rPr>
                <w:rFonts w:hint="eastAsia" w:ascii="宋体" w:hAnsi="宋体" w:eastAsia="宋体" w:cs="宋体"/>
                <w:b/>
                <w:bCs/>
                <w:color w:val="auto"/>
                <w:sz w:val="24"/>
                <w:highlight w:val="none"/>
              </w:rPr>
              <w:t>公司江西基地定位为高端PCB铜箔基地，是否有日本三船高端后处理设备？</w:t>
            </w:r>
          </w:p>
          <w:p w14:paraId="4721C515">
            <w:pPr>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leftChars="0" w:firstLine="480" w:firstLineChars="20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回复：</w:t>
            </w:r>
            <w:r>
              <w:rPr>
                <w:rFonts w:hint="eastAsia" w:ascii="Times New Roman" w:hAnsi="Times New Roman" w:eastAsia="宋体" w:cs="Times New Roman"/>
                <w:b w:val="0"/>
                <w:bCs w:val="0"/>
                <w:sz w:val="24"/>
                <w:szCs w:val="24"/>
                <w:highlight w:val="white"/>
              </w:rPr>
              <w:t>尊敬的投资者，您好，</w:t>
            </w:r>
            <w:r>
              <w:rPr>
                <w:rFonts w:hint="eastAsia" w:ascii="Times New Roman" w:hAnsi="Times New Roman" w:eastAsia="宋体" w:cs="Times New Roman"/>
                <w:b w:val="0"/>
                <w:bCs w:val="0"/>
                <w:sz w:val="24"/>
                <w:szCs w:val="24"/>
                <w:highlight w:val="white"/>
                <w:lang w:val="en-US" w:eastAsia="zh-CN"/>
              </w:rPr>
              <w:t>①</w:t>
            </w:r>
            <w:r>
              <w:rPr>
                <w:rFonts w:hint="eastAsia" w:ascii="Times New Roman" w:hAnsi="Times New Roman" w:eastAsia="宋体" w:cs="Times New Roman"/>
                <w:b w:val="0"/>
                <w:bCs w:val="0"/>
                <w:sz w:val="24"/>
                <w:szCs w:val="24"/>
                <w:highlight w:val="white"/>
              </w:rPr>
              <w:t>公司在高端电子电路铜箔的国产替代进程中取得重要突破，目前部分产品已向个别国内外知名客户小批量供货。</w:t>
            </w:r>
            <w:r>
              <w:rPr>
                <w:rFonts w:hint="eastAsia" w:ascii="Times New Roman" w:hAnsi="Times New Roman" w:eastAsia="宋体" w:cs="Times New Roman"/>
                <w:b w:val="0"/>
                <w:bCs w:val="0"/>
                <w:sz w:val="24"/>
                <w:szCs w:val="24"/>
                <w:highlight w:val="white"/>
                <w:lang w:val="en-US" w:eastAsia="zh-CN"/>
              </w:rPr>
              <w:t>②</w:t>
            </w:r>
            <w:r>
              <w:rPr>
                <w:rFonts w:hint="eastAsia" w:ascii="Times New Roman" w:hAnsi="Times New Roman" w:eastAsia="宋体" w:cs="Times New Roman"/>
                <w:b w:val="0"/>
                <w:bCs w:val="0"/>
                <w:sz w:val="24"/>
                <w:szCs w:val="24"/>
                <w:highlight w:val="white"/>
              </w:rPr>
              <w:t>目前江西基地有在使用日本三船高端后处理设备。感谢您的关注！</w:t>
            </w:r>
          </w:p>
          <w:p w14:paraId="0BD2289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kern w:val="2"/>
                <w:sz w:val="24"/>
                <w:szCs w:val="24"/>
                <w:lang w:val="en-US" w:eastAsia="zh-CN" w:bidi="ar-SA"/>
              </w:rPr>
              <w:t>4、①</w:t>
            </w:r>
            <w:r>
              <w:rPr>
                <w:rFonts w:hint="eastAsia" w:ascii="宋体" w:hAnsi="宋体" w:eastAsia="宋体" w:cs="宋体"/>
                <w:b/>
                <w:bCs/>
                <w:color w:val="auto"/>
                <w:sz w:val="24"/>
                <w:highlight w:val="none"/>
              </w:rPr>
              <w:t xml:space="preserve">宁德62.6万吨长协，是采购量承诺还是产能预留承诺？ </w:t>
            </w:r>
            <w:r>
              <w:rPr>
                <w:rFonts w:hint="eastAsia" w:ascii="宋体" w:hAnsi="宋体" w:eastAsia="宋体" w:cs="宋体"/>
                <w:b/>
                <w:bCs/>
                <w:color w:val="auto"/>
                <w:sz w:val="24"/>
                <w:highlight w:val="none"/>
                <w:lang w:val="en-US" w:eastAsia="zh-CN"/>
              </w:rPr>
              <w:t>②</w:t>
            </w:r>
            <w:r>
              <w:rPr>
                <w:rFonts w:hint="eastAsia" w:ascii="宋体" w:hAnsi="宋体" w:eastAsia="宋体" w:cs="宋体"/>
                <w:b/>
                <w:bCs/>
                <w:color w:val="auto"/>
                <w:sz w:val="24"/>
                <w:highlight w:val="none"/>
              </w:rPr>
              <w:t xml:space="preserve">长协是季度重定价吗？8/1调价函Q3能落表多少？ </w:t>
            </w:r>
            <w:r>
              <w:rPr>
                <w:rFonts w:hint="eastAsia" w:ascii="宋体" w:hAnsi="宋体" w:eastAsia="宋体" w:cs="宋体"/>
                <w:b/>
                <w:bCs/>
                <w:color w:val="auto"/>
                <w:sz w:val="24"/>
                <w:highlight w:val="none"/>
                <w:lang w:val="en-US" w:eastAsia="zh-CN"/>
              </w:rPr>
              <w:t>③</w:t>
            </w:r>
            <w:r>
              <w:rPr>
                <w:rFonts w:hint="eastAsia" w:ascii="宋体" w:hAnsi="宋体" w:eastAsia="宋体" w:cs="宋体"/>
                <w:b/>
                <w:bCs/>
                <w:color w:val="auto"/>
                <w:sz w:val="24"/>
                <w:highlight w:val="none"/>
              </w:rPr>
              <w:t>Q2毛利率环比-2.19pct，是铜价稀释还是爬坡成本？提价何时对冲？</w:t>
            </w:r>
            <w:r>
              <w:rPr>
                <w:rFonts w:hint="eastAsia" w:ascii="宋体" w:hAnsi="宋体" w:eastAsia="宋体" w:cs="宋体"/>
                <w:b/>
                <w:bCs/>
                <w:color w:val="auto"/>
                <w:sz w:val="24"/>
                <w:highlight w:val="none"/>
                <w:lang w:val="en-US" w:eastAsia="zh-CN"/>
              </w:rPr>
              <w:t>④</w:t>
            </w:r>
            <w:r>
              <w:rPr>
                <w:rFonts w:hint="eastAsia" w:ascii="宋体" w:hAnsi="宋体" w:eastAsia="宋体" w:cs="宋体"/>
                <w:b/>
                <w:bCs/>
                <w:color w:val="auto"/>
                <w:sz w:val="24"/>
                <w:highlight w:val="none"/>
              </w:rPr>
              <w:t xml:space="preserve">电子电路铜箔送样了几家？进验厂了吗？RTF良率多少？ </w:t>
            </w:r>
            <w:r>
              <w:rPr>
                <w:rFonts w:hint="eastAsia" w:ascii="宋体" w:hAnsi="宋体" w:eastAsia="宋体" w:cs="宋体"/>
                <w:b/>
                <w:bCs/>
                <w:color w:val="auto"/>
                <w:sz w:val="24"/>
                <w:highlight w:val="none"/>
                <w:lang w:val="en-US" w:eastAsia="zh-CN"/>
              </w:rPr>
              <w:t>⑤</w:t>
            </w:r>
            <w:r>
              <w:rPr>
                <w:rFonts w:hint="eastAsia" w:ascii="宋体" w:hAnsi="宋体" w:eastAsia="宋体" w:cs="宋体"/>
                <w:b/>
                <w:bCs/>
                <w:color w:val="auto"/>
                <w:sz w:val="24"/>
                <w:highlight w:val="none"/>
              </w:rPr>
              <w:t>泰金新能锁定期满是否计划减持？</w:t>
            </w:r>
            <w:r>
              <w:rPr>
                <w:rFonts w:hint="eastAsia" w:ascii="宋体" w:hAnsi="宋体" w:eastAsia="宋体" w:cs="宋体"/>
                <w:b/>
                <w:bCs/>
                <w:color w:val="auto"/>
                <w:sz w:val="24"/>
                <w:highlight w:val="none"/>
                <w:lang w:val="en-US" w:eastAsia="zh-CN"/>
              </w:rPr>
              <w:t>⑥</w:t>
            </w:r>
            <w:r>
              <w:rPr>
                <w:rFonts w:hint="eastAsia" w:ascii="宋体" w:hAnsi="宋体" w:eastAsia="宋体" w:cs="宋体"/>
                <w:b/>
                <w:bCs/>
                <w:color w:val="auto"/>
                <w:sz w:val="24"/>
                <w:highlight w:val="none"/>
              </w:rPr>
              <w:t xml:space="preserve">激励考核目标的具体净利/营收要求是多少？ </w:t>
            </w:r>
            <w:r>
              <w:rPr>
                <w:rFonts w:hint="eastAsia" w:ascii="宋体" w:hAnsi="宋体" w:eastAsia="宋体" w:cs="宋体"/>
                <w:b/>
                <w:bCs/>
                <w:color w:val="auto"/>
                <w:sz w:val="24"/>
                <w:highlight w:val="none"/>
                <w:lang w:val="en-US" w:eastAsia="zh-CN"/>
              </w:rPr>
              <w:t>⑦</w:t>
            </w:r>
            <w:r>
              <w:rPr>
                <w:rFonts w:hint="eastAsia" w:ascii="宋体" w:hAnsi="宋体" w:eastAsia="宋体" w:cs="宋体"/>
                <w:b/>
                <w:bCs/>
                <w:color w:val="auto"/>
                <w:sz w:val="24"/>
                <w:highlight w:val="none"/>
              </w:rPr>
              <w:t>全年出货和扣非展望能给区间吗？</w:t>
            </w:r>
          </w:p>
          <w:p w14:paraId="5C835033">
            <w:pPr>
              <w:numPr>
                <w:ilvl w:val="0"/>
                <w:numId w:val="0"/>
              </w:numPr>
              <w:adjustRightInd w:val="0"/>
              <w:snapToGrid/>
              <w:spacing w:beforeAutospacing="0" w:afterAutospacing="0" w:line="360" w:lineRule="auto"/>
              <w:ind w:left="0" w:leftChars="0" w:right="0" w:rightChars="0" w:firstLine="480" w:firstLineChars="200"/>
              <w:jc w:val="both"/>
              <w:rPr>
                <w:rFonts w:hint="eastAsia" w:ascii="宋体" w:hAnsi="宋体" w:eastAsia="宋体" w:cs="宋体"/>
                <w:color w:val="auto"/>
                <w:sz w:val="24"/>
                <w:highlight w:val="none"/>
                <w:lang w:val="en-US" w:eastAsia="zh-CN"/>
              </w:rPr>
            </w:pPr>
            <w:r>
              <w:rPr>
                <w:rFonts w:hint="eastAsia" w:ascii="宋体" w:hAnsi="宋体" w:eastAsia="宋体" w:cs="宋体"/>
                <w:b w:val="0"/>
                <w:bCs w:val="0"/>
                <w:color w:val="auto"/>
                <w:sz w:val="24"/>
                <w:szCs w:val="24"/>
                <w:highlight w:val="none"/>
                <w:lang w:val="en-US" w:eastAsia="zh-CN"/>
              </w:rPr>
              <w:t>回复：</w:t>
            </w:r>
            <w:r>
              <w:rPr>
                <w:rFonts w:hint="eastAsia" w:ascii="宋体" w:hAnsi="宋体" w:eastAsia="宋体" w:cs="宋体"/>
                <w:color w:val="auto"/>
                <w:sz w:val="24"/>
                <w:highlight w:val="none"/>
              </w:rPr>
              <w:t>尊敬的投资者，您好！</w:t>
            </w:r>
            <w:r>
              <w:rPr>
                <w:rFonts w:hint="eastAsia" w:ascii="宋体" w:hAnsi="宋体" w:eastAsia="宋体" w:cs="宋体"/>
                <w:b/>
                <w:bCs/>
                <w:color w:val="auto"/>
                <w:kern w:val="2"/>
                <w:sz w:val="24"/>
                <w:szCs w:val="24"/>
                <w:lang w:val="en-US" w:eastAsia="zh-CN" w:bidi="ar-SA"/>
              </w:rPr>
              <w:t>①</w:t>
            </w:r>
            <w:r>
              <w:rPr>
                <w:rFonts w:hint="eastAsia" w:ascii="宋体" w:hAnsi="宋体" w:eastAsia="宋体" w:cs="宋体"/>
                <w:color w:val="auto"/>
                <w:sz w:val="24"/>
                <w:highlight w:val="none"/>
              </w:rPr>
              <w:t>公司于2025年11月份与宁德时代签署《合作框架协议》，宁德时代根据其经营情况计划向公司采购电池负极集流体材料，公司计划优先保障2026年-2028年向其提供不低于62.6万吨产能的铜箔产品需求并提供有竞争力的价格方案的合作框架协议。具体内容详见公司于2025年11月6日在上海证券交易所网站（www.sse.com.cn）披露的《广东嘉元科技股份有限公司关于自愿披露与宁德时代新能源科技股份有限公司签订《合作框架协议》的公告》（公告编号：2025-102）。</w:t>
            </w:r>
            <w:r>
              <w:rPr>
                <w:rFonts w:hint="eastAsia" w:ascii="宋体" w:hAnsi="宋体" w:eastAsia="宋体" w:cs="宋体"/>
                <w:b/>
                <w:bCs/>
                <w:color w:val="auto"/>
                <w:sz w:val="24"/>
                <w:highlight w:val="none"/>
                <w:lang w:val="en-US" w:eastAsia="zh-CN"/>
              </w:rPr>
              <w:t>②</w:t>
            </w:r>
            <w:r>
              <w:rPr>
                <w:rFonts w:hint="eastAsia" w:ascii="宋体" w:hAnsi="宋体" w:eastAsia="宋体" w:cs="宋体"/>
                <w:color w:val="auto"/>
                <w:sz w:val="24"/>
                <w:highlight w:val="none"/>
              </w:rPr>
              <w:t>公司结合市场供需关系、行业情况等综合因素制定有竞争力的定价策略，适时与客户协商沟通加工费，在维护好现有市场和客户的基础上，保持公司的盈利水平。</w:t>
            </w:r>
            <w:r>
              <w:rPr>
                <w:rFonts w:hint="eastAsia" w:ascii="宋体" w:hAnsi="宋体" w:eastAsia="宋体" w:cs="宋体"/>
                <w:b/>
                <w:bCs/>
                <w:color w:val="auto"/>
                <w:sz w:val="24"/>
                <w:highlight w:val="none"/>
                <w:lang w:val="en-US" w:eastAsia="zh-CN"/>
              </w:rPr>
              <w:t>③</w:t>
            </w:r>
            <w:r>
              <w:rPr>
                <w:rFonts w:hint="eastAsia" w:ascii="宋体" w:hAnsi="宋体" w:eastAsia="宋体" w:cs="宋体"/>
                <w:color w:val="auto"/>
                <w:sz w:val="24"/>
                <w:highlight w:val="none"/>
              </w:rPr>
              <w:t>本期毛利率环比下降，主要系阶段性铜价波动导致。</w:t>
            </w:r>
            <w:r>
              <w:rPr>
                <w:rFonts w:hint="eastAsia" w:ascii="宋体" w:hAnsi="宋体" w:eastAsia="宋体" w:cs="宋体"/>
                <w:b/>
                <w:bCs/>
                <w:color w:val="auto"/>
                <w:sz w:val="24"/>
                <w:highlight w:val="none"/>
                <w:lang w:val="en-US" w:eastAsia="zh-CN"/>
              </w:rPr>
              <w:t>④</w:t>
            </w:r>
            <w:r>
              <w:rPr>
                <w:rFonts w:hint="eastAsia" w:ascii="宋体" w:hAnsi="宋体" w:eastAsia="宋体" w:cs="宋体"/>
                <w:color w:val="auto"/>
                <w:sz w:val="24"/>
                <w:highlight w:val="none"/>
              </w:rPr>
              <w:t>送样国内外知名和代表性客户10多家，验厂通过5家，RTF的良率保持在80%以上。</w:t>
            </w:r>
            <w:r>
              <w:rPr>
                <w:rFonts w:hint="eastAsia" w:ascii="宋体" w:hAnsi="宋体" w:eastAsia="宋体" w:cs="宋体"/>
                <w:b/>
                <w:bCs/>
                <w:color w:val="auto"/>
                <w:sz w:val="24"/>
                <w:highlight w:val="none"/>
                <w:lang w:val="en-US" w:eastAsia="zh-CN"/>
              </w:rPr>
              <w:t>⑤</w:t>
            </w:r>
            <w:r>
              <w:rPr>
                <w:rFonts w:hint="eastAsia" w:ascii="宋体" w:hAnsi="宋体" w:eastAsia="宋体" w:cs="宋体"/>
                <w:color w:val="auto"/>
                <w:sz w:val="24"/>
                <w:highlight w:val="none"/>
              </w:rPr>
              <w:t>公司将结合发展战略、行业情况、市场竞争、自身资金水平等综合因素决定对外投资的相关决策。</w:t>
            </w:r>
            <w:r>
              <w:rPr>
                <w:rFonts w:hint="eastAsia" w:ascii="宋体" w:hAnsi="宋体" w:eastAsia="宋体" w:cs="宋体"/>
                <w:b/>
                <w:bCs/>
                <w:color w:val="auto"/>
                <w:sz w:val="24"/>
                <w:highlight w:val="none"/>
                <w:lang w:val="en-US" w:eastAsia="zh-CN"/>
              </w:rPr>
              <w:t>⑥</w:t>
            </w:r>
            <w:r>
              <w:rPr>
                <w:rFonts w:hint="eastAsia" w:ascii="宋体" w:hAnsi="宋体" w:eastAsia="宋体" w:cs="宋体"/>
                <w:color w:val="auto"/>
                <w:sz w:val="24"/>
                <w:highlight w:val="none"/>
              </w:rPr>
              <w:t>公司2026年限制性股票激励计划的相关业绩考核指标，详见公司于2026年8月18日在上海证券交易所网站（www.sse.com.cn）披露的《广东嘉元科技股份有限公司2026年限制性股票激励计划》。</w:t>
            </w:r>
            <w:r>
              <w:rPr>
                <w:rFonts w:hint="eastAsia" w:ascii="宋体" w:hAnsi="宋体" w:eastAsia="宋体" w:cs="宋体"/>
                <w:b/>
                <w:bCs/>
                <w:color w:val="auto"/>
                <w:sz w:val="24"/>
                <w:highlight w:val="none"/>
                <w:lang w:val="en-US" w:eastAsia="zh-CN"/>
              </w:rPr>
              <w:t>⑦</w:t>
            </w:r>
            <w:r>
              <w:rPr>
                <w:rFonts w:hint="eastAsia" w:ascii="宋体" w:hAnsi="宋体" w:eastAsia="宋体" w:cs="宋体"/>
                <w:color w:val="auto"/>
                <w:sz w:val="24"/>
                <w:highlight w:val="none"/>
              </w:rPr>
              <w:t>公司2026年的年销量目标为突破16万吨，详见公司已披露的《广东嘉元科技股份有限公司2025年年度报告》，归属于上市公司股东的扣除非经常性损益的净利润以公司披露的《广东嘉元科技股份有限公司2026年年度报告》为准。感谢您的关注！</w:t>
            </w:r>
          </w:p>
          <w:p w14:paraId="6426417F">
            <w:pPr>
              <w:spacing w:line="360" w:lineRule="auto"/>
              <w:ind w:firstLine="480" w:firstLineChars="200"/>
              <w:rPr>
                <w:rFonts w:hint="eastAsia" w:ascii="宋体" w:hAnsi="宋体" w:eastAsia="宋体" w:cs="宋体"/>
                <w:color w:val="auto"/>
                <w:sz w:val="24"/>
                <w:highlight w:val="none"/>
                <w:lang w:val="en-US" w:eastAsia="zh-CN"/>
              </w:rPr>
            </w:pPr>
            <w:bookmarkStart w:id="0" w:name="_GoBack"/>
            <w:bookmarkEnd w:id="0"/>
          </w:p>
        </w:tc>
      </w:tr>
      <w:tr w14:paraId="310C5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jc w:val="center"/>
        </w:trPr>
        <w:tc>
          <w:tcPr>
            <w:tcW w:w="1661" w:type="dxa"/>
            <w:vAlign w:val="center"/>
          </w:tcPr>
          <w:p w14:paraId="4B033EB1">
            <w:pPr>
              <w:spacing w:line="420" w:lineRule="exact"/>
              <w:rPr>
                <w:rFonts w:hint="eastAsia" w:ascii="宋体" w:hAnsi="宋体" w:eastAsia="宋体" w:cs="宋体"/>
                <w:color w:val="auto"/>
                <w:sz w:val="24"/>
                <w:highlight w:val="none"/>
              </w:rPr>
            </w:pPr>
            <w:r>
              <w:rPr>
                <w:rFonts w:hAnsi="宋体"/>
                <w:bCs/>
                <w:iCs/>
                <w:color w:val="000000"/>
                <w:kern w:val="0"/>
                <w:sz w:val="24"/>
                <w:highlight w:val="none"/>
              </w:rPr>
              <w:t>附件清单（如有）</w:t>
            </w:r>
          </w:p>
        </w:tc>
        <w:tc>
          <w:tcPr>
            <w:tcW w:w="6850" w:type="dxa"/>
            <w:vAlign w:val="top"/>
          </w:tcPr>
          <w:p w14:paraId="273CF797">
            <w:pPr>
              <w:spacing w:line="420" w:lineRule="exact"/>
              <w:rPr>
                <w:rFonts w:hint="eastAsia" w:ascii="宋体" w:hAnsi="宋体" w:eastAsia="宋体" w:cs="宋体"/>
                <w:color w:val="auto"/>
                <w:sz w:val="24"/>
                <w:szCs w:val="24"/>
                <w:highlight w:val="none"/>
                <w:lang w:val="en-US" w:eastAsia="zh-CN"/>
              </w:rPr>
            </w:pPr>
          </w:p>
        </w:tc>
      </w:tr>
      <w:tr w14:paraId="3A4C0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661" w:type="dxa"/>
            <w:vAlign w:val="center"/>
          </w:tcPr>
          <w:p w14:paraId="1AE3CF6D">
            <w:pPr>
              <w:spacing w:line="420" w:lineRule="exact"/>
              <w:rPr>
                <w:rFonts w:hint="eastAsia" w:ascii="宋体" w:hAnsi="宋体" w:eastAsia="宋体" w:cs="宋体"/>
                <w:color w:val="auto"/>
                <w:sz w:val="24"/>
                <w:highlight w:val="none"/>
              </w:rPr>
            </w:pPr>
            <w:r>
              <w:rPr>
                <w:rFonts w:hAnsi="宋体"/>
                <w:bCs/>
                <w:iCs/>
                <w:color w:val="000000"/>
                <w:kern w:val="0"/>
                <w:sz w:val="24"/>
                <w:highlight w:val="none"/>
              </w:rPr>
              <w:t>日期</w:t>
            </w:r>
          </w:p>
        </w:tc>
        <w:tc>
          <w:tcPr>
            <w:tcW w:w="6850" w:type="dxa"/>
            <w:vAlign w:val="top"/>
          </w:tcPr>
          <w:p w14:paraId="595A181D">
            <w:pPr>
              <w:spacing w:line="420" w:lineRule="exact"/>
              <w:rPr>
                <w:rFonts w:hint="eastAsia" w:ascii="宋体" w:hAnsi="宋体" w:eastAsia="宋体" w:cs="宋体"/>
                <w:color w:val="auto"/>
                <w:sz w:val="24"/>
                <w:szCs w:val="24"/>
                <w:highlight w:val="none"/>
                <w:lang w:val="en-US" w:eastAsia="zh-CN"/>
              </w:rPr>
            </w:pPr>
            <w:r>
              <w:rPr>
                <w:bCs/>
                <w:iCs/>
                <w:color w:val="000000"/>
                <w:sz w:val="24"/>
                <w:highlight w:val="none"/>
              </w:rPr>
              <w:t>202</w:t>
            </w:r>
            <w:r>
              <w:rPr>
                <w:rFonts w:hint="eastAsia"/>
                <w:bCs/>
                <w:iCs/>
                <w:color w:val="000000"/>
                <w:sz w:val="24"/>
                <w:highlight w:val="none"/>
                <w:lang w:val="en-US" w:eastAsia="zh-CN"/>
              </w:rPr>
              <w:t>6年8月27日</w:t>
            </w:r>
          </w:p>
        </w:tc>
      </w:tr>
    </w:tbl>
    <w:p w14:paraId="2C80436B">
      <w:pPr>
        <w:spacing w:line="240" w:lineRule="auto"/>
        <w:jc w:val="both"/>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Wingdings 2">
    <w:panose1 w:val="05020102010507070707"/>
    <w:charset w:val="02"/>
    <w:family w:val="roman"/>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7"/>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g2M2UwZTkxN2VjNjc3YTUwYjMzMTQyNTdiYjZlZmMifQ=="/>
  </w:docVars>
  <w:rsids>
    <w:rsidRoot w:val="00000000"/>
    <w:rsid w:val="01D874C6"/>
    <w:rsid w:val="01F40AAB"/>
    <w:rsid w:val="04333F49"/>
    <w:rsid w:val="045A0192"/>
    <w:rsid w:val="05104806"/>
    <w:rsid w:val="062044AD"/>
    <w:rsid w:val="06F04B2A"/>
    <w:rsid w:val="097B6D0B"/>
    <w:rsid w:val="0B536A47"/>
    <w:rsid w:val="0C96202E"/>
    <w:rsid w:val="0CA33DF9"/>
    <w:rsid w:val="0F171F8B"/>
    <w:rsid w:val="10196628"/>
    <w:rsid w:val="14717E92"/>
    <w:rsid w:val="181F6F25"/>
    <w:rsid w:val="18813AA5"/>
    <w:rsid w:val="18EA3373"/>
    <w:rsid w:val="1BEE6F79"/>
    <w:rsid w:val="1C8B64BF"/>
    <w:rsid w:val="1CE7733B"/>
    <w:rsid w:val="1EE03BDB"/>
    <w:rsid w:val="1FA1230A"/>
    <w:rsid w:val="2349532D"/>
    <w:rsid w:val="24EE0854"/>
    <w:rsid w:val="253C7A68"/>
    <w:rsid w:val="259D46E7"/>
    <w:rsid w:val="29076C49"/>
    <w:rsid w:val="2C5D3188"/>
    <w:rsid w:val="2CCA574A"/>
    <w:rsid w:val="2CD91D6D"/>
    <w:rsid w:val="2E095034"/>
    <w:rsid w:val="2E774256"/>
    <w:rsid w:val="32903052"/>
    <w:rsid w:val="329F5AFA"/>
    <w:rsid w:val="37CF2BBC"/>
    <w:rsid w:val="38573E87"/>
    <w:rsid w:val="387955AC"/>
    <w:rsid w:val="397F0EC8"/>
    <w:rsid w:val="39930ABA"/>
    <w:rsid w:val="3A0C06D3"/>
    <w:rsid w:val="3DAE02C2"/>
    <w:rsid w:val="3E905C6C"/>
    <w:rsid w:val="439B42FB"/>
    <w:rsid w:val="44F302BB"/>
    <w:rsid w:val="45F37959"/>
    <w:rsid w:val="46590C50"/>
    <w:rsid w:val="46E06318"/>
    <w:rsid w:val="49784A79"/>
    <w:rsid w:val="4E1A32FD"/>
    <w:rsid w:val="51B701B5"/>
    <w:rsid w:val="51DC353F"/>
    <w:rsid w:val="543D7EA7"/>
    <w:rsid w:val="54813FB3"/>
    <w:rsid w:val="55101C6D"/>
    <w:rsid w:val="553A39F3"/>
    <w:rsid w:val="557E51FF"/>
    <w:rsid w:val="573423FF"/>
    <w:rsid w:val="57FE0B64"/>
    <w:rsid w:val="588E1023"/>
    <w:rsid w:val="5BC3578B"/>
    <w:rsid w:val="5BD1184C"/>
    <w:rsid w:val="5BD76A3D"/>
    <w:rsid w:val="5C3E2328"/>
    <w:rsid w:val="5EA77DEC"/>
    <w:rsid w:val="60125EE4"/>
    <w:rsid w:val="623E1826"/>
    <w:rsid w:val="645F37F6"/>
    <w:rsid w:val="65AD65E2"/>
    <w:rsid w:val="6AD86714"/>
    <w:rsid w:val="6BD95285"/>
    <w:rsid w:val="6F832C9C"/>
    <w:rsid w:val="712166FE"/>
    <w:rsid w:val="71705441"/>
    <w:rsid w:val="73A04F5F"/>
    <w:rsid w:val="75F9231A"/>
    <w:rsid w:val="76B9655B"/>
    <w:rsid w:val="77274219"/>
    <w:rsid w:val="774E7D8C"/>
    <w:rsid w:val="77D96D63"/>
    <w:rsid w:val="7E0A03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Body Text"/>
    <w:qFormat/>
    <w:uiPriority w:val="0"/>
    <w:pPr>
      <w:widowControl w:val="0"/>
      <w:adjustRightInd w:val="0"/>
      <w:spacing w:before="100" w:after="100" w:afterLines="0" w:afterAutospacing="0" w:line="300" w:lineRule="auto"/>
      <w:ind w:firstLine="1044" w:firstLineChars="200"/>
      <w:jc w:val="both"/>
    </w:pPr>
    <w:rPr>
      <w:rFonts w:ascii="Times New Roman" w:hAnsi="Times New Roman" w:eastAsia="宋体" w:cs="Times New Roman"/>
      <w:kern w:val="2"/>
      <w:sz w:val="24"/>
      <w:szCs w:val="24"/>
      <w:lang w:bidi="ar-SA"/>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Strong"/>
    <w:basedOn w:val="5"/>
    <w:qFormat/>
    <w:uiPriority w:val="0"/>
    <w:rPr>
      <w:b/>
    </w:rPr>
  </w:style>
  <w:style w:type="paragraph" w:customStyle="1" w:styleId="7">
    <w:name w:val="_Style 6"/>
    <w:basedOn w:val="1"/>
    <w:qFormat/>
    <w:uiPriority w:val="34"/>
    <w:pPr>
      <w:ind w:firstLine="420" w:firstLineChars="200"/>
    </w:pPr>
    <w:rPr>
      <w:rFonts w:ascii="Calibri" w:hAnsi="Calibri" w:eastAsia="宋体" w:cs="Times New Roman"/>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fe794669-7f14-4ef9-9eba-47d19d964889</errorID>
      <errorWord>。。</errorWord>
      <group>L1_Punc</group>
      <groupName>标点问题</groupName>
      <ability>L2_Punc_CN</ability>
      <abilityName>标点符号问题</abilityName>
      <candidateList>
        <item>。</item>
      </candidateList>
      <explain/>
      <paraID>2D03BC5C</paraID>
      <start>97</start>
      <end>98</end>
      <status>modified</status>
      <modifiedWord>。</modifiedWord>
      <trackRevisions>false</trackRevisions>
    </reviewItem>
  </reviewItems>
  <config/>
</contractReview>
</file>

<file path=customXml/itemProps1.xml><?xml version="1.0" encoding="utf-8"?>
<ds:datastoreItem xmlns:ds="http://schemas.openxmlformats.org/officeDocument/2006/customXml" ds:itemID="{acaef0d2-9e9a-419a-b88a-e6914a6bedc1}">
  <ds:schemaRefs/>
</ds:datastoreItem>
</file>

<file path=docProps/app.xml><?xml version="1.0" encoding="utf-8"?>
<Properties xmlns="http://schemas.openxmlformats.org/officeDocument/2006/extended-properties" xmlns:vt="http://schemas.openxmlformats.org/officeDocument/2006/docPropsVTypes">
  <Template>Normal.dotm</Template>
  <Pages>3</Pages>
  <Words>2065</Words>
  <Characters>2204</Characters>
  <Lines>0</Lines>
  <Paragraphs>0</Paragraphs>
  <TotalTime>44</TotalTime>
  <ScaleCrop>false</ScaleCrop>
  <LinksUpToDate>false</LinksUpToDate>
  <CharactersWithSpaces>2270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2024-05-11T07:39:00Z</dcterms:created>
  <dc:creator>Attitude</dc:creator>
  <cp:lastModifiedBy>盲井观天</cp:lastModifiedBy>
  <dcterms:modified xsi:type="dcterms:W3CDTF">2026-08-27T09:05:12Z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B2DBA9261D574B45B94B0A81A046CDFB_13</vt:lpwstr>
  </property>
  <property fmtid="{D5CDD505-2E9C-101B-9397-08002B2CF9AE}" pid="4" name="KSOTemplateDocerSaveRecord">
    <vt:lpwstr>eyJoZGlkIjoiNzA0OTdiYWZkNWY5OTVjZTk4MjUwZTk5NmNiZTQxYzgiLCJ1c2VySWQiOiIyNTg5MDM3NDcifQ==</vt:lpwstr>
  </property>
</Properties>
</file>