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9F80B">
      <w:pPr>
        <w:pStyle w:val="2"/>
        <w:rPr>
          <w:rFonts w:ascii="Times New Roman" w:hAnsi="Times New Roman" w:eastAsia="宋体" w:cs="Times New Roman"/>
          <w:sz w:val="24"/>
          <w:szCs w:val="24"/>
          <w:lang w:val="en-US"/>
        </w:rPr>
      </w:pPr>
      <w:r>
        <w:rPr>
          <w:rFonts w:ascii="Times New Roman" w:hAnsi="Times New Roman" w:eastAsia="宋体" w:cs="Times New Roman"/>
          <w:sz w:val="24"/>
          <w:szCs w:val="24"/>
          <w:lang w:val="en-US"/>
        </w:rPr>
        <w:t>证券代码：688281                                  证券简称：华秦科技</w:t>
      </w:r>
    </w:p>
    <w:p w14:paraId="30A23CDD">
      <w:pPr>
        <w:rPr>
          <w:lang w:val="en-US"/>
        </w:rPr>
      </w:pPr>
    </w:p>
    <w:p w14:paraId="2EDE651E">
      <w:pPr>
        <w:spacing w:before="120" w:beforeLines="50" w:line="360" w:lineRule="auto"/>
        <w:jc w:val="center"/>
        <w:rPr>
          <w:rFonts w:ascii="Times New Roman" w:hAnsi="Times New Roman" w:eastAsia="黑体" w:cs="Times New Roman"/>
          <w:b/>
          <w:bCs/>
          <w:sz w:val="30"/>
          <w:szCs w:val="30"/>
        </w:rPr>
      </w:pPr>
      <w:r>
        <w:rPr>
          <w:rFonts w:ascii="Times New Roman" w:hAnsi="Times New Roman" w:eastAsia="黑体" w:cs="Times New Roman"/>
          <w:b/>
          <w:bCs/>
          <w:sz w:val="30"/>
          <w:szCs w:val="30"/>
        </w:rPr>
        <w:t>陕西华秦科技实业股份有限公司</w:t>
      </w:r>
    </w:p>
    <w:p w14:paraId="5929C0CF">
      <w:pPr>
        <w:spacing w:line="360" w:lineRule="auto"/>
        <w:jc w:val="center"/>
        <w:rPr>
          <w:rFonts w:ascii="Times New Roman" w:hAnsi="Times New Roman" w:eastAsia="黑体" w:cs="Times New Roman"/>
          <w:sz w:val="30"/>
          <w:szCs w:val="30"/>
        </w:rPr>
      </w:pPr>
      <w:r>
        <w:rPr>
          <w:rFonts w:ascii="Times New Roman" w:hAnsi="Times New Roman" w:eastAsia="黑体" w:cs="Times New Roman"/>
          <w:b/>
          <w:bCs/>
          <w:sz w:val="30"/>
          <w:szCs w:val="30"/>
        </w:rPr>
        <w:t>投资者关系活动记录表</w:t>
      </w:r>
    </w:p>
    <w:p w14:paraId="2DB766D7">
      <w:pPr>
        <w:spacing w:before="51" w:after="32"/>
        <w:ind w:right="619"/>
        <w:jc w:val="right"/>
        <w:rPr>
          <w:rFonts w:ascii="Times New Roman" w:hAnsi="Times New Roman" w:cs="Times New Roman" w:eastAsiaTheme="minorEastAsia"/>
          <w:sz w:val="24"/>
          <w:szCs w:val="24"/>
          <w:lang w:val="en-US"/>
        </w:rPr>
      </w:pPr>
      <w:r>
        <w:rPr>
          <w:rFonts w:ascii="Times New Roman" w:hAnsi="Times New Roman" w:cs="Times New Roman" w:eastAsiaTheme="minorEastAsia"/>
          <w:sz w:val="24"/>
          <w:szCs w:val="24"/>
        </w:rPr>
        <w:t>编号：</w:t>
      </w:r>
      <w:r>
        <w:rPr>
          <w:rFonts w:ascii="Times New Roman" w:hAnsi="Times New Roman" w:cs="Times New Roman" w:eastAsiaTheme="minorEastAsia"/>
          <w:sz w:val="24"/>
          <w:szCs w:val="24"/>
          <w:lang w:val="en-US"/>
        </w:rPr>
        <w:t>2026</w:t>
      </w:r>
      <w:r>
        <w:rPr>
          <w:rFonts w:ascii="Times New Roman" w:hAnsi="Times New Roman" w:cs="Times New Roman" w:eastAsiaTheme="minorEastAsia"/>
          <w:sz w:val="24"/>
          <w:szCs w:val="24"/>
        </w:rPr>
        <w:t>-0</w:t>
      </w:r>
      <w:r>
        <w:rPr>
          <w:rFonts w:ascii="Times New Roman" w:hAnsi="Times New Roman" w:cs="Times New Roman" w:eastAsiaTheme="minorEastAsia"/>
          <w:sz w:val="24"/>
          <w:szCs w:val="24"/>
          <w:lang w:val="en-US"/>
        </w:rPr>
        <w:t>12</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1696"/>
        <w:gridCol w:w="6829"/>
      </w:tblGrid>
      <w:tr w14:paraId="231D8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1696" w:type="dxa"/>
            <w:vAlign w:val="center"/>
          </w:tcPr>
          <w:p w14:paraId="2CDB7842">
            <w:pPr>
              <w:pStyle w:val="12"/>
              <w:spacing w:before="120" w:beforeLines="50" w:after="120" w:afterLines="50" w:line="360" w:lineRule="auto"/>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投资者关系活动类别</w:t>
            </w:r>
          </w:p>
        </w:tc>
        <w:tc>
          <w:tcPr>
            <w:tcW w:w="6829" w:type="dxa"/>
            <w:vAlign w:val="center"/>
          </w:tcPr>
          <w:p w14:paraId="2A53FC26">
            <w:pPr>
              <w:pStyle w:val="12"/>
              <w:tabs>
                <w:tab w:val="left" w:pos="2418"/>
              </w:tabs>
              <w:spacing w:before="240" w:beforeLines="100" w:after="120" w:afterLines="50" w:line="360" w:lineRule="auto"/>
              <w:ind w:left="108"/>
              <w:rPr>
                <w:rFonts w:ascii="Times New Roman" w:hAnsi="Times New Roman" w:cs="Times New Roman" w:eastAsiaTheme="minorEastAsia"/>
                <w:sz w:val="24"/>
                <w:szCs w:val="24"/>
              </w:rPr>
            </w:pPr>
            <w:sdt>
              <w:sdtPr>
                <w:rPr>
                  <w:rFonts w:ascii="Times New Roman" w:hAnsi="Times New Roman" w:cs="Times New Roman" w:eastAsiaTheme="minorEastAsia"/>
                  <w:sz w:val="24"/>
                  <w:szCs w:val="24"/>
                </w:rPr>
                <w:id w:val="249780449"/>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ascii="MS Gothic" w:hAnsi="MS Gothic" w:cs="Times New Roman" w:eastAsiaTheme="minorEastAsia"/>
                    <w:sz w:val="24"/>
                    <w:szCs w:val="24"/>
                  </w:rPr>
                  <w:t>☐</w:t>
                </w:r>
              </w:sdtContent>
            </w:sdt>
            <w:r>
              <w:rPr>
                <w:rFonts w:ascii="Times New Roman" w:hAnsi="Times New Roman" w:cs="Times New Roman" w:eastAsiaTheme="minorEastAsia"/>
                <w:sz w:val="24"/>
                <w:szCs w:val="24"/>
              </w:rPr>
              <w:t>特</w:t>
            </w:r>
            <w:r>
              <w:rPr>
                <w:rFonts w:ascii="Times New Roman" w:hAnsi="Times New Roman" w:cs="Times New Roman" w:eastAsiaTheme="minorEastAsia"/>
                <w:spacing w:val="-3"/>
                <w:sz w:val="24"/>
                <w:szCs w:val="24"/>
              </w:rPr>
              <w:t>定</w:t>
            </w:r>
            <w:r>
              <w:rPr>
                <w:rFonts w:ascii="Times New Roman" w:hAnsi="Times New Roman" w:cs="Times New Roman" w:eastAsiaTheme="minorEastAsia"/>
                <w:sz w:val="24"/>
                <w:szCs w:val="24"/>
              </w:rPr>
              <w:t>对</w:t>
            </w:r>
            <w:r>
              <w:rPr>
                <w:rFonts w:ascii="Times New Roman" w:hAnsi="Times New Roman" w:cs="Times New Roman" w:eastAsiaTheme="minorEastAsia"/>
                <w:spacing w:val="-3"/>
                <w:sz w:val="24"/>
                <w:szCs w:val="24"/>
              </w:rPr>
              <w:t>象</w:t>
            </w:r>
            <w:r>
              <w:rPr>
                <w:rFonts w:ascii="Times New Roman" w:hAnsi="Times New Roman" w:cs="Times New Roman" w:eastAsiaTheme="minorEastAsia"/>
                <w:sz w:val="24"/>
                <w:szCs w:val="24"/>
              </w:rPr>
              <w:t>调研</w:t>
            </w:r>
            <w:r>
              <w:rPr>
                <w:rFonts w:ascii="Times New Roman" w:hAnsi="Times New Roman" w:cs="Times New Roman" w:eastAsiaTheme="minorEastAsia"/>
                <w:sz w:val="24"/>
                <w:szCs w:val="24"/>
              </w:rPr>
              <w:tab/>
            </w:r>
            <w:sdt>
              <w:sdtPr>
                <w:rPr>
                  <w:rFonts w:ascii="Times New Roman" w:hAnsi="Times New Roman" w:cs="Times New Roman" w:eastAsiaTheme="minorEastAsia"/>
                  <w:sz w:val="24"/>
                  <w:szCs w:val="24"/>
                </w:rPr>
                <w:id w:val="-416875725"/>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hint="eastAsia" w:ascii="MS Gothic" w:hAnsi="MS Gothic" w:eastAsia="MS Gothic" w:cs="Times New Roman"/>
                    <w:sz w:val="24"/>
                    <w:szCs w:val="24"/>
                  </w:rPr>
                  <w:t>☐</w:t>
                </w:r>
              </w:sdtContent>
            </w:sdt>
            <w:r>
              <w:rPr>
                <w:rFonts w:ascii="Times New Roman" w:hAnsi="Times New Roman" w:cs="Times New Roman" w:eastAsiaTheme="minorEastAsia"/>
                <w:sz w:val="24"/>
                <w:szCs w:val="24"/>
              </w:rPr>
              <w:t>分</w:t>
            </w:r>
            <w:r>
              <w:rPr>
                <w:rFonts w:ascii="Times New Roman" w:hAnsi="Times New Roman" w:cs="Times New Roman" w:eastAsiaTheme="minorEastAsia"/>
                <w:spacing w:val="-3"/>
                <w:sz w:val="24"/>
                <w:szCs w:val="24"/>
              </w:rPr>
              <w:t>析</w:t>
            </w:r>
            <w:r>
              <w:rPr>
                <w:rFonts w:ascii="Times New Roman" w:hAnsi="Times New Roman" w:cs="Times New Roman" w:eastAsiaTheme="minorEastAsia"/>
                <w:sz w:val="24"/>
                <w:szCs w:val="24"/>
              </w:rPr>
              <w:t>师</w:t>
            </w:r>
            <w:r>
              <w:rPr>
                <w:rFonts w:ascii="Times New Roman" w:hAnsi="Times New Roman" w:cs="Times New Roman" w:eastAsiaTheme="minorEastAsia"/>
                <w:spacing w:val="-3"/>
                <w:sz w:val="24"/>
                <w:szCs w:val="24"/>
              </w:rPr>
              <w:t>会</w:t>
            </w:r>
            <w:r>
              <w:rPr>
                <w:rFonts w:ascii="Times New Roman" w:hAnsi="Times New Roman" w:cs="Times New Roman" w:eastAsiaTheme="minorEastAsia"/>
                <w:sz w:val="24"/>
                <w:szCs w:val="24"/>
              </w:rPr>
              <w:t>议</w:t>
            </w:r>
          </w:p>
          <w:p w14:paraId="5D4328F7">
            <w:pPr>
              <w:pStyle w:val="12"/>
              <w:tabs>
                <w:tab w:val="left" w:pos="2418"/>
              </w:tabs>
              <w:spacing w:before="120" w:beforeLines="50" w:after="120" w:afterLines="50" w:line="360" w:lineRule="auto"/>
              <w:ind w:left="107"/>
              <w:rPr>
                <w:rFonts w:ascii="Times New Roman" w:hAnsi="Times New Roman" w:cs="Times New Roman" w:eastAsiaTheme="minorEastAsia"/>
                <w:sz w:val="24"/>
                <w:szCs w:val="24"/>
              </w:rPr>
            </w:pPr>
            <w:sdt>
              <w:sdtPr>
                <w:rPr>
                  <w:rFonts w:ascii="Times New Roman" w:hAnsi="Times New Roman" w:cs="Times New Roman" w:eastAsiaTheme="minorEastAsia"/>
                  <w:sz w:val="24"/>
                  <w:szCs w:val="24"/>
                </w:rPr>
                <w:id w:val="1206906014"/>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ascii="Segoe UI Symbol" w:hAnsi="Segoe UI Symbol" w:cs="Segoe UI Symbol" w:eastAsiaTheme="minorEastAsia"/>
                    <w:sz w:val="24"/>
                    <w:szCs w:val="24"/>
                  </w:rPr>
                  <w:t>☐</w:t>
                </w:r>
              </w:sdtContent>
            </w:sdt>
            <w:r>
              <w:rPr>
                <w:rFonts w:ascii="Times New Roman" w:hAnsi="Times New Roman" w:cs="Times New Roman" w:eastAsiaTheme="minorEastAsia"/>
                <w:sz w:val="24"/>
                <w:szCs w:val="24"/>
              </w:rPr>
              <w:t>媒</w:t>
            </w:r>
            <w:r>
              <w:rPr>
                <w:rFonts w:ascii="Times New Roman" w:hAnsi="Times New Roman" w:cs="Times New Roman" w:eastAsiaTheme="minorEastAsia"/>
                <w:spacing w:val="-3"/>
                <w:sz w:val="24"/>
                <w:szCs w:val="24"/>
              </w:rPr>
              <w:t>体</w:t>
            </w:r>
            <w:r>
              <w:rPr>
                <w:rFonts w:ascii="Times New Roman" w:hAnsi="Times New Roman" w:cs="Times New Roman" w:eastAsiaTheme="minorEastAsia"/>
                <w:sz w:val="24"/>
                <w:szCs w:val="24"/>
              </w:rPr>
              <w:t>采访</w:t>
            </w:r>
            <w:r>
              <w:rPr>
                <w:rFonts w:ascii="Times New Roman" w:hAnsi="Times New Roman" w:cs="Times New Roman" w:eastAsiaTheme="minorEastAsia"/>
                <w:sz w:val="24"/>
                <w:szCs w:val="24"/>
              </w:rPr>
              <w:tab/>
            </w:r>
            <w:sdt>
              <w:sdtPr>
                <w:rPr>
                  <w:rFonts w:ascii="Times New Roman" w:hAnsi="Times New Roman" w:cs="Times New Roman" w:eastAsiaTheme="minorEastAsia"/>
                  <w:sz w:val="24"/>
                  <w:szCs w:val="24"/>
                </w:rPr>
                <w:id w:val="-66658901"/>
                <w14:checkbox>
                  <w14:checked w14:val="1"/>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ascii="Wingdings 2" w:hAnsi="Wingdings 2" w:eastAsia="MS Gothic" w:cs="Times New Roman"/>
                    <w:sz w:val="24"/>
                    <w:szCs w:val="24"/>
                  </w:rPr>
                  <w:t></w:t>
                </w:r>
              </w:sdtContent>
            </w:sdt>
            <w:r>
              <w:rPr>
                <w:rFonts w:ascii="Times New Roman" w:hAnsi="Times New Roman" w:cs="Times New Roman" w:eastAsiaTheme="minorEastAsia"/>
                <w:sz w:val="24"/>
                <w:szCs w:val="24"/>
              </w:rPr>
              <w:t>业</w:t>
            </w:r>
            <w:r>
              <w:rPr>
                <w:rFonts w:ascii="Times New Roman" w:hAnsi="Times New Roman" w:cs="Times New Roman" w:eastAsiaTheme="minorEastAsia"/>
                <w:spacing w:val="-3"/>
                <w:sz w:val="24"/>
                <w:szCs w:val="24"/>
              </w:rPr>
              <w:t>绩</w:t>
            </w:r>
            <w:r>
              <w:rPr>
                <w:rFonts w:ascii="Times New Roman" w:hAnsi="Times New Roman" w:cs="Times New Roman" w:eastAsiaTheme="minorEastAsia"/>
                <w:sz w:val="24"/>
                <w:szCs w:val="24"/>
              </w:rPr>
              <w:t>说</w:t>
            </w:r>
            <w:r>
              <w:rPr>
                <w:rFonts w:ascii="Times New Roman" w:hAnsi="Times New Roman" w:cs="Times New Roman" w:eastAsiaTheme="minorEastAsia"/>
                <w:spacing w:val="-3"/>
                <w:sz w:val="24"/>
                <w:szCs w:val="24"/>
              </w:rPr>
              <w:t>明</w:t>
            </w:r>
            <w:r>
              <w:rPr>
                <w:rFonts w:ascii="Times New Roman" w:hAnsi="Times New Roman" w:cs="Times New Roman" w:eastAsiaTheme="minorEastAsia"/>
                <w:sz w:val="24"/>
                <w:szCs w:val="24"/>
              </w:rPr>
              <w:t>会</w:t>
            </w:r>
          </w:p>
          <w:p w14:paraId="16238505">
            <w:pPr>
              <w:pStyle w:val="12"/>
              <w:tabs>
                <w:tab w:val="left" w:pos="2418"/>
              </w:tabs>
              <w:spacing w:before="120" w:beforeLines="50" w:after="120" w:afterLines="50" w:line="360" w:lineRule="auto"/>
              <w:ind w:left="107"/>
              <w:rPr>
                <w:rFonts w:ascii="Times New Roman" w:hAnsi="Times New Roman" w:cs="Times New Roman" w:eastAsiaTheme="minorEastAsia"/>
                <w:sz w:val="24"/>
                <w:szCs w:val="24"/>
              </w:rPr>
            </w:pPr>
            <w:sdt>
              <w:sdtPr>
                <w:rPr>
                  <w:rFonts w:ascii="Times New Roman" w:hAnsi="Times New Roman" w:cs="Times New Roman" w:eastAsiaTheme="minorEastAsia"/>
                  <w:sz w:val="24"/>
                  <w:szCs w:val="24"/>
                </w:rPr>
                <w:id w:val="-1848167434"/>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ascii="Segoe UI Symbol" w:hAnsi="Segoe UI Symbol" w:cs="Segoe UI Symbol" w:eastAsiaTheme="minorEastAsia"/>
                    <w:sz w:val="24"/>
                    <w:szCs w:val="24"/>
                  </w:rPr>
                  <w:t>☐</w:t>
                </w:r>
              </w:sdtContent>
            </w:sdt>
            <w:r>
              <w:rPr>
                <w:rFonts w:ascii="Times New Roman" w:hAnsi="Times New Roman" w:cs="Times New Roman" w:eastAsiaTheme="minorEastAsia"/>
                <w:sz w:val="24"/>
                <w:szCs w:val="24"/>
              </w:rPr>
              <w:t>新</w:t>
            </w:r>
            <w:r>
              <w:rPr>
                <w:rFonts w:ascii="Times New Roman" w:hAnsi="Times New Roman" w:cs="Times New Roman" w:eastAsiaTheme="minorEastAsia"/>
                <w:spacing w:val="-3"/>
                <w:sz w:val="24"/>
                <w:szCs w:val="24"/>
              </w:rPr>
              <w:t>闻</w:t>
            </w:r>
            <w:r>
              <w:rPr>
                <w:rFonts w:ascii="Times New Roman" w:hAnsi="Times New Roman" w:cs="Times New Roman" w:eastAsiaTheme="minorEastAsia"/>
                <w:sz w:val="24"/>
                <w:szCs w:val="24"/>
              </w:rPr>
              <w:t>发</w:t>
            </w:r>
            <w:r>
              <w:rPr>
                <w:rFonts w:ascii="Times New Roman" w:hAnsi="Times New Roman" w:cs="Times New Roman" w:eastAsiaTheme="minorEastAsia"/>
                <w:spacing w:val="-3"/>
                <w:sz w:val="24"/>
                <w:szCs w:val="24"/>
              </w:rPr>
              <w:t>布</w:t>
            </w:r>
            <w:r>
              <w:rPr>
                <w:rFonts w:ascii="Times New Roman" w:hAnsi="Times New Roman" w:cs="Times New Roman" w:eastAsiaTheme="minorEastAsia"/>
                <w:sz w:val="24"/>
                <w:szCs w:val="24"/>
              </w:rPr>
              <w:t>会</w:t>
            </w:r>
            <w:r>
              <w:rPr>
                <w:rFonts w:ascii="Times New Roman" w:hAnsi="Times New Roman" w:cs="Times New Roman" w:eastAsiaTheme="minorEastAsia"/>
                <w:sz w:val="24"/>
                <w:szCs w:val="24"/>
              </w:rPr>
              <w:tab/>
            </w:r>
            <w:sdt>
              <w:sdtPr>
                <w:rPr>
                  <w:rFonts w:ascii="Times New Roman" w:hAnsi="Times New Roman" w:cs="Times New Roman" w:eastAsiaTheme="minorEastAsia"/>
                  <w:sz w:val="24"/>
                  <w:szCs w:val="24"/>
                </w:rPr>
                <w:id w:val="412049691"/>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ascii="Segoe UI Symbol" w:hAnsi="Segoe UI Symbol" w:cs="Segoe UI Symbol" w:eastAsiaTheme="minorEastAsia"/>
                    <w:sz w:val="24"/>
                    <w:szCs w:val="24"/>
                  </w:rPr>
                  <w:t>☐</w:t>
                </w:r>
              </w:sdtContent>
            </w:sdt>
            <w:r>
              <w:rPr>
                <w:rFonts w:ascii="Times New Roman" w:hAnsi="Times New Roman" w:cs="Times New Roman" w:eastAsiaTheme="minorEastAsia"/>
                <w:sz w:val="24"/>
                <w:szCs w:val="24"/>
              </w:rPr>
              <w:t>路</w:t>
            </w:r>
            <w:r>
              <w:rPr>
                <w:rFonts w:ascii="Times New Roman" w:hAnsi="Times New Roman" w:cs="Times New Roman" w:eastAsiaTheme="minorEastAsia"/>
                <w:spacing w:val="-3"/>
                <w:sz w:val="24"/>
                <w:szCs w:val="24"/>
              </w:rPr>
              <w:t>演</w:t>
            </w:r>
            <w:r>
              <w:rPr>
                <w:rFonts w:ascii="Times New Roman" w:hAnsi="Times New Roman" w:cs="Times New Roman" w:eastAsiaTheme="minorEastAsia"/>
                <w:sz w:val="24"/>
                <w:szCs w:val="24"/>
              </w:rPr>
              <w:t>活动</w:t>
            </w:r>
          </w:p>
          <w:p w14:paraId="6BFFC255">
            <w:pPr>
              <w:pStyle w:val="12"/>
              <w:spacing w:before="120" w:beforeLines="50" w:after="120" w:afterLines="50" w:line="360" w:lineRule="auto"/>
              <w:ind w:left="107"/>
              <w:rPr>
                <w:rFonts w:ascii="Times New Roman" w:hAnsi="Times New Roman" w:cs="Times New Roman" w:eastAsiaTheme="minorEastAsia"/>
                <w:sz w:val="24"/>
                <w:szCs w:val="24"/>
              </w:rPr>
            </w:pPr>
            <w:sdt>
              <w:sdtPr>
                <w:rPr>
                  <w:rFonts w:ascii="Times New Roman" w:hAnsi="Times New Roman" w:cs="Times New Roman" w:eastAsiaTheme="minorEastAsia"/>
                  <w:sz w:val="24"/>
                  <w:szCs w:val="24"/>
                </w:rPr>
                <w:id w:val="-1333366911"/>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ascii="Segoe UI Symbol" w:hAnsi="Segoe UI Symbol" w:eastAsia="MS Gothic" w:cs="Segoe UI Symbol"/>
                    <w:sz w:val="24"/>
                    <w:szCs w:val="24"/>
                  </w:rPr>
                  <w:t>☐</w:t>
                </w:r>
              </w:sdtContent>
            </w:sdt>
            <w:r>
              <w:rPr>
                <w:rFonts w:ascii="Times New Roman" w:hAnsi="Times New Roman" w:cs="Times New Roman" w:eastAsiaTheme="minorEastAsia"/>
                <w:sz w:val="24"/>
                <w:szCs w:val="24"/>
              </w:rPr>
              <w:t>现场参观</w:t>
            </w:r>
            <w:r>
              <w:rPr>
                <w:rFonts w:hint="eastAsia"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t xml:space="preserve">         </w:t>
            </w:r>
            <w:sdt>
              <w:sdtPr>
                <w:rPr>
                  <w:rFonts w:ascii="Times New Roman" w:hAnsi="Times New Roman" w:cs="Times New Roman" w:eastAsiaTheme="minorEastAsia"/>
                  <w:sz w:val="24"/>
                  <w:szCs w:val="24"/>
                </w:rPr>
                <w:id w:val="400885218"/>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hint="eastAsia" w:ascii="MS Gothic" w:hAnsi="MS Gothic" w:eastAsia="MS Gothic" w:cs="Times New Roman"/>
                    <w:sz w:val="24"/>
                    <w:szCs w:val="24"/>
                  </w:rPr>
                  <w:t>☐</w:t>
                </w:r>
              </w:sdtContent>
            </w:sdt>
            <w:r>
              <w:rPr>
                <w:rFonts w:ascii="Times New Roman" w:hAnsi="Times New Roman" w:cs="Times New Roman" w:eastAsiaTheme="minorEastAsia"/>
                <w:sz w:val="24"/>
                <w:szCs w:val="24"/>
              </w:rPr>
              <w:t>其他（</w:t>
            </w:r>
            <w:r>
              <w:rPr>
                <w:rFonts w:hint="eastAsia" w:ascii="Times New Roman" w:hAnsi="Times New Roman" w:cs="Times New Roman" w:eastAsiaTheme="minorEastAsia"/>
                <w:sz w:val="24"/>
                <w:szCs w:val="24"/>
                <w:u w:val="single"/>
              </w:rPr>
              <w:t>请文字说明其他活动内容</w:t>
            </w:r>
            <w:r>
              <w:rPr>
                <w:rFonts w:ascii="Times New Roman" w:hAnsi="Times New Roman" w:cs="Times New Roman" w:eastAsiaTheme="minorEastAsia"/>
                <w:sz w:val="24"/>
                <w:szCs w:val="24"/>
                <w:u w:val="single"/>
              </w:rPr>
              <w:t>）</w:t>
            </w:r>
          </w:p>
        </w:tc>
      </w:tr>
      <w:tr w14:paraId="6613C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26" w:hRule="atLeast"/>
          <w:jc w:val="center"/>
        </w:trPr>
        <w:tc>
          <w:tcPr>
            <w:tcW w:w="1696" w:type="dxa"/>
            <w:vAlign w:val="center"/>
          </w:tcPr>
          <w:p w14:paraId="67840AC9">
            <w:pPr>
              <w:pStyle w:val="12"/>
              <w:spacing w:before="120" w:beforeLines="50" w:after="120" w:afterLines="50"/>
              <w:ind w:right="96"/>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参与单位名称</w:t>
            </w:r>
          </w:p>
        </w:tc>
        <w:tc>
          <w:tcPr>
            <w:tcW w:w="6829" w:type="dxa"/>
            <w:vAlign w:val="center"/>
          </w:tcPr>
          <w:p w14:paraId="513E70EB">
            <w:pPr>
              <w:pStyle w:val="12"/>
              <w:spacing w:before="120" w:beforeLines="50" w:after="120" w:afterLines="50"/>
              <w:rPr>
                <w:rFonts w:ascii="Times New Roman" w:hAnsi="Times New Roman" w:cs="Times New Roman" w:eastAsiaTheme="minorEastAsia"/>
                <w:sz w:val="24"/>
                <w:szCs w:val="24"/>
              </w:rPr>
            </w:pPr>
            <w:r>
              <w:rPr>
                <w:rFonts w:hint="eastAsia" w:ascii="Times New Roman" w:hAnsi="Times New Roman" w:cs="Times New Roman" w:eastAsiaTheme="minorEastAsia"/>
                <w:sz w:val="24"/>
                <w:szCs w:val="24"/>
              </w:rPr>
              <w:t>线上参与公司2026年半年度业绩说明会的投资者</w:t>
            </w:r>
          </w:p>
        </w:tc>
      </w:tr>
      <w:tr w14:paraId="7F964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696" w:type="dxa"/>
            <w:vAlign w:val="center"/>
          </w:tcPr>
          <w:p w14:paraId="479F45E2">
            <w:pPr>
              <w:pStyle w:val="12"/>
              <w:spacing w:before="120" w:beforeLines="50" w:after="120" w:afterLines="50"/>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时间</w:t>
            </w:r>
          </w:p>
        </w:tc>
        <w:tc>
          <w:tcPr>
            <w:tcW w:w="6829" w:type="dxa"/>
            <w:vAlign w:val="center"/>
          </w:tcPr>
          <w:p w14:paraId="1D487FBD">
            <w:pPr>
              <w:spacing w:before="120" w:beforeLines="50" w:after="120" w:afterLines="50"/>
              <w:rPr>
                <w:rFonts w:ascii="Times New Roman" w:hAnsi="Times New Roman" w:cs="Times New Roman" w:eastAsiaTheme="minorEastAsia"/>
                <w:sz w:val="24"/>
                <w:szCs w:val="24"/>
                <w:lang w:val="en-US"/>
              </w:rPr>
            </w:pPr>
            <w:r>
              <w:rPr>
                <w:rFonts w:ascii="Times New Roman" w:hAnsi="Times New Roman" w:cs="Times New Roman" w:eastAsiaTheme="minorEastAsia"/>
                <w:sz w:val="24"/>
                <w:szCs w:val="24"/>
              </w:rPr>
              <w:t>2026年</w:t>
            </w:r>
            <w:r>
              <w:rPr>
                <w:rFonts w:ascii="Times New Roman" w:hAnsi="Times New Roman" w:cs="Times New Roman" w:eastAsiaTheme="minorEastAsia"/>
                <w:sz w:val="24"/>
                <w:szCs w:val="24"/>
                <w:lang w:val="en-US"/>
              </w:rPr>
              <w:t>8</w:t>
            </w:r>
            <w:r>
              <w:rPr>
                <w:rFonts w:hint="eastAsia" w:ascii="Times New Roman" w:hAnsi="Times New Roman" w:cs="Times New Roman" w:eastAsiaTheme="minorEastAsia"/>
                <w:sz w:val="24"/>
                <w:szCs w:val="24"/>
              </w:rPr>
              <w:t>月</w:t>
            </w:r>
            <w:r>
              <w:rPr>
                <w:rFonts w:hint="eastAsia" w:ascii="Times New Roman" w:hAnsi="Times New Roman" w:cs="Times New Roman" w:eastAsiaTheme="minorEastAsia"/>
                <w:sz w:val="24"/>
                <w:szCs w:val="24"/>
                <w:lang w:val="en-US"/>
              </w:rPr>
              <w:t>2</w:t>
            </w:r>
            <w:r>
              <w:rPr>
                <w:rFonts w:ascii="Times New Roman" w:hAnsi="Times New Roman" w:cs="Times New Roman" w:eastAsiaTheme="minorEastAsia"/>
                <w:sz w:val="24"/>
                <w:szCs w:val="24"/>
                <w:lang w:val="en-US"/>
              </w:rPr>
              <w:t>7</w:t>
            </w:r>
            <w:r>
              <w:rPr>
                <w:rFonts w:hint="eastAsia" w:ascii="Times New Roman" w:hAnsi="Times New Roman" w:cs="Times New Roman" w:eastAsiaTheme="minorEastAsia"/>
                <w:sz w:val="24"/>
                <w:szCs w:val="24"/>
              </w:rPr>
              <w:t>日</w:t>
            </w:r>
            <w:r>
              <w:rPr>
                <w:rFonts w:hint="eastAsia" w:ascii="Times New Roman" w:hAnsi="Times New Roman" w:cs="Times New Roman" w:eastAsiaTheme="minorEastAsia"/>
                <w:sz w:val="24"/>
                <w:szCs w:val="24"/>
                <w:lang w:val="en-US"/>
              </w:rPr>
              <w:t xml:space="preserve"> 15:00-16:00</w:t>
            </w:r>
          </w:p>
        </w:tc>
      </w:tr>
      <w:tr w14:paraId="01307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1696" w:type="dxa"/>
            <w:vAlign w:val="center"/>
          </w:tcPr>
          <w:p w14:paraId="002B733E">
            <w:pPr>
              <w:pStyle w:val="12"/>
              <w:spacing w:before="120" w:beforeLines="50" w:after="120" w:afterLines="50"/>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地点</w:t>
            </w:r>
          </w:p>
        </w:tc>
        <w:tc>
          <w:tcPr>
            <w:tcW w:w="6829" w:type="dxa"/>
            <w:vAlign w:val="center"/>
          </w:tcPr>
          <w:p w14:paraId="2545A33B">
            <w:pPr>
              <w:pStyle w:val="12"/>
              <w:spacing w:before="120" w:beforeLines="50" w:after="120" w:afterLines="50"/>
              <w:rPr>
                <w:rFonts w:ascii="Times New Roman" w:hAnsi="Times New Roman" w:cs="Times New Roman" w:eastAsiaTheme="minorEastAsia"/>
                <w:sz w:val="24"/>
                <w:szCs w:val="24"/>
              </w:rPr>
            </w:pPr>
            <w:r>
              <w:rPr>
                <w:rFonts w:hint="eastAsia" w:ascii="Times New Roman" w:hAnsi="Times New Roman" w:cs="Times New Roman" w:eastAsiaTheme="minorEastAsia"/>
                <w:sz w:val="24"/>
                <w:szCs w:val="24"/>
              </w:rPr>
              <w:t>价值在线（https://www.ir-online.cn/）网络互动</w:t>
            </w:r>
          </w:p>
        </w:tc>
      </w:tr>
      <w:tr w14:paraId="40B9E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696" w:type="dxa"/>
            <w:vAlign w:val="center"/>
          </w:tcPr>
          <w:p w14:paraId="07164810">
            <w:pPr>
              <w:pStyle w:val="12"/>
              <w:spacing w:before="120" w:beforeLines="50" w:after="120" w:afterLines="50"/>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上市公司接待人员姓名</w:t>
            </w:r>
          </w:p>
        </w:tc>
        <w:tc>
          <w:tcPr>
            <w:tcW w:w="6829" w:type="dxa"/>
            <w:vAlign w:val="center"/>
          </w:tcPr>
          <w:p w14:paraId="1EA2EAB7">
            <w:pPr>
              <w:pStyle w:val="12"/>
              <w:spacing w:before="120" w:beforeLines="50" w:after="120" w:afterLines="50"/>
              <w:rPr>
                <w:rFonts w:ascii="Times New Roman" w:hAnsi="Times New Roman" w:cs="Times New Roman" w:eastAsiaTheme="minorEastAsia"/>
                <w:sz w:val="24"/>
                <w:szCs w:val="24"/>
              </w:rPr>
            </w:pPr>
            <w:r>
              <w:rPr>
                <w:rFonts w:hint="eastAsia" w:ascii="Times New Roman" w:hAnsi="Times New Roman" w:cs="Times New Roman" w:eastAsiaTheme="minorEastAsia"/>
                <w:sz w:val="24"/>
                <w:szCs w:val="24"/>
              </w:rPr>
              <w:t>董事长：折生阳</w:t>
            </w:r>
          </w:p>
          <w:p w14:paraId="62222386">
            <w:pPr>
              <w:pStyle w:val="12"/>
              <w:spacing w:before="120" w:beforeLines="50" w:after="120" w:afterLines="50"/>
              <w:rPr>
                <w:rFonts w:ascii="Times New Roman" w:hAnsi="Times New Roman" w:cs="Times New Roman" w:eastAsiaTheme="minorEastAsia"/>
                <w:sz w:val="24"/>
                <w:szCs w:val="24"/>
              </w:rPr>
            </w:pPr>
            <w:r>
              <w:rPr>
                <w:rFonts w:hint="eastAsia" w:ascii="Times New Roman" w:hAnsi="Times New Roman" w:cs="Times New Roman" w:eastAsiaTheme="minorEastAsia"/>
                <w:sz w:val="24"/>
                <w:szCs w:val="24"/>
              </w:rPr>
              <w:t>董事、总经理：黄智斌</w:t>
            </w:r>
          </w:p>
          <w:p w14:paraId="14868536">
            <w:pPr>
              <w:pStyle w:val="12"/>
              <w:spacing w:before="120" w:beforeLines="50" w:after="120" w:afterLines="50"/>
              <w:rPr>
                <w:rFonts w:ascii="Times New Roman" w:hAnsi="Times New Roman" w:cs="Times New Roman" w:eastAsiaTheme="minorEastAsia"/>
                <w:sz w:val="24"/>
                <w:szCs w:val="24"/>
              </w:rPr>
            </w:pPr>
            <w:r>
              <w:rPr>
                <w:rFonts w:hint="eastAsia" w:ascii="Times New Roman" w:hAnsi="Times New Roman" w:cs="Times New Roman" w:eastAsiaTheme="minorEastAsia"/>
                <w:sz w:val="24"/>
                <w:szCs w:val="24"/>
              </w:rPr>
              <w:t>副总经理、财务总监、董事会秘书：武腾飞</w:t>
            </w:r>
          </w:p>
          <w:p w14:paraId="08117034">
            <w:pPr>
              <w:pStyle w:val="12"/>
              <w:spacing w:before="120" w:beforeLines="50" w:after="120" w:afterLines="50"/>
              <w:rPr>
                <w:rFonts w:ascii="Times New Roman" w:hAnsi="Times New Roman" w:cs="Times New Roman" w:eastAsiaTheme="minorEastAsia"/>
                <w:sz w:val="24"/>
                <w:szCs w:val="24"/>
              </w:rPr>
            </w:pPr>
            <w:r>
              <w:rPr>
                <w:rFonts w:hint="eastAsia" w:ascii="Times New Roman" w:hAnsi="Times New Roman" w:cs="Times New Roman" w:eastAsiaTheme="minorEastAsia"/>
                <w:sz w:val="24"/>
                <w:szCs w:val="24"/>
              </w:rPr>
              <w:t>独立董事：马均章</w:t>
            </w:r>
          </w:p>
        </w:tc>
      </w:tr>
      <w:tr w14:paraId="369C7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416" w:hRule="atLeast"/>
          <w:jc w:val="center"/>
        </w:trPr>
        <w:tc>
          <w:tcPr>
            <w:tcW w:w="1696" w:type="dxa"/>
          </w:tcPr>
          <w:p w14:paraId="2806C304">
            <w:pPr>
              <w:pStyle w:val="12"/>
              <w:spacing w:before="120" w:beforeLines="50" w:after="120" w:afterLines="50" w:line="360" w:lineRule="auto"/>
              <w:rPr>
                <w:rFonts w:ascii="Times New Roman" w:hAnsi="Times New Roman" w:cs="Times New Roman" w:eastAsiaTheme="minorEastAsia"/>
                <w:b/>
                <w:bCs/>
                <w:sz w:val="24"/>
                <w:szCs w:val="24"/>
              </w:rPr>
            </w:pPr>
          </w:p>
          <w:p w14:paraId="21001BE1">
            <w:pPr>
              <w:pStyle w:val="12"/>
              <w:spacing w:before="120" w:beforeLines="50" w:after="120" w:afterLines="50" w:line="360" w:lineRule="auto"/>
              <w:rPr>
                <w:rFonts w:ascii="Times New Roman" w:hAnsi="Times New Roman" w:cs="Times New Roman" w:eastAsiaTheme="minorEastAsia"/>
                <w:b/>
                <w:bCs/>
                <w:sz w:val="24"/>
                <w:szCs w:val="24"/>
              </w:rPr>
            </w:pPr>
          </w:p>
          <w:p w14:paraId="72F2DE95">
            <w:pPr>
              <w:pStyle w:val="12"/>
              <w:spacing w:before="120" w:beforeLines="50" w:after="120" w:afterLines="50" w:line="360" w:lineRule="auto"/>
              <w:ind w:right="96"/>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投资者关系活动主要内容介绍</w:t>
            </w:r>
          </w:p>
        </w:tc>
        <w:tc>
          <w:tcPr>
            <w:tcW w:w="6829" w:type="dxa"/>
          </w:tcPr>
          <w:p w14:paraId="4462C84E">
            <w:pPr>
              <w:pStyle w:val="12"/>
              <w:spacing w:before="120" w:beforeLines="50" w:after="120" w:afterLines="50" w:line="360" w:lineRule="auto"/>
              <w:ind w:firstLine="482" w:firstLineChars="200"/>
              <w:jc w:val="both"/>
              <w:rPr>
                <w:rFonts w:ascii="Times New Roman" w:hAnsi="Times New Roman" w:eastAsia="宋体" w:cs="Times New Roman"/>
                <w:b/>
                <w:sz w:val="24"/>
                <w:szCs w:val="24"/>
              </w:rPr>
            </w:pPr>
            <w:r>
              <w:rPr>
                <w:rFonts w:ascii="Times New Roman" w:hAnsi="Times New Roman" w:eastAsia="宋体" w:cs="Times New Roman"/>
                <w:b/>
                <w:sz w:val="24"/>
                <w:szCs w:val="24"/>
              </w:rPr>
              <w:t>1.</w:t>
            </w:r>
            <w:r>
              <w:rPr>
                <w:rFonts w:hint="eastAsia" w:ascii="Times New Roman" w:hAnsi="Times New Roman" w:eastAsia="宋体" w:cs="Times New Roman"/>
                <w:b/>
                <w:sz w:val="24"/>
                <w:szCs w:val="24"/>
              </w:rPr>
              <w:t>为什么增收不增利？下一季度能扭转吗？</w:t>
            </w:r>
          </w:p>
          <w:p w14:paraId="228F0897">
            <w:pPr>
              <w:pStyle w:val="12"/>
              <w:spacing w:before="120" w:beforeLines="50" w:after="120" w:afterLines="50"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答</w:t>
            </w:r>
            <w:r>
              <w:rPr>
                <w:rFonts w:hint="eastAsia" w:ascii="Times New Roman" w:hAnsi="Times New Roman" w:eastAsia="宋体" w:cs="Times New Roman"/>
                <w:sz w:val="24"/>
                <w:szCs w:val="24"/>
              </w:rPr>
              <w:t>：尊敬的投资者，您好！</w:t>
            </w:r>
            <w:r>
              <w:rPr>
                <w:rFonts w:ascii="Times New Roman" w:hAnsi="Times New Roman" w:eastAsia="宋体" w:cs="Times New Roman"/>
                <w:sz w:val="24"/>
                <w:szCs w:val="24"/>
              </w:rPr>
              <w:t>2026年上半年，公司实现营业收入73,395.34万元，较上年同期增长42.12%；实现归属于上市公司股东的净利润17,120.65万元，较上年同期增长17.55%。公司整体盈利规模持续提升，利润指标增速低于营业收入增速，主要系多项因素叠加影响所致，具体如下：（1）本期母公司特种功能材料等相关业务收入较去年同期增长20.50%，净利润较去年同期增长22.11%。子公司相关业务收入较去年同期增长较为明显，但由于子公司当前处于业务扩张或产能爬坡阶段，试运行成本及未达产产线的运营成本较高，导</w:t>
            </w:r>
            <w:r>
              <w:rPr>
                <w:rFonts w:hint="eastAsia" w:ascii="Times New Roman" w:hAnsi="Times New Roman" w:eastAsia="宋体" w:cs="Times New Roman"/>
                <w:sz w:val="24"/>
                <w:szCs w:val="24"/>
              </w:rPr>
              <w:t>致投入与当期收益暂时不匹配，部分子公司尚未实现盈利，对公司整体盈利水平形成阶段性压力。（</w:t>
            </w:r>
            <w:r>
              <w:rPr>
                <w:rFonts w:ascii="Times New Roman" w:hAnsi="Times New Roman" w:eastAsia="宋体" w:cs="Times New Roman"/>
                <w:sz w:val="24"/>
                <w:szCs w:val="24"/>
              </w:rPr>
              <w:t>2）公司本期实施限制性股票激励计划，确认股份支付费用956.97万元，对当期利润形成一定影响。（3）由于公司整体规模的扩张，人员费用、固定资产折旧、研发费用、管理费用等较去年同期增加。感谢您的关注！</w:t>
            </w:r>
          </w:p>
          <w:p w14:paraId="411AA33F">
            <w:pPr>
              <w:pStyle w:val="12"/>
              <w:spacing w:before="120" w:beforeLines="50" w:after="120" w:afterLines="50" w:line="360" w:lineRule="auto"/>
              <w:ind w:firstLine="482" w:firstLineChars="200"/>
              <w:jc w:val="both"/>
              <w:rPr>
                <w:rFonts w:ascii="Times New Roman" w:hAnsi="Times New Roman" w:eastAsia="宋体" w:cs="Times New Roman"/>
                <w:b/>
                <w:sz w:val="24"/>
                <w:szCs w:val="24"/>
              </w:rPr>
            </w:pPr>
            <w:r>
              <w:rPr>
                <w:rFonts w:ascii="Times New Roman" w:hAnsi="Times New Roman" w:eastAsia="宋体" w:cs="Times New Roman"/>
                <w:b/>
                <w:sz w:val="24"/>
                <w:szCs w:val="24"/>
              </w:rPr>
              <w:t>2.</w:t>
            </w:r>
            <w:r>
              <w:rPr>
                <w:rFonts w:hint="eastAsia" w:ascii="Times New Roman" w:hAnsi="Times New Roman" w:eastAsia="宋体" w:cs="Times New Roman"/>
                <w:b/>
                <w:sz w:val="24"/>
                <w:szCs w:val="24"/>
              </w:rPr>
              <w:t>请问公司控股子公司上海瑞华晟当前的产能利用率处于什么水平？二期产线投产后整体产能释放进度如何？感谢回复。</w:t>
            </w:r>
            <w:r>
              <w:rPr>
                <w:rFonts w:ascii="Times New Roman" w:hAnsi="Times New Roman" w:eastAsia="宋体" w:cs="Times New Roman"/>
                <w:b/>
                <w:sz w:val="24"/>
                <w:szCs w:val="24"/>
              </w:rPr>
              <w:t xml:space="preserve"> </w:t>
            </w:r>
          </w:p>
          <w:p w14:paraId="1F3047E2">
            <w:pPr>
              <w:pStyle w:val="12"/>
              <w:spacing w:before="120" w:beforeLines="50" w:after="120" w:afterLines="50"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答</w:t>
            </w:r>
            <w:r>
              <w:rPr>
                <w:rFonts w:hint="eastAsia" w:ascii="Times New Roman" w:hAnsi="Times New Roman" w:eastAsia="宋体" w:cs="Times New Roman"/>
                <w:sz w:val="24"/>
                <w:szCs w:val="24"/>
              </w:rPr>
              <w:t>：尊敬</w:t>
            </w:r>
            <w:r>
              <w:rPr>
                <w:rFonts w:hint="eastAsia" w:ascii="Times New Roman" w:hAnsi="Times New Roman" w:eastAsia="宋体" w:cs="Times New Roman"/>
                <w:sz w:val="24"/>
                <w:szCs w:val="24"/>
                <w:lang w:eastAsia="zh-CN"/>
              </w:rPr>
              <w:t>的</w:t>
            </w:r>
            <w:r>
              <w:rPr>
                <w:rFonts w:hint="eastAsia" w:ascii="Times New Roman" w:hAnsi="Times New Roman" w:eastAsia="宋体" w:cs="Times New Roman"/>
                <w:sz w:val="24"/>
                <w:szCs w:val="24"/>
              </w:rPr>
              <w:t>投资者，您好！上海瑞华晟持续开展跟研试制及市场拓展，并根据经营进展开展产线建设。上海瑞华晟已具备承接业务的各项资质条件，基本完成航空用陶瓷基复合材料规模化研制和生产能力建设，并通过高度定制化，实现了关键装备自主研发集成，可根据客户需求，定制化开展航空发动机、燃气轮机、航空器机身和核工业等热端部件用陶瓷基复合材料结构件研制和批量化生产，产品涵盖氧化物陶瓷基复合材料构件、</w:t>
            </w:r>
            <w:r>
              <w:rPr>
                <w:rFonts w:ascii="Times New Roman" w:hAnsi="Times New Roman" w:eastAsia="宋体" w:cs="Times New Roman"/>
                <w:sz w:val="24"/>
                <w:szCs w:val="24"/>
              </w:rPr>
              <w:t>SiC/SiC复合材料构件和功能结构一体化陶瓷基复合材料构件等。上海瑞华晟已实现从基础研究、产品研制到工程应用的全线贯通和自主可控，依</w:t>
            </w:r>
            <w:r>
              <w:rPr>
                <w:rFonts w:hint="eastAsia" w:ascii="Times New Roman" w:hAnsi="Times New Roman" w:eastAsia="宋体" w:cs="Times New Roman"/>
                <w:sz w:val="24"/>
                <w:szCs w:val="24"/>
              </w:rPr>
              <w:t>托现有技术储备和产能条件，上海瑞华晟已与多家设计院所和主机厂建立了合作关系，提供航空器机身，尾喷部件、涡轮部件、燃烧室等航空发动机热端部件多种关键构件研制工作，部分构件已顺利通过考核验证。</w:t>
            </w:r>
          </w:p>
          <w:p w14:paraId="6C24F1E2">
            <w:pPr>
              <w:pStyle w:val="12"/>
              <w:spacing w:before="120" w:beforeLines="50" w:after="120" w:afterLines="50" w:line="360" w:lineRule="auto"/>
              <w:ind w:firstLine="482" w:firstLineChars="200"/>
              <w:jc w:val="both"/>
              <w:rPr>
                <w:rFonts w:ascii="Times New Roman" w:hAnsi="Times New Roman" w:eastAsia="宋体" w:cs="Times New Roman"/>
                <w:b/>
                <w:sz w:val="24"/>
                <w:szCs w:val="24"/>
              </w:rPr>
            </w:pPr>
            <w:r>
              <w:rPr>
                <w:rFonts w:ascii="Times New Roman" w:hAnsi="Times New Roman" w:eastAsia="宋体" w:cs="Times New Roman"/>
                <w:b/>
                <w:sz w:val="24"/>
                <w:szCs w:val="24"/>
              </w:rPr>
              <w:t>3.</w:t>
            </w:r>
            <w:r>
              <w:rPr>
                <w:rFonts w:hint="eastAsia" w:ascii="Times New Roman" w:hAnsi="Times New Roman" w:eastAsia="宋体" w:cs="Times New Roman"/>
                <w:b/>
                <w:sz w:val="24"/>
                <w:szCs w:val="24"/>
              </w:rPr>
              <w:t>请问公司控股子公司南京华秦光声的声学超材料降噪产品，是否可应用于数据中心机房、算力集群等场景的噪声治理？针对海外市场严格的环境噪声合规要求，公司相关产品是否具备适配能力，有无海外数据中心领域的业务拓展规划？感谢回复。</w:t>
            </w:r>
            <w:r>
              <w:rPr>
                <w:rFonts w:ascii="Times New Roman" w:hAnsi="Times New Roman" w:eastAsia="宋体" w:cs="Times New Roman"/>
                <w:b/>
                <w:sz w:val="24"/>
                <w:szCs w:val="24"/>
              </w:rPr>
              <w:t xml:space="preserve"> </w:t>
            </w:r>
          </w:p>
          <w:p w14:paraId="6F7A9A56">
            <w:pPr>
              <w:pStyle w:val="12"/>
              <w:spacing w:before="120" w:beforeLines="50" w:after="120" w:afterLines="50"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答</w:t>
            </w:r>
            <w:r>
              <w:rPr>
                <w:rFonts w:hint="eastAsia" w:ascii="Times New Roman" w:hAnsi="Times New Roman" w:eastAsia="宋体" w:cs="Times New Roman"/>
                <w:sz w:val="24"/>
                <w:szCs w:val="24"/>
              </w:rPr>
              <w:t>：尊敬的投资者，您好！华秦光声围绕声学超材料、声像检测、激光超声无损检测等核心技术方向，持续推进研发成果向场景化产品转化。</w:t>
            </w:r>
            <w:r>
              <w:rPr>
                <w:rFonts w:ascii="Times New Roman" w:hAnsi="Times New Roman" w:eastAsia="宋体" w:cs="Times New Roman"/>
                <w:sz w:val="24"/>
                <w:szCs w:val="24"/>
              </w:rPr>
              <w:t>2026年上半年，华秦光声持续聚焦半导体、能源电力、储能温控、无损检测、工业在线监测等重点行业，围绕无尘静音间、超静音电站、储能消声器、声像检测设备、激光超声检测设备等产品开展客户拓展和项目推进，并在储能、半导体、电力等方向形成一批重点客户和示范项目，相关产品可用于数据中心机房、算力集群等场景的噪声治理。针对海外市场严格的环境噪声合规要求，公司相关产品具备适配能力，公司储能领域的最终应用客</w:t>
            </w:r>
            <w:r>
              <w:rPr>
                <w:rFonts w:hint="eastAsia" w:ascii="Times New Roman" w:hAnsi="Times New Roman" w:eastAsia="宋体" w:cs="Times New Roman"/>
                <w:sz w:val="24"/>
                <w:szCs w:val="24"/>
              </w:rPr>
              <w:t>户目前主要集中在海外。感谢您的关注！</w:t>
            </w:r>
          </w:p>
          <w:p w14:paraId="1BA17F86">
            <w:pPr>
              <w:pStyle w:val="12"/>
              <w:spacing w:before="120" w:beforeLines="50" w:after="120" w:afterLines="50" w:line="360" w:lineRule="auto"/>
              <w:ind w:firstLine="482" w:firstLineChars="200"/>
              <w:jc w:val="both"/>
              <w:rPr>
                <w:rFonts w:ascii="Times New Roman" w:hAnsi="Times New Roman" w:eastAsia="宋体" w:cs="Times New Roman"/>
                <w:b/>
                <w:sz w:val="24"/>
                <w:szCs w:val="24"/>
              </w:rPr>
            </w:pPr>
            <w:r>
              <w:rPr>
                <w:rFonts w:hint="eastAsia" w:ascii="Times New Roman" w:hAnsi="Times New Roman" w:eastAsia="宋体" w:cs="Times New Roman"/>
                <w:b/>
                <w:sz w:val="24"/>
                <w:szCs w:val="24"/>
              </w:rPr>
              <w:t>4</w:t>
            </w:r>
            <w:r>
              <w:rPr>
                <w:rFonts w:ascii="Times New Roman" w:hAnsi="Times New Roman" w:eastAsia="宋体" w:cs="Times New Roman"/>
                <w:b/>
                <w:sz w:val="24"/>
                <w:szCs w:val="24"/>
              </w:rPr>
              <w:t>.</w:t>
            </w:r>
            <w:r>
              <w:rPr>
                <w:rFonts w:hint="eastAsia" w:ascii="Times New Roman" w:hAnsi="Times New Roman" w:eastAsia="宋体" w:cs="Times New Roman"/>
                <w:b/>
                <w:sz w:val="24"/>
                <w:szCs w:val="24"/>
              </w:rPr>
              <w:t>请问公司控股子公司沈阳华秦智造的航空零部件加工业务毛利率承压，同时叠加航空原材料成本上行的压力，请问公司针对成本上涨与毛利率承压的双重情况，已采取或计划采取哪些具体的成本管控与降本增效措施？在原材料成本传导能力、整体毛利率水平方面，该业务与同行业可比公司相比处于什么位置？感谢回复。</w:t>
            </w:r>
          </w:p>
          <w:p w14:paraId="48E7126E">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答：尊敬的投资者，您好！</w:t>
            </w:r>
            <w:r>
              <w:rPr>
                <w:rFonts w:ascii="Times New Roman" w:hAnsi="Times New Roman" w:cs="Times New Roman" w:eastAsiaTheme="minorEastAsia"/>
                <w:sz w:val="24"/>
                <w:szCs w:val="24"/>
                <w:lang w:val="en-US"/>
              </w:rPr>
              <w:t>2026年上半年，控股子公司华秦智造毛利率较2025年呈上升趋势，当前处于产能爬坡阶段，试运行成本及未达产产线的运营成本较高，整体经营效益尚未充分释放，随着生产规模不断提升，预计规模化效应将会凸显。</w:t>
            </w:r>
          </w:p>
          <w:p w14:paraId="15A09E2A">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ascii="Times New Roman" w:hAnsi="Times New Roman" w:cs="Times New Roman" w:eastAsiaTheme="minorEastAsia"/>
                <w:sz w:val="24"/>
                <w:szCs w:val="24"/>
                <w:lang w:val="en-US"/>
              </w:rPr>
              <w:t>2026年上半年，华秦智造持续开展规模化生产研制工作，多款产品通过首件鉴定，部分关键构件已顺利通过考核验证；其加工的各类航空航天零部件均服务于核心装备，加工精度高且可兼容高温合金、钛合金等难加工材料。随着研发试制工作的不断深化，产线逐步投产运营，华秦智造订单持续落地，收入不断提升。同时，在此基础上，华秦智造拟从工序外包加工商向整体产品制造商过渡，逐步转变为从设计到制造的产品自主研发的发展模式，并积极对接相关国际业务。感谢您的关注！</w:t>
            </w:r>
          </w:p>
          <w:p w14:paraId="7A354992">
            <w:pPr>
              <w:pStyle w:val="12"/>
              <w:spacing w:before="120" w:beforeLines="50" w:after="120" w:afterLines="50" w:line="360" w:lineRule="auto"/>
              <w:ind w:firstLine="482" w:firstLineChars="200"/>
              <w:jc w:val="both"/>
              <w:rPr>
                <w:rFonts w:ascii="Times New Roman" w:hAnsi="Times New Roman" w:cs="Times New Roman" w:eastAsiaTheme="minorEastAsia"/>
                <w:b/>
                <w:sz w:val="24"/>
                <w:szCs w:val="24"/>
                <w:lang w:val="en-US"/>
              </w:rPr>
            </w:pPr>
            <w:r>
              <w:rPr>
                <w:rFonts w:hint="eastAsia" w:ascii="Times New Roman" w:hAnsi="Times New Roman" w:cs="Times New Roman" w:eastAsiaTheme="minorEastAsia"/>
                <w:b/>
                <w:sz w:val="24"/>
                <w:szCs w:val="24"/>
                <w:lang w:val="en-US"/>
              </w:rPr>
              <w:t>5</w:t>
            </w:r>
            <w:r>
              <w:rPr>
                <w:rFonts w:ascii="Times New Roman" w:hAnsi="Times New Roman" w:cs="Times New Roman" w:eastAsiaTheme="minorEastAsia"/>
                <w:b/>
                <w:sz w:val="24"/>
                <w:szCs w:val="24"/>
                <w:lang w:val="en-US"/>
              </w:rPr>
              <w:t>.</w:t>
            </w:r>
            <w:r>
              <w:rPr>
                <w:rFonts w:hint="eastAsia" w:ascii="Times New Roman" w:hAnsi="Times New Roman" w:cs="Times New Roman" w:eastAsiaTheme="minorEastAsia"/>
                <w:b/>
                <w:sz w:val="24"/>
                <w:szCs w:val="24"/>
                <w:lang w:val="en-US"/>
              </w:rPr>
              <w:t>请问公司控股子公司安徽汉正在新能源汽车配套业务之外，面向航空航天、工业装备等其他领域的客户拓展取得了哪些具体落地进展？目前非新能源车领域的订单收入占比大概处于什么水平？感谢回复。</w:t>
            </w:r>
          </w:p>
          <w:p w14:paraId="0A97DC09">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您好。安徽汉正充分发挥超细晶改性技术优势，持续拓展市场。除了向国内大型新能源汽车生产配套厂商批量供货以外，同时向其他高端轴承行业拓展，产品涉及超细晶棒材、模具、钎具刀具等领域。公司在稳定现有产品市场的基础上，在燃气轮机盘件、航发涡轮盘、固体发动机封头、先进刀具工具、滚柱丝杠等持续开展研发工作，部分已完成样件测试及小批量交货，但</w:t>
            </w:r>
            <w:r>
              <w:rPr>
                <w:rFonts w:ascii="Times New Roman" w:hAnsi="Times New Roman" w:cs="Times New Roman" w:eastAsiaTheme="minorEastAsia"/>
                <w:sz w:val="24"/>
                <w:szCs w:val="24"/>
                <w:lang w:val="en-US"/>
              </w:rPr>
              <w:t>2026年上半</w:t>
            </w:r>
            <w:r>
              <w:rPr>
                <w:rFonts w:hint="eastAsia" w:ascii="Times New Roman" w:hAnsi="Times New Roman" w:cs="Times New Roman" w:eastAsiaTheme="minorEastAsia"/>
                <w:sz w:val="24"/>
                <w:szCs w:val="24"/>
                <w:lang w:val="en-US" w:eastAsia="zh-CN"/>
              </w:rPr>
              <w:t>年</w:t>
            </w:r>
            <w:r>
              <w:rPr>
                <w:rFonts w:ascii="Times New Roman" w:hAnsi="Times New Roman" w:cs="Times New Roman" w:eastAsiaTheme="minorEastAsia"/>
                <w:sz w:val="24"/>
                <w:szCs w:val="24"/>
                <w:lang w:val="en-US"/>
              </w:rPr>
              <w:t>非新能源车领域的订单收入占比相对较小。安徽汉正于上半年实现超细晶金属材料相关收入5,018.70万元，感谢您的关注！</w:t>
            </w:r>
          </w:p>
          <w:p w14:paraId="39C35023">
            <w:pPr>
              <w:pStyle w:val="12"/>
              <w:spacing w:before="120" w:beforeLines="50" w:after="120" w:afterLines="50" w:line="360" w:lineRule="auto"/>
              <w:ind w:firstLine="482" w:firstLineChars="200"/>
              <w:jc w:val="both"/>
              <w:rPr>
                <w:rFonts w:ascii="Times New Roman" w:hAnsi="Times New Roman" w:cs="Times New Roman" w:eastAsiaTheme="minorEastAsia"/>
                <w:b/>
                <w:sz w:val="24"/>
                <w:szCs w:val="24"/>
                <w:lang w:val="en-US"/>
              </w:rPr>
            </w:pPr>
            <w:r>
              <w:rPr>
                <w:rFonts w:hint="eastAsia" w:ascii="Times New Roman" w:hAnsi="Times New Roman" w:cs="Times New Roman" w:eastAsiaTheme="minorEastAsia"/>
                <w:b/>
                <w:sz w:val="24"/>
                <w:szCs w:val="24"/>
                <w:lang w:val="en-US"/>
              </w:rPr>
              <w:t>6</w:t>
            </w:r>
            <w:r>
              <w:rPr>
                <w:rFonts w:ascii="Times New Roman" w:hAnsi="Times New Roman" w:cs="Times New Roman" w:eastAsiaTheme="minorEastAsia"/>
                <w:b/>
                <w:sz w:val="24"/>
                <w:szCs w:val="24"/>
                <w:lang w:val="en-US"/>
              </w:rPr>
              <w:t>.</w:t>
            </w:r>
            <w:r>
              <w:rPr>
                <w:rFonts w:hint="eastAsia" w:ascii="Times New Roman" w:hAnsi="Times New Roman" w:cs="Times New Roman" w:eastAsiaTheme="minorEastAsia"/>
                <w:b/>
                <w:sz w:val="24"/>
                <w:szCs w:val="24"/>
                <w:lang w:val="en-US"/>
              </w:rPr>
              <w:t>公司旗下各业务板块的产能利用率数据都是怎样的？在业务订单并不是急剧大规模增加的情况，各个业务板块进行大规模产能上的固定资产投资，这既对公司的现金流管理提出了考验，同时转固</w:t>
            </w:r>
            <w:r>
              <w:rPr>
                <w:rFonts w:hint="eastAsia" w:ascii="Times New Roman" w:hAnsi="Times New Roman" w:cs="Times New Roman" w:eastAsiaTheme="minorEastAsia"/>
                <w:b/>
                <w:sz w:val="24"/>
                <w:szCs w:val="24"/>
                <w:lang w:val="en-US" w:eastAsia="zh-CN"/>
              </w:rPr>
              <w:t>后</w:t>
            </w:r>
            <w:r>
              <w:rPr>
                <w:rFonts w:hint="eastAsia" w:ascii="Times New Roman" w:hAnsi="Times New Roman" w:cs="Times New Roman" w:eastAsiaTheme="minorEastAsia"/>
                <w:b/>
                <w:sz w:val="24"/>
                <w:szCs w:val="24"/>
                <w:lang w:val="en-US"/>
              </w:rPr>
              <w:t>的折旧会对利润产生较多的影响，请问公司的具体考量是什么？</w:t>
            </w:r>
          </w:p>
          <w:p w14:paraId="7E92A1D0">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公司根据市场需求和经营进展开展产线建设。“一代材料，一代装备”，国家战略需求加速航空航天新品种材料不断涌现，推动材料性能持续提高、研究方法不断创新、制造技术不断进步。特种功能材料、高性能高分子材料、高性能纤维与复合材料是高端装备制造、航空航天等领域不可或缺的关键战略材料。我国航空航天领域正处在快速发展期，对新材料的需求将更加旺盛。</w:t>
            </w:r>
          </w:p>
          <w:p w14:paraId="5A56A0BF">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公司目前已形成本部特种功能材料产品及服务、华秦智造航天航空零部件智能加工与制造、华秦光声声学超材料及声学仪器、上海瑞华晟航空航天用陶瓷基复合材料、安徽汉正超细晶零部件生产制造五大业务主体，产品矩阵进一步优化，将更好覆盖产业链需求。公司同步根据业务布局开展相关产线建设。</w:t>
            </w:r>
          </w:p>
          <w:p w14:paraId="365E21BC">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短期来看，项目建设转固带来的折旧费用增加、子公司产能爬坡阶段投入与收益不匹配等因素，对公司短期盈利水平带来一定阶段性压力，但长期来看，公司在相关领域的产能布局将有效支撑公司未来业务规模扩张与产品矩阵优化，随着后续各产线产能逐步释放、规模效应逐步显现，将对公司长期盈利能力形成正向支撑。感谢您对公司的关注。</w:t>
            </w:r>
          </w:p>
          <w:p w14:paraId="45DCA2E3">
            <w:pPr>
              <w:pStyle w:val="12"/>
              <w:spacing w:before="120" w:beforeLines="50" w:after="120" w:afterLines="50" w:line="360" w:lineRule="auto"/>
              <w:ind w:firstLine="482" w:firstLineChars="200"/>
              <w:jc w:val="both"/>
              <w:rPr>
                <w:rFonts w:ascii="Times New Roman" w:hAnsi="Times New Roman" w:cs="Times New Roman" w:eastAsiaTheme="minorEastAsia"/>
                <w:b/>
                <w:sz w:val="24"/>
                <w:szCs w:val="24"/>
                <w:lang w:val="en-US"/>
              </w:rPr>
            </w:pPr>
            <w:r>
              <w:rPr>
                <w:rFonts w:hint="eastAsia" w:ascii="Times New Roman" w:hAnsi="Times New Roman" w:cs="Times New Roman" w:eastAsiaTheme="minorEastAsia"/>
                <w:b/>
                <w:sz w:val="24"/>
                <w:szCs w:val="24"/>
                <w:lang w:val="en-US"/>
              </w:rPr>
              <w:t>7.公司上半年营收增速显著高于净利润增速，毛利率有所下滑，请问新业务产能爬坡对毛利的拖累预计何时缓解，整体毛利率何时能企稳回升？</w:t>
            </w:r>
          </w:p>
          <w:p w14:paraId="7CAB8F18">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答：尊敬的投资者，您好！公司本部毛利率整体稳定且</w:t>
            </w:r>
            <w:r>
              <w:rPr>
                <w:rFonts w:ascii="Times New Roman" w:hAnsi="Times New Roman" w:cs="Times New Roman" w:eastAsiaTheme="minorEastAsia"/>
                <w:sz w:val="24"/>
                <w:szCs w:val="24"/>
                <w:lang w:val="en-US"/>
              </w:rPr>
              <w:t>2026年半年度毛利率较2025年度呈小幅上升趋势，控股子公司华秦智造2026年半年度毛利率也较2025年度有所上升。随着各控股子公司市场应用拓展深化、生产规模不断扩大，规模效应将日渐凸显，毛利率也将企稳回升。</w:t>
            </w:r>
          </w:p>
          <w:p w14:paraId="74D03A99">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ascii="Times New Roman" w:hAnsi="Times New Roman" w:cs="Times New Roman" w:eastAsiaTheme="minorEastAsia"/>
                <w:sz w:val="24"/>
                <w:szCs w:val="24"/>
                <w:lang w:val="en-US"/>
              </w:rPr>
              <w:t>2026年上半年，公司实现营业收入73,395.34万元，同比增长42.12%；归母净利润17,120.65万元，同比增加17.55%；公司利润指标增速低于营业收入增速，主要系多项因素叠加影响所致，具体如下：（1）本期母公司特种功能材料等相关业务收入较去年同期增长20.50%，净利润较去年同期增长22.11%。子公司相关业务收入较去年同期增长较为明显，但由于子公司当前处于业务扩张或产能爬坡阶段，试运行成本及未达产产线的运营成本较高，导致投入与当期收益暂时不匹配，部分子公司尚未实现盈利，对公司整体盈利水平形成</w:t>
            </w:r>
            <w:r>
              <w:rPr>
                <w:rFonts w:hint="eastAsia" w:ascii="Times New Roman" w:hAnsi="Times New Roman" w:cs="Times New Roman" w:eastAsiaTheme="minorEastAsia"/>
                <w:sz w:val="24"/>
                <w:szCs w:val="24"/>
                <w:lang w:val="en-US"/>
              </w:rPr>
              <w:t>阶段性压力。（</w:t>
            </w:r>
            <w:r>
              <w:rPr>
                <w:rFonts w:ascii="Times New Roman" w:hAnsi="Times New Roman" w:cs="Times New Roman" w:eastAsiaTheme="minorEastAsia"/>
                <w:sz w:val="24"/>
                <w:szCs w:val="24"/>
                <w:lang w:val="en-US"/>
              </w:rPr>
              <w:t>2）公司本期实施限制性股票激励计划，确认股份支付费用956.97万元，对当期利润形成一定影响。（3）由于公司整体规模的扩张，人员费用、固定资产折旧、研发费用、管理费用等较去年同期增加。</w:t>
            </w:r>
          </w:p>
          <w:p w14:paraId="54C8AAD6">
            <w:pPr>
              <w:pStyle w:val="12"/>
              <w:spacing w:before="120" w:beforeLines="50" w:after="120" w:afterLines="50" w:line="360" w:lineRule="auto"/>
              <w:ind w:firstLine="482" w:firstLineChars="200"/>
              <w:jc w:val="both"/>
              <w:rPr>
                <w:rFonts w:ascii="Times New Roman" w:hAnsi="Times New Roman" w:cs="Times New Roman" w:eastAsiaTheme="minorEastAsia"/>
                <w:b/>
                <w:sz w:val="24"/>
                <w:szCs w:val="24"/>
                <w:lang w:val="en-US"/>
              </w:rPr>
            </w:pPr>
            <w:r>
              <w:rPr>
                <w:rFonts w:hint="eastAsia" w:ascii="Times New Roman" w:hAnsi="Times New Roman" w:cs="Times New Roman" w:eastAsiaTheme="minorEastAsia"/>
                <w:b/>
                <w:sz w:val="24"/>
                <w:szCs w:val="24"/>
                <w:lang w:val="en-US"/>
              </w:rPr>
              <w:t>8</w:t>
            </w:r>
            <w:r>
              <w:rPr>
                <w:rFonts w:ascii="Times New Roman" w:hAnsi="Times New Roman" w:cs="Times New Roman" w:eastAsiaTheme="minorEastAsia"/>
                <w:b/>
                <w:sz w:val="24"/>
                <w:szCs w:val="24"/>
                <w:lang w:val="en-US"/>
              </w:rPr>
              <w:t>.</w:t>
            </w:r>
            <w:r>
              <w:rPr>
                <w:rFonts w:hint="eastAsia" w:ascii="Times New Roman" w:hAnsi="Times New Roman" w:cs="Times New Roman" w:eastAsiaTheme="minorEastAsia"/>
                <w:b/>
                <w:sz w:val="24"/>
                <w:szCs w:val="24"/>
                <w:lang w:val="en-US"/>
              </w:rPr>
              <w:t>近期</w:t>
            </w:r>
            <w:r>
              <w:rPr>
                <w:rFonts w:ascii="Times New Roman" w:hAnsi="Times New Roman" w:cs="Times New Roman" w:eastAsiaTheme="minorEastAsia"/>
                <w:b/>
                <w:sz w:val="24"/>
                <w:szCs w:val="24"/>
                <w:lang w:val="en-US"/>
              </w:rPr>
              <w:t>2.78亿元机身特种功能材料框架合同的交付节奏、盈利水平如何，该业务能否成为公司稳定的第二增长曲线？</w:t>
            </w:r>
          </w:p>
          <w:p w14:paraId="14DBC128">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答：尊敬的投资者，您好！</w:t>
            </w:r>
            <w:r>
              <w:rPr>
                <w:rFonts w:ascii="Times New Roman" w:hAnsi="Times New Roman" w:cs="Times New Roman" w:eastAsiaTheme="minorEastAsia"/>
                <w:sz w:val="24"/>
                <w:szCs w:val="24"/>
                <w:lang w:val="en-US"/>
              </w:rPr>
              <w:t>2026年上半年，公司本部在航空发动机用特种功能材料领域市场及技术领先优势依旧稳固，订单增速明显，同时在航空器机身用特种功能材料领域持续落单，且盈利能力较好，形成公司在该领域的第二增长曲线，特种功能结构复合材料已在航空发动机领域实现批产，并在飞机机身领域实现技术与市场突破。上述合同正常履行中，公司严格按照客户要求的时间节点或客户采购订单需求进行交付。感谢您的关注！</w:t>
            </w:r>
          </w:p>
          <w:p w14:paraId="19CA296F">
            <w:pPr>
              <w:pStyle w:val="12"/>
              <w:spacing w:before="120" w:beforeLines="50" w:after="120" w:afterLines="50" w:line="360" w:lineRule="auto"/>
              <w:ind w:firstLine="482" w:firstLineChars="200"/>
              <w:jc w:val="both"/>
              <w:rPr>
                <w:rFonts w:ascii="Times New Roman" w:hAnsi="Times New Roman" w:cs="Times New Roman" w:eastAsiaTheme="minorEastAsia"/>
                <w:b/>
                <w:sz w:val="24"/>
                <w:szCs w:val="24"/>
                <w:lang w:val="en-US"/>
              </w:rPr>
            </w:pPr>
            <w:r>
              <w:rPr>
                <w:rFonts w:hint="eastAsia" w:ascii="Times New Roman" w:hAnsi="Times New Roman" w:cs="Times New Roman" w:eastAsiaTheme="minorEastAsia"/>
                <w:b/>
                <w:sz w:val="24"/>
                <w:szCs w:val="24"/>
                <w:lang w:val="en-US"/>
              </w:rPr>
              <w:t>9</w:t>
            </w:r>
            <w:r>
              <w:rPr>
                <w:rFonts w:ascii="Times New Roman" w:hAnsi="Times New Roman" w:cs="Times New Roman" w:eastAsiaTheme="minorEastAsia"/>
                <w:b/>
                <w:sz w:val="24"/>
                <w:szCs w:val="24"/>
                <w:lang w:val="en-US"/>
              </w:rPr>
              <w:t>.</w:t>
            </w:r>
            <w:r>
              <w:rPr>
                <w:rFonts w:hint="eastAsia" w:ascii="Times New Roman" w:hAnsi="Times New Roman" w:cs="Times New Roman" w:eastAsiaTheme="minorEastAsia"/>
                <w:b/>
                <w:sz w:val="24"/>
                <w:szCs w:val="24"/>
                <w:lang w:val="en-US"/>
              </w:rPr>
              <w:t>华秦智造、陶瓷基复合材料等子公司目前盈亏改善进度如何，三季报能否看到盈利端的明显拐点？</w:t>
            </w:r>
          </w:p>
          <w:p w14:paraId="6FDA5C4C">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答：尊敬的投资者，您好。</w:t>
            </w:r>
            <w:r>
              <w:rPr>
                <w:rFonts w:ascii="Times New Roman" w:hAnsi="Times New Roman" w:cs="Times New Roman" w:eastAsiaTheme="minorEastAsia"/>
                <w:sz w:val="24"/>
                <w:szCs w:val="24"/>
                <w:lang w:val="en-US"/>
              </w:rPr>
              <w:t>2026年上半年，华秦智造实现航空航天零部件加工相关收入11,538.85万元，同比增加61.09%，华秦智造已实现盈利；控股子公司目前仍处于持续开展跟研试制及市场拓展的阶段，并根据经营进展持续开展产线建设，效益尚未充分释放，整体投入与当期收益暂时不匹配。在此期间，产能爬坡、工艺优化及市场渠道拓展仍在持续磨合完善阶段，整体经营效益尚未充分释放，对整体盈利水平造成阶段性压力。随着控股子公司产能持续爬坡，规模效应逐渐显现，公司盈利水平将得到改善。感谢您的关注！</w:t>
            </w:r>
          </w:p>
          <w:p w14:paraId="605865CB">
            <w:pPr>
              <w:pStyle w:val="12"/>
              <w:spacing w:before="120" w:beforeLines="50" w:after="120" w:afterLines="50" w:line="360" w:lineRule="auto"/>
              <w:ind w:firstLine="482" w:firstLineChars="200"/>
              <w:jc w:val="both"/>
              <w:rPr>
                <w:rFonts w:ascii="Times New Roman" w:hAnsi="Times New Roman" w:cs="Times New Roman" w:eastAsiaTheme="minorEastAsia"/>
                <w:b/>
                <w:sz w:val="24"/>
                <w:szCs w:val="24"/>
                <w:lang w:val="en-US"/>
              </w:rPr>
            </w:pPr>
            <w:r>
              <w:rPr>
                <w:rFonts w:hint="eastAsia" w:ascii="Times New Roman" w:hAnsi="Times New Roman" w:cs="Times New Roman" w:eastAsiaTheme="minorEastAsia"/>
                <w:b/>
                <w:sz w:val="24"/>
                <w:szCs w:val="24"/>
                <w:lang w:val="en-US"/>
              </w:rPr>
              <w:t>1</w:t>
            </w:r>
            <w:r>
              <w:rPr>
                <w:rFonts w:ascii="Times New Roman" w:hAnsi="Times New Roman" w:cs="Times New Roman" w:eastAsiaTheme="minorEastAsia"/>
                <w:b/>
                <w:sz w:val="24"/>
                <w:szCs w:val="24"/>
                <w:lang w:val="en-US"/>
              </w:rPr>
              <w:t>0.</w:t>
            </w:r>
            <w:r>
              <w:rPr>
                <w:rFonts w:hint="eastAsia" w:ascii="Times New Roman" w:hAnsi="Times New Roman" w:cs="Times New Roman" w:eastAsiaTheme="minorEastAsia"/>
                <w:b/>
                <w:sz w:val="24"/>
                <w:szCs w:val="24"/>
                <w:lang w:val="en-US"/>
              </w:rPr>
              <w:t>公司应收账款增长较快，回款周期偏长，下半年在改善经营现金流、加快</w:t>
            </w:r>
            <w:bookmarkStart w:id="0" w:name="_GoBack"/>
            <w:bookmarkEnd w:id="0"/>
            <w:r>
              <w:rPr>
                <w:rFonts w:hint="eastAsia" w:ascii="Times New Roman" w:hAnsi="Times New Roman" w:cs="Times New Roman" w:eastAsiaTheme="minorEastAsia"/>
                <w:b/>
                <w:sz w:val="24"/>
                <w:szCs w:val="24"/>
                <w:lang w:val="en-US"/>
              </w:rPr>
              <w:t>回款上有哪些具体措施？</w:t>
            </w:r>
          </w:p>
          <w:p w14:paraId="6BFF8ADA">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您好！公司积极采取系列措施提高应收账款回款，通过加强应收账款催收等逐步提高应收账款的周转率。同时公司深化与客户的沟通合作，建立良好信任基础，保障应收账款安全回收。公司下游客户资金实力雄厚，合作良好，实质性坏账风险较低。</w:t>
            </w:r>
          </w:p>
          <w:p w14:paraId="070B89C8">
            <w:pPr>
              <w:pStyle w:val="12"/>
              <w:spacing w:before="120" w:beforeLines="50" w:after="120" w:afterLines="50" w:line="360" w:lineRule="auto"/>
              <w:ind w:firstLine="482" w:firstLineChars="200"/>
              <w:jc w:val="both"/>
              <w:rPr>
                <w:rFonts w:ascii="Times New Roman" w:hAnsi="Times New Roman" w:cs="Times New Roman" w:eastAsiaTheme="minorEastAsia"/>
                <w:b/>
                <w:sz w:val="24"/>
                <w:szCs w:val="24"/>
                <w:lang w:val="en-US"/>
              </w:rPr>
            </w:pPr>
            <w:r>
              <w:rPr>
                <w:rFonts w:hint="eastAsia" w:ascii="Times New Roman" w:hAnsi="Times New Roman" w:cs="Times New Roman" w:eastAsiaTheme="minorEastAsia"/>
                <w:b/>
                <w:sz w:val="24"/>
                <w:szCs w:val="24"/>
                <w:lang w:val="en-US"/>
              </w:rPr>
              <w:t>1</w:t>
            </w:r>
            <w:r>
              <w:rPr>
                <w:rFonts w:ascii="Times New Roman" w:hAnsi="Times New Roman" w:cs="Times New Roman" w:eastAsiaTheme="minorEastAsia"/>
                <w:b/>
                <w:sz w:val="24"/>
                <w:szCs w:val="24"/>
                <w:lang w:val="en-US"/>
              </w:rPr>
              <w:t>1.</w:t>
            </w:r>
            <w:r>
              <w:rPr>
                <w:rFonts w:hint="eastAsia" w:ascii="Times New Roman" w:hAnsi="Times New Roman" w:cs="Times New Roman" w:eastAsiaTheme="minorEastAsia"/>
                <w:b/>
                <w:sz w:val="24"/>
                <w:szCs w:val="24"/>
                <w:lang w:val="en-US"/>
              </w:rPr>
              <w:t>十五五航空装备采购背景下，公司核心特种功能材料主业后续订单的增长确定性如何，现有产能满负荷下的扩产规划匹配度怎样？</w:t>
            </w:r>
          </w:p>
          <w:p w14:paraId="75EA5D1F">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您好！“一代材料，一代装备”，国家战略需求加速航空航天新品种材料不断涌现，推动材料性能持续提高、研究方法不断创新、制造技术不断进步。特种功能材料、高性能高分子材料、高性能纤维与复合材料是高端装备制造、航空航天等领域不可或缺的关键战略材料。我国航空航天领域正处在快速发展期，对新材料的需求将更加旺盛。</w:t>
            </w:r>
          </w:p>
          <w:p w14:paraId="1DA96E4C">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公司暂不存在需求超出产能的情形，公司本部募投项目特种功能材料产业化项目和特种功能材料研发中心项目已结项，随着新建产线转入运营状态，有效提升了公司生产经营面积、扩大生产线规模，对产品配套能力的支撑作用正在逐步显现，为后续生产组织的协调性与订单交付的可靠性提供了更为充分的条件保障。感谢您的关注！</w:t>
            </w:r>
          </w:p>
          <w:p w14:paraId="53382FBE">
            <w:pPr>
              <w:pStyle w:val="12"/>
              <w:spacing w:before="120" w:beforeLines="50" w:after="120" w:afterLines="50" w:line="360" w:lineRule="auto"/>
              <w:ind w:firstLine="482" w:firstLineChars="200"/>
              <w:jc w:val="both"/>
              <w:rPr>
                <w:rFonts w:ascii="Times New Roman" w:hAnsi="Times New Roman" w:cs="Times New Roman" w:eastAsiaTheme="minorEastAsia"/>
                <w:b/>
                <w:sz w:val="24"/>
                <w:szCs w:val="24"/>
                <w:lang w:val="en-US"/>
              </w:rPr>
            </w:pPr>
            <w:r>
              <w:rPr>
                <w:rFonts w:hint="eastAsia" w:ascii="Times New Roman" w:hAnsi="Times New Roman" w:cs="Times New Roman" w:eastAsiaTheme="minorEastAsia"/>
                <w:b/>
                <w:sz w:val="24"/>
                <w:szCs w:val="24"/>
                <w:lang w:val="en-US"/>
              </w:rPr>
              <w:t>1</w:t>
            </w:r>
            <w:r>
              <w:rPr>
                <w:rFonts w:ascii="Times New Roman" w:hAnsi="Times New Roman" w:cs="Times New Roman" w:eastAsiaTheme="minorEastAsia"/>
                <w:b/>
                <w:sz w:val="24"/>
                <w:szCs w:val="24"/>
                <w:lang w:val="en-US"/>
              </w:rPr>
              <w:t>2.</w:t>
            </w:r>
            <w:r>
              <w:rPr>
                <w:rFonts w:hint="eastAsia" w:ascii="Times New Roman" w:hAnsi="Times New Roman" w:cs="Times New Roman" w:eastAsiaTheme="minorEastAsia"/>
                <w:b/>
                <w:sz w:val="24"/>
                <w:szCs w:val="24"/>
                <w:lang w:val="en-US"/>
              </w:rPr>
              <w:t>股东今年有没有减持的想法？</w:t>
            </w:r>
          </w:p>
          <w:p w14:paraId="6850D5AE">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答：尊敬的投资者，您好！截至目前，公司暂未收到控股股东、其他持股比例</w:t>
            </w:r>
            <w:r>
              <w:rPr>
                <w:rFonts w:ascii="Times New Roman" w:hAnsi="Times New Roman" w:cs="Times New Roman" w:eastAsiaTheme="minorEastAsia"/>
                <w:sz w:val="24"/>
                <w:szCs w:val="24"/>
                <w:lang w:val="en-US"/>
              </w:rPr>
              <w:t>5%以上的大股东、董事、高管等关于减持的计划通知。感谢您的关注！</w:t>
            </w:r>
          </w:p>
          <w:p w14:paraId="2A742919">
            <w:pPr>
              <w:pStyle w:val="12"/>
              <w:spacing w:before="120" w:beforeLines="50" w:after="120" w:afterLines="50" w:line="360" w:lineRule="auto"/>
              <w:ind w:firstLine="482" w:firstLineChars="200"/>
              <w:jc w:val="both"/>
              <w:rPr>
                <w:rFonts w:ascii="Times New Roman" w:hAnsi="Times New Roman" w:cs="Times New Roman" w:eastAsiaTheme="minorEastAsia"/>
                <w:b/>
                <w:sz w:val="24"/>
                <w:szCs w:val="24"/>
                <w:lang w:val="en-US"/>
              </w:rPr>
            </w:pPr>
            <w:r>
              <w:rPr>
                <w:rFonts w:hint="eastAsia" w:ascii="Times New Roman" w:hAnsi="Times New Roman" w:cs="Times New Roman" w:eastAsiaTheme="minorEastAsia"/>
                <w:b/>
                <w:sz w:val="24"/>
                <w:szCs w:val="24"/>
                <w:lang w:val="en-US"/>
              </w:rPr>
              <w:t>1</w:t>
            </w:r>
            <w:r>
              <w:rPr>
                <w:rFonts w:ascii="Times New Roman" w:hAnsi="Times New Roman" w:cs="Times New Roman" w:eastAsiaTheme="minorEastAsia"/>
                <w:b/>
                <w:sz w:val="24"/>
                <w:szCs w:val="24"/>
                <w:lang w:val="en-US"/>
              </w:rPr>
              <w:t>3.</w:t>
            </w:r>
            <w:r>
              <w:rPr>
                <w:rFonts w:hint="eastAsia" w:ascii="Times New Roman" w:hAnsi="Times New Roman" w:cs="Times New Roman" w:eastAsiaTheme="minorEastAsia"/>
                <w:b/>
                <w:sz w:val="24"/>
                <w:szCs w:val="24"/>
                <w:lang w:val="en-US"/>
              </w:rPr>
              <w:t>请问，公司在合并会计报表中录入的收入、成本和利润，是按照各子公司的控股比例折算后计入，还是全额计入的？麻烦做一下说明，谢谢。</w:t>
            </w:r>
          </w:p>
          <w:p w14:paraId="50A1875C">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您好！根据公司披露的相关会计政策，合并财务报表的合并范围以控制为基础予以确定，包括本公司及本公司控制的所有子公司。当本集团判断对被投资方拥有权力，通过参与被投资方的相关活动而享有可变回报，并且有能力运用对被投资方的权力影响其回报金额，即认定控制该被投资方，将其纳入合并范围。</w:t>
            </w:r>
          </w:p>
          <w:p w14:paraId="018A31FE">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对于纳入合并范围的子公司，公司在编制合并财务报表时，将子公司的全部收入、成本、利润全额纳入合并报表；同时，全额抵销母子公司之间及子公司相互之间的内部交易及未实现损益。对于子公司的所有者权益中不属于母公司的份额，以及当期净损益、其他综合收益及综合收益总额中属于少数股东权益的份额，分别在合并财务报表“少数股东权益、少数股东损益、归属于少数股东的其他综合收益及归属于少数股东的综合收益总额”项目中单独列示。合并过程中，不对子公司的收入、成本及利润按持股比例进行折算。感谢您对公司的关注！</w:t>
            </w:r>
          </w:p>
          <w:p w14:paraId="5022A7C0">
            <w:pPr>
              <w:pStyle w:val="12"/>
              <w:spacing w:before="120" w:beforeLines="50" w:after="120" w:afterLines="50" w:line="360" w:lineRule="auto"/>
              <w:ind w:firstLine="482" w:firstLineChars="200"/>
              <w:jc w:val="both"/>
              <w:rPr>
                <w:rFonts w:ascii="Times New Roman" w:hAnsi="Times New Roman" w:cs="Times New Roman" w:eastAsiaTheme="minorEastAsia"/>
                <w:b/>
                <w:sz w:val="24"/>
                <w:szCs w:val="24"/>
                <w:lang w:val="en-US"/>
              </w:rPr>
            </w:pPr>
            <w:r>
              <w:rPr>
                <w:rFonts w:hint="eastAsia" w:ascii="Times New Roman" w:hAnsi="Times New Roman" w:cs="Times New Roman" w:eastAsiaTheme="minorEastAsia"/>
                <w:b/>
                <w:sz w:val="24"/>
                <w:szCs w:val="24"/>
                <w:lang w:val="en-US"/>
              </w:rPr>
              <w:t>1</w:t>
            </w:r>
            <w:r>
              <w:rPr>
                <w:rFonts w:ascii="Times New Roman" w:hAnsi="Times New Roman" w:cs="Times New Roman" w:eastAsiaTheme="minorEastAsia"/>
                <w:b/>
                <w:sz w:val="24"/>
                <w:szCs w:val="24"/>
                <w:lang w:val="en-US"/>
              </w:rPr>
              <w:t>4.</w:t>
            </w:r>
            <w:r>
              <w:rPr>
                <w:rFonts w:hint="eastAsia" w:ascii="Times New Roman" w:hAnsi="Times New Roman" w:cs="Times New Roman" w:eastAsiaTheme="minorEastAsia"/>
                <w:b/>
                <w:sz w:val="24"/>
                <w:szCs w:val="24"/>
                <w:lang w:val="en-US"/>
              </w:rPr>
              <w:t>最近国产发动机的进度明显加快，我们公司有没有参与进去？</w:t>
            </w:r>
          </w:p>
          <w:p w14:paraId="400BFC32">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您好！公司控股子公司上海瑞华晟定制化开展航空发动机、燃气轮机、航空器机身和核工业热端部件用陶瓷基复合材料结构件研制和批量化生产，目前已与多家设计院所和主机厂建立了合作关系，提供航空器机身，尾喷部件、涡轮部件、燃烧室等航空发动机热端部件多种关键构件研制工作，部分构件已顺利通过考核验证。</w:t>
            </w:r>
            <w:r>
              <w:rPr>
                <w:rFonts w:ascii="Times New Roman" w:hAnsi="Times New Roman" w:cs="Times New Roman" w:eastAsiaTheme="minorEastAsia"/>
                <w:sz w:val="24"/>
                <w:szCs w:val="24"/>
                <w:lang w:val="en-US"/>
              </w:rPr>
              <w:t>2026年6月，公司控股子公司上海瑞华晟获得中国航发商用航空发动机有限责任公司颁发的“决胜攻坚杰出团队”奖，感谢您的关注！</w:t>
            </w:r>
          </w:p>
          <w:p w14:paraId="34BEA077">
            <w:pPr>
              <w:pStyle w:val="12"/>
              <w:spacing w:before="120" w:beforeLines="50" w:after="120" w:afterLines="50" w:line="360" w:lineRule="auto"/>
              <w:ind w:firstLine="482" w:firstLineChars="200"/>
              <w:jc w:val="both"/>
              <w:rPr>
                <w:rFonts w:ascii="Times New Roman" w:hAnsi="Times New Roman" w:cs="Times New Roman" w:eastAsiaTheme="minorEastAsia"/>
                <w:b/>
                <w:sz w:val="24"/>
                <w:szCs w:val="24"/>
                <w:lang w:val="en-US"/>
              </w:rPr>
            </w:pPr>
            <w:r>
              <w:rPr>
                <w:rFonts w:hint="eastAsia" w:ascii="Times New Roman" w:hAnsi="Times New Roman" w:cs="Times New Roman" w:eastAsiaTheme="minorEastAsia"/>
                <w:b/>
                <w:sz w:val="24"/>
                <w:szCs w:val="24"/>
                <w:lang w:val="en-US"/>
              </w:rPr>
              <w:t>1</w:t>
            </w:r>
            <w:r>
              <w:rPr>
                <w:rFonts w:ascii="Times New Roman" w:hAnsi="Times New Roman" w:cs="Times New Roman" w:eastAsiaTheme="minorEastAsia"/>
                <w:b/>
                <w:sz w:val="24"/>
                <w:szCs w:val="24"/>
                <w:lang w:val="en-US"/>
              </w:rPr>
              <w:t>5.</w:t>
            </w:r>
            <w:r>
              <w:rPr>
                <w:rFonts w:hint="eastAsia" w:ascii="Times New Roman" w:hAnsi="Times New Roman" w:cs="Times New Roman" w:eastAsiaTheme="minorEastAsia"/>
                <w:b/>
                <w:sz w:val="24"/>
                <w:szCs w:val="24"/>
                <w:lang w:val="en-US"/>
              </w:rPr>
              <w:t>请问，公司上半年某</w:t>
            </w:r>
            <w:r>
              <w:rPr>
                <w:rFonts w:ascii="Times New Roman" w:hAnsi="Times New Roman" w:cs="Times New Roman" w:eastAsiaTheme="minorEastAsia"/>
                <w:b/>
                <w:sz w:val="24"/>
                <w:szCs w:val="24"/>
                <w:lang w:val="en-US"/>
              </w:rPr>
              <w:t>14亿大额订单是否仍在正常履约，订单已执行情况，麻烦做一下说明，谢谢。</w:t>
            </w:r>
          </w:p>
          <w:p w14:paraId="44783138">
            <w:pPr>
              <w:pStyle w:val="12"/>
              <w:spacing w:before="120" w:beforeLines="50" w:after="120" w:afterLines="50" w:line="360" w:lineRule="auto"/>
              <w:ind w:firstLine="480" w:firstLineChars="200"/>
              <w:jc w:val="both"/>
              <w:rPr>
                <w:rFonts w:ascii="Times New Roman" w:hAnsi="Times New Roman" w:cs="Times New Roman" w:eastAsiaTheme="minorEastAsia"/>
                <w:sz w:val="24"/>
                <w:szCs w:val="24"/>
                <w:lang w:val="en-US"/>
              </w:rPr>
            </w:pPr>
            <w:r>
              <w:rPr>
                <w:rFonts w:hint="eastAsia" w:ascii="Times New Roman" w:hAnsi="Times New Roman" w:cs="Times New Roman" w:eastAsiaTheme="minorEastAsia"/>
                <w:sz w:val="24"/>
                <w:szCs w:val="24"/>
                <w:lang w:val="en-US"/>
              </w:rPr>
              <w:t>答：尊敬的投资者，您好！上述合同在正常履行中，公司按照客户任务节点的相关要求及下发的工序外包订单进行陆续生产并交付。感谢您的关注！</w:t>
            </w:r>
          </w:p>
        </w:tc>
      </w:tr>
      <w:tr w14:paraId="39410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1696" w:type="dxa"/>
            <w:vAlign w:val="center"/>
          </w:tcPr>
          <w:p w14:paraId="6CE2242B">
            <w:pPr>
              <w:pStyle w:val="12"/>
              <w:spacing w:before="120" w:beforeLines="50" w:after="120" w:afterLines="50"/>
              <w:ind w:left="107"/>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附件清单（如有）</w:t>
            </w:r>
          </w:p>
        </w:tc>
        <w:tc>
          <w:tcPr>
            <w:tcW w:w="6829" w:type="dxa"/>
            <w:vAlign w:val="center"/>
          </w:tcPr>
          <w:p w14:paraId="60582BAF">
            <w:pPr>
              <w:pStyle w:val="12"/>
              <w:spacing w:before="120" w:beforeLines="50" w:after="120" w:afterLines="50"/>
              <w:jc w:val="both"/>
              <w:rPr>
                <w:rFonts w:ascii="Times New Roman" w:hAnsi="Times New Roman" w:cs="Times New Roman" w:eastAsiaTheme="minorEastAsia"/>
                <w:sz w:val="24"/>
                <w:szCs w:val="24"/>
              </w:rPr>
            </w:pPr>
            <w:r>
              <w:rPr>
                <w:rFonts w:ascii="Times New Roman" w:hAnsi="Times New Roman" w:cs="Times New Roman" w:eastAsiaTheme="minorEastAsia"/>
                <w:sz w:val="24"/>
                <w:szCs w:val="24"/>
              </w:rPr>
              <w:t>无</w:t>
            </w:r>
          </w:p>
        </w:tc>
      </w:tr>
      <w:tr w14:paraId="57FC1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1696" w:type="dxa"/>
            <w:vAlign w:val="center"/>
          </w:tcPr>
          <w:p w14:paraId="0291240C">
            <w:pPr>
              <w:pStyle w:val="12"/>
              <w:spacing w:before="120" w:beforeLines="50" w:after="120" w:afterLines="50"/>
              <w:ind w:left="107"/>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日期</w:t>
            </w:r>
          </w:p>
        </w:tc>
        <w:tc>
          <w:tcPr>
            <w:tcW w:w="6829" w:type="dxa"/>
            <w:vAlign w:val="center"/>
          </w:tcPr>
          <w:p w14:paraId="4EE0ABA7">
            <w:pPr>
              <w:pStyle w:val="12"/>
              <w:spacing w:before="120" w:beforeLines="50" w:after="120" w:afterLines="50"/>
              <w:rPr>
                <w:rFonts w:ascii="Times New Roman" w:hAnsi="Times New Roman" w:cs="Times New Roman" w:eastAsiaTheme="minorEastAsia"/>
                <w:sz w:val="24"/>
                <w:szCs w:val="24"/>
              </w:rPr>
            </w:pPr>
            <w:r>
              <w:rPr>
                <w:rFonts w:ascii="Times New Roman" w:hAnsi="Times New Roman" w:cs="Times New Roman" w:eastAsiaTheme="minorEastAsia"/>
                <w:sz w:val="24"/>
                <w:szCs w:val="24"/>
              </w:rPr>
              <w:t>2026年</w:t>
            </w:r>
            <w:r>
              <w:rPr>
                <w:rFonts w:ascii="Times New Roman" w:hAnsi="Times New Roman" w:cs="Times New Roman" w:eastAsiaTheme="minorEastAsia"/>
                <w:sz w:val="24"/>
                <w:szCs w:val="24"/>
                <w:lang w:val="en-US"/>
              </w:rPr>
              <w:t>8</w:t>
            </w:r>
            <w:r>
              <w:rPr>
                <w:rFonts w:ascii="Times New Roman" w:hAnsi="Times New Roman" w:cs="Times New Roman" w:eastAsiaTheme="minorEastAsia"/>
                <w:sz w:val="24"/>
                <w:szCs w:val="24"/>
              </w:rPr>
              <w:t>月</w:t>
            </w:r>
            <w:r>
              <w:rPr>
                <w:rFonts w:hint="eastAsia" w:ascii="Times New Roman" w:hAnsi="Times New Roman" w:cs="Times New Roman" w:eastAsiaTheme="minorEastAsia"/>
                <w:sz w:val="24"/>
                <w:szCs w:val="24"/>
                <w:lang w:val="en-US"/>
              </w:rPr>
              <w:t>2</w:t>
            </w:r>
            <w:r>
              <w:rPr>
                <w:rFonts w:ascii="Times New Roman" w:hAnsi="Times New Roman" w:cs="Times New Roman" w:eastAsiaTheme="minorEastAsia"/>
                <w:sz w:val="24"/>
                <w:szCs w:val="24"/>
                <w:lang w:val="en-US"/>
              </w:rPr>
              <w:t>7</w:t>
            </w:r>
            <w:r>
              <w:rPr>
                <w:rFonts w:ascii="Times New Roman" w:hAnsi="Times New Roman" w:cs="Times New Roman" w:eastAsiaTheme="minorEastAsia"/>
                <w:sz w:val="24"/>
                <w:szCs w:val="24"/>
              </w:rPr>
              <w:t>日</w:t>
            </w:r>
          </w:p>
        </w:tc>
      </w:tr>
    </w:tbl>
    <w:p w14:paraId="66E07108">
      <w:pPr>
        <w:rPr>
          <w:rFonts w:ascii="Times New Roman" w:hAnsi="Times New Roman" w:eastAsia="宋体" w:cs="Times New Roman"/>
          <w:sz w:val="28"/>
          <w:szCs w:val="36"/>
        </w:rPr>
      </w:pPr>
    </w:p>
    <w:sectPr>
      <w:footerReference r:id="rId3" w:type="default"/>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Microsoft JhengHei UI">
    <w:panose1 w:val="020B0604030504040204"/>
    <w:charset w:val="88"/>
    <w:family w:val="auto"/>
    <w:pitch w:val="default"/>
    <w:sig w:usb0="000002A7" w:usb1="28CF4400" w:usb2="00000016" w:usb3="00000000" w:csb0="00100009" w:csb1="00000000"/>
  </w:font>
  <w:font w:name="KSOFA61C387F">
    <w:panose1 w:val="020B0604030504040204"/>
    <w:charset w:val="88"/>
    <w:family w:val="auto"/>
    <w:pitch w:val="default"/>
    <w:sig w:usb0="00000001" w:usb1="00000000" w:usb2="00000000" w:usb3="00000000" w:csb0="001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74043263"/>
    </w:sdtPr>
    <w:sdtEndPr>
      <w:rPr>
        <w:rFonts w:ascii="Times New Roman" w:hAnsi="Times New Roman" w:cs="Times New Roman"/>
      </w:rPr>
    </w:sdtEndPr>
    <w:sdtContent>
      <w:p w14:paraId="6093AE4D">
        <w:pPr>
          <w:pStyle w:val="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VhMGRlZDc1N2Q5MDFjYzM5NTBiYTRlNWNiYWVkMWQifQ=="/>
  </w:docVars>
  <w:rsids>
    <w:rsidRoot w:val="00301D32"/>
    <w:rsid w:val="000015C8"/>
    <w:rsid w:val="000032BE"/>
    <w:rsid w:val="00011377"/>
    <w:rsid w:val="00015D2A"/>
    <w:rsid w:val="000210A0"/>
    <w:rsid w:val="00021B5A"/>
    <w:rsid w:val="00023C80"/>
    <w:rsid w:val="00026450"/>
    <w:rsid w:val="00026CC3"/>
    <w:rsid w:val="000338C3"/>
    <w:rsid w:val="00036089"/>
    <w:rsid w:val="000448CB"/>
    <w:rsid w:val="00045A12"/>
    <w:rsid w:val="000506AE"/>
    <w:rsid w:val="00053CFA"/>
    <w:rsid w:val="000633EC"/>
    <w:rsid w:val="00063804"/>
    <w:rsid w:val="000665A2"/>
    <w:rsid w:val="00066747"/>
    <w:rsid w:val="000740E0"/>
    <w:rsid w:val="00081788"/>
    <w:rsid w:val="00081D0A"/>
    <w:rsid w:val="00086AEE"/>
    <w:rsid w:val="000875A1"/>
    <w:rsid w:val="000877AB"/>
    <w:rsid w:val="000956CF"/>
    <w:rsid w:val="00095D4A"/>
    <w:rsid w:val="000B0D1E"/>
    <w:rsid w:val="000B7B0E"/>
    <w:rsid w:val="000B7C08"/>
    <w:rsid w:val="000C508E"/>
    <w:rsid w:val="000C7A18"/>
    <w:rsid w:val="000D030C"/>
    <w:rsid w:val="000D12CF"/>
    <w:rsid w:val="000D2D88"/>
    <w:rsid w:val="000D698C"/>
    <w:rsid w:val="000E2987"/>
    <w:rsid w:val="000E3494"/>
    <w:rsid w:val="000E4727"/>
    <w:rsid w:val="000E4B20"/>
    <w:rsid w:val="000F1218"/>
    <w:rsid w:val="000F1BEA"/>
    <w:rsid w:val="0010350E"/>
    <w:rsid w:val="0011418F"/>
    <w:rsid w:val="00115140"/>
    <w:rsid w:val="00115AF8"/>
    <w:rsid w:val="0012772E"/>
    <w:rsid w:val="00131F53"/>
    <w:rsid w:val="001427DB"/>
    <w:rsid w:val="001478A5"/>
    <w:rsid w:val="00164ED9"/>
    <w:rsid w:val="0016591E"/>
    <w:rsid w:val="00172C24"/>
    <w:rsid w:val="0018054D"/>
    <w:rsid w:val="0018266A"/>
    <w:rsid w:val="001A6E4B"/>
    <w:rsid w:val="001C4C05"/>
    <w:rsid w:val="001C7401"/>
    <w:rsid w:val="001D0226"/>
    <w:rsid w:val="001D7F84"/>
    <w:rsid w:val="001E59D1"/>
    <w:rsid w:val="001E5EA4"/>
    <w:rsid w:val="00202870"/>
    <w:rsid w:val="00202BB9"/>
    <w:rsid w:val="002042A7"/>
    <w:rsid w:val="00204A6B"/>
    <w:rsid w:val="00204FB5"/>
    <w:rsid w:val="00205911"/>
    <w:rsid w:val="002110FC"/>
    <w:rsid w:val="002115A3"/>
    <w:rsid w:val="0021297D"/>
    <w:rsid w:val="002146AD"/>
    <w:rsid w:val="002146CE"/>
    <w:rsid w:val="00226FFF"/>
    <w:rsid w:val="00245F4F"/>
    <w:rsid w:val="0024793D"/>
    <w:rsid w:val="002536B5"/>
    <w:rsid w:val="00265B9A"/>
    <w:rsid w:val="00274E26"/>
    <w:rsid w:val="00275CB6"/>
    <w:rsid w:val="002800B5"/>
    <w:rsid w:val="002822C3"/>
    <w:rsid w:val="002842C2"/>
    <w:rsid w:val="00295B29"/>
    <w:rsid w:val="002A06E0"/>
    <w:rsid w:val="002A241A"/>
    <w:rsid w:val="002A62FA"/>
    <w:rsid w:val="002B243E"/>
    <w:rsid w:val="002B692B"/>
    <w:rsid w:val="002C1DF2"/>
    <w:rsid w:val="002D0415"/>
    <w:rsid w:val="002D172A"/>
    <w:rsid w:val="002D4073"/>
    <w:rsid w:val="002D5CF0"/>
    <w:rsid w:val="002D7C7A"/>
    <w:rsid w:val="002E07C5"/>
    <w:rsid w:val="002E1F34"/>
    <w:rsid w:val="002E3ED8"/>
    <w:rsid w:val="002E7098"/>
    <w:rsid w:val="002F06AC"/>
    <w:rsid w:val="002F4FE8"/>
    <w:rsid w:val="002F75BA"/>
    <w:rsid w:val="00301D32"/>
    <w:rsid w:val="00302DEA"/>
    <w:rsid w:val="0031294E"/>
    <w:rsid w:val="00330F0C"/>
    <w:rsid w:val="00334B60"/>
    <w:rsid w:val="00337C9D"/>
    <w:rsid w:val="00350E14"/>
    <w:rsid w:val="003602C0"/>
    <w:rsid w:val="0036051C"/>
    <w:rsid w:val="003613E9"/>
    <w:rsid w:val="00366FAD"/>
    <w:rsid w:val="00367177"/>
    <w:rsid w:val="0037105B"/>
    <w:rsid w:val="003721AE"/>
    <w:rsid w:val="00392043"/>
    <w:rsid w:val="003975BA"/>
    <w:rsid w:val="003A51E5"/>
    <w:rsid w:val="003A74E6"/>
    <w:rsid w:val="003B73DD"/>
    <w:rsid w:val="003C3819"/>
    <w:rsid w:val="003C61C2"/>
    <w:rsid w:val="003C6D15"/>
    <w:rsid w:val="003D011C"/>
    <w:rsid w:val="003E0403"/>
    <w:rsid w:val="003E429A"/>
    <w:rsid w:val="003E4B3C"/>
    <w:rsid w:val="003E5E8A"/>
    <w:rsid w:val="003F7D72"/>
    <w:rsid w:val="00404070"/>
    <w:rsid w:val="004108C7"/>
    <w:rsid w:val="00412DC2"/>
    <w:rsid w:val="00413FEF"/>
    <w:rsid w:val="004142C9"/>
    <w:rsid w:val="00417963"/>
    <w:rsid w:val="004207F5"/>
    <w:rsid w:val="004277C9"/>
    <w:rsid w:val="00432369"/>
    <w:rsid w:val="00440041"/>
    <w:rsid w:val="00451268"/>
    <w:rsid w:val="004515AD"/>
    <w:rsid w:val="00451857"/>
    <w:rsid w:val="00453516"/>
    <w:rsid w:val="00455619"/>
    <w:rsid w:val="00457548"/>
    <w:rsid w:val="00470DB2"/>
    <w:rsid w:val="004925E7"/>
    <w:rsid w:val="00495B11"/>
    <w:rsid w:val="004A54A9"/>
    <w:rsid w:val="004B3F3A"/>
    <w:rsid w:val="004B43D1"/>
    <w:rsid w:val="004C12F1"/>
    <w:rsid w:val="004C25D7"/>
    <w:rsid w:val="004C6913"/>
    <w:rsid w:val="004C71AA"/>
    <w:rsid w:val="004E6101"/>
    <w:rsid w:val="004F37B5"/>
    <w:rsid w:val="004F6FF3"/>
    <w:rsid w:val="00505B18"/>
    <w:rsid w:val="00505C83"/>
    <w:rsid w:val="00507547"/>
    <w:rsid w:val="005257FF"/>
    <w:rsid w:val="00541098"/>
    <w:rsid w:val="00544AFB"/>
    <w:rsid w:val="00571B49"/>
    <w:rsid w:val="005743AE"/>
    <w:rsid w:val="00577F53"/>
    <w:rsid w:val="0058090A"/>
    <w:rsid w:val="00587815"/>
    <w:rsid w:val="005904BC"/>
    <w:rsid w:val="005916EE"/>
    <w:rsid w:val="00591B2C"/>
    <w:rsid w:val="005A2653"/>
    <w:rsid w:val="005B4EA3"/>
    <w:rsid w:val="005D19BA"/>
    <w:rsid w:val="005D4708"/>
    <w:rsid w:val="005D64CA"/>
    <w:rsid w:val="005E306F"/>
    <w:rsid w:val="005E5717"/>
    <w:rsid w:val="005E6DB2"/>
    <w:rsid w:val="005F2117"/>
    <w:rsid w:val="005F5D85"/>
    <w:rsid w:val="00604178"/>
    <w:rsid w:val="00606941"/>
    <w:rsid w:val="00613B9A"/>
    <w:rsid w:val="0061433E"/>
    <w:rsid w:val="00616401"/>
    <w:rsid w:val="00622D13"/>
    <w:rsid w:val="0062751D"/>
    <w:rsid w:val="006354AA"/>
    <w:rsid w:val="00643B9B"/>
    <w:rsid w:val="00651A24"/>
    <w:rsid w:val="00652858"/>
    <w:rsid w:val="00661AFA"/>
    <w:rsid w:val="00662997"/>
    <w:rsid w:val="00662F4E"/>
    <w:rsid w:val="006726BF"/>
    <w:rsid w:val="00677B77"/>
    <w:rsid w:val="006801DA"/>
    <w:rsid w:val="00680AD9"/>
    <w:rsid w:val="006860CB"/>
    <w:rsid w:val="0068718A"/>
    <w:rsid w:val="006978B6"/>
    <w:rsid w:val="006A2739"/>
    <w:rsid w:val="006A7024"/>
    <w:rsid w:val="006B2EBF"/>
    <w:rsid w:val="006B4C95"/>
    <w:rsid w:val="006B5C95"/>
    <w:rsid w:val="006C154A"/>
    <w:rsid w:val="006D2DDB"/>
    <w:rsid w:val="006D41D1"/>
    <w:rsid w:val="006E14B0"/>
    <w:rsid w:val="006E7AAA"/>
    <w:rsid w:val="006F0108"/>
    <w:rsid w:val="006F0FA6"/>
    <w:rsid w:val="006F5B8E"/>
    <w:rsid w:val="006F66DB"/>
    <w:rsid w:val="00700FD6"/>
    <w:rsid w:val="00703C9C"/>
    <w:rsid w:val="00704AE6"/>
    <w:rsid w:val="007062CF"/>
    <w:rsid w:val="00706E51"/>
    <w:rsid w:val="007112BB"/>
    <w:rsid w:val="007153A2"/>
    <w:rsid w:val="007170DA"/>
    <w:rsid w:val="007176F8"/>
    <w:rsid w:val="00720A1E"/>
    <w:rsid w:val="007236E3"/>
    <w:rsid w:val="00724A68"/>
    <w:rsid w:val="007271BF"/>
    <w:rsid w:val="00730DD3"/>
    <w:rsid w:val="00731624"/>
    <w:rsid w:val="00732B5D"/>
    <w:rsid w:val="00733221"/>
    <w:rsid w:val="00733224"/>
    <w:rsid w:val="00735A34"/>
    <w:rsid w:val="00742A49"/>
    <w:rsid w:val="0074391E"/>
    <w:rsid w:val="00745ED1"/>
    <w:rsid w:val="007511ED"/>
    <w:rsid w:val="007574B6"/>
    <w:rsid w:val="007576B9"/>
    <w:rsid w:val="00763252"/>
    <w:rsid w:val="00764128"/>
    <w:rsid w:val="00770BC5"/>
    <w:rsid w:val="007738AA"/>
    <w:rsid w:val="007808BD"/>
    <w:rsid w:val="007824B8"/>
    <w:rsid w:val="007910DD"/>
    <w:rsid w:val="0079114A"/>
    <w:rsid w:val="0079457A"/>
    <w:rsid w:val="007A1BC3"/>
    <w:rsid w:val="007A3EC1"/>
    <w:rsid w:val="007B3368"/>
    <w:rsid w:val="007B4A7D"/>
    <w:rsid w:val="007D0A69"/>
    <w:rsid w:val="007D3CA9"/>
    <w:rsid w:val="007D40D2"/>
    <w:rsid w:val="007D6DC4"/>
    <w:rsid w:val="007E68FE"/>
    <w:rsid w:val="007E7215"/>
    <w:rsid w:val="007F1959"/>
    <w:rsid w:val="007F2324"/>
    <w:rsid w:val="007F3E0C"/>
    <w:rsid w:val="007F56D4"/>
    <w:rsid w:val="00804D9A"/>
    <w:rsid w:val="00805C1B"/>
    <w:rsid w:val="00812387"/>
    <w:rsid w:val="008143D3"/>
    <w:rsid w:val="00821B04"/>
    <w:rsid w:val="0082774C"/>
    <w:rsid w:val="0083426D"/>
    <w:rsid w:val="00840420"/>
    <w:rsid w:val="00844C9A"/>
    <w:rsid w:val="00847813"/>
    <w:rsid w:val="008523BE"/>
    <w:rsid w:val="00853463"/>
    <w:rsid w:val="008679F9"/>
    <w:rsid w:val="00870483"/>
    <w:rsid w:val="00873681"/>
    <w:rsid w:val="008773B2"/>
    <w:rsid w:val="00887878"/>
    <w:rsid w:val="0089130A"/>
    <w:rsid w:val="00893F25"/>
    <w:rsid w:val="00895035"/>
    <w:rsid w:val="008A2643"/>
    <w:rsid w:val="008A2AFC"/>
    <w:rsid w:val="008B0B04"/>
    <w:rsid w:val="008B1D79"/>
    <w:rsid w:val="008B2617"/>
    <w:rsid w:val="008B2B14"/>
    <w:rsid w:val="008B7313"/>
    <w:rsid w:val="008C6AED"/>
    <w:rsid w:val="008C7604"/>
    <w:rsid w:val="008E1B27"/>
    <w:rsid w:val="008E76D7"/>
    <w:rsid w:val="00900828"/>
    <w:rsid w:val="00903379"/>
    <w:rsid w:val="00906975"/>
    <w:rsid w:val="009069DA"/>
    <w:rsid w:val="00911BEC"/>
    <w:rsid w:val="00917089"/>
    <w:rsid w:val="00917F0B"/>
    <w:rsid w:val="00917F8B"/>
    <w:rsid w:val="0092416A"/>
    <w:rsid w:val="00941790"/>
    <w:rsid w:val="0094414F"/>
    <w:rsid w:val="00944A0D"/>
    <w:rsid w:val="00946A69"/>
    <w:rsid w:val="0094760C"/>
    <w:rsid w:val="00960257"/>
    <w:rsid w:val="00960964"/>
    <w:rsid w:val="00961241"/>
    <w:rsid w:val="00961724"/>
    <w:rsid w:val="00965E4D"/>
    <w:rsid w:val="00973B58"/>
    <w:rsid w:val="00981E78"/>
    <w:rsid w:val="009A11A9"/>
    <w:rsid w:val="009A3847"/>
    <w:rsid w:val="009B1D5C"/>
    <w:rsid w:val="009C2D3A"/>
    <w:rsid w:val="009C2E31"/>
    <w:rsid w:val="009D5EFA"/>
    <w:rsid w:val="009D6C8D"/>
    <w:rsid w:val="009E1955"/>
    <w:rsid w:val="009E20F7"/>
    <w:rsid w:val="009F20DD"/>
    <w:rsid w:val="009F3A19"/>
    <w:rsid w:val="009F466A"/>
    <w:rsid w:val="00A04A30"/>
    <w:rsid w:val="00A0533D"/>
    <w:rsid w:val="00A05D37"/>
    <w:rsid w:val="00A11BBC"/>
    <w:rsid w:val="00A1722E"/>
    <w:rsid w:val="00A2412C"/>
    <w:rsid w:val="00A2474D"/>
    <w:rsid w:val="00A27639"/>
    <w:rsid w:val="00A30A6F"/>
    <w:rsid w:val="00A31BA9"/>
    <w:rsid w:val="00A31F0C"/>
    <w:rsid w:val="00A36A7C"/>
    <w:rsid w:val="00A46014"/>
    <w:rsid w:val="00A47934"/>
    <w:rsid w:val="00A50379"/>
    <w:rsid w:val="00A51EC4"/>
    <w:rsid w:val="00A527AA"/>
    <w:rsid w:val="00A52A93"/>
    <w:rsid w:val="00A5684D"/>
    <w:rsid w:val="00A57C6D"/>
    <w:rsid w:val="00A57F5F"/>
    <w:rsid w:val="00A60056"/>
    <w:rsid w:val="00A602F2"/>
    <w:rsid w:val="00A66ED9"/>
    <w:rsid w:val="00A67B60"/>
    <w:rsid w:val="00A67D82"/>
    <w:rsid w:val="00A67FC0"/>
    <w:rsid w:val="00A707B2"/>
    <w:rsid w:val="00A70D82"/>
    <w:rsid w:val="00A712B7"/>
    <w:rsid w:val="00A75C61"/>
    <w:rsid w:val="00A834BB"/>
    <w:rsid w:val="00A8560F"/>
    <w:rsid w:val="00A9601B"/>
    <w:rsid w:val="00A96F8F"/>
    <w:rsid w:val="00AA4A2A"/>
    <w:rsid w:val="00AB7779"/>
    <w:rsid w:val="00AC7569"/>
    <w:rsid w:val="00AD100E"/>
    <w:rsid w:val="00AD6876"/>
    <w:rsid w:val="00AD7FB5"/>
    <w:rsid w:val="00AE1E36"/>
    <w:rsid w:val="00AE3A9D"/>
    <w:rsid w:val="00AF0B88"/>
    <w:rsid w:val="00AF1DCF"/>
    <w:rsid w:val="00AF62E5"/>
    <w:rsid w:val="00AF6D12"/>
    <w:rsid w:val="00AF74AA"/>
    <w:rsid w:val="00B01424"/>
    <w:rsid w:val="00B03C2F"/>
    <w:rsid w:val="00B0589B"/>
    <w:rsid w:val="00B15064"/>
    <w:rsid w:val="00B24E41"/>
    <w:rsid w:val="00B25340"/>
    <w:rsid w:val="00B31331"/>
    <w:rsid w:val="00B340A3"/>
    <w:rsid w:val="00B410F5"/>
    <w:rsid w:val="00B421DF"/>
    <w:rsid w:val="00B43AE6"/>
    <w:rsid w:val="00B5754C"/>
    <w:rsid w:val="00B57C18"/>
    <w:rsid w:val="00B6201C"/>
    <w:rsid w:val="00B6280C"/>
    <w:rsid w:val="00B671A4"/>
    <w:rsid w:val="00B71F4D"/>
    <w:rsid w:val="00B72CD4"/>
    <w:rsid w:val="00B74E52"/>
    <w:rsid w:val="00B80577"/>
    <w:rsid w:val="00B80BAD"/>
    <w:rsid w:val="00B85B00"/>
    <w:rsid w:val="00B934AF"/>
    <w:rsid w:val="00B95E3B"/>
    <w:rsid w:val="00B96A7D"/>
    <w:rsid w:val="00BA6D9B"/>
    <w:rsid w:val="00BB0E14"/>
    <w:rsid w:val="00BB46AC"/>
    <w:rsid w:val="00BD376C"/>
    <w:rsid w:val="00BD537E"/>
    <w:rsid w:val="00BE156F"/>
    <w:rsid w:val="00BE15C3"/>
    <w:rsid w:val="00BE16C5"/>
    <w:rsid w:val="00BE6F46"/>
    <w:rsid w:val="00BE71A7"/>
    <w:rsid w:val="00BF0D9D"/>
    <w:rsid w:val="00BF132F"/>
    <w:rsid w:val="00C075E1"/>
    <w:rsid w:val="00C13878"/>
    <w:rsid w:val="00C32DCE"/>
    <w:rsid w:val="00C6466C"/>
    <w:rsid w:val="00C71BC6"/>
    <w:rsid w:val="00C7670C"/>
    <w:rsid w:val="00C818DE"/>
    <w:rsid w:val="00C8455F"/>
    <w:rsid w:val="00C85001"/>
    <w:rsid w:val="00C85102"/>
    <w:rsid w:val="00C854AA"/>
    <w:rsid w:val="00C86D8F"/>
    <w:rsid w:val="00C9750E"/>
    <w:rsid w:val="00CA1705"/>
    <w:rsid w:val="00CA28CE"/>
    <w:rsid w:val="00CA5257"/>
    <w:rsid w:val="00CB0AC9"/>
    <w:rsid w:val="00CB44E7"/>
    <w:rsid w:val="00CB4F01"/>
    <w:rsid w:val="00CC2417"/>
    <w:rsid w:val="00CC2AA7"/>
    <w:rsid w:val="00CE04AA"/>
    <w:rsid w:val="00CE1A54"/>
    <w:rsid w:val="00CE7659"/>
    <w:rsid w:val="00CF00AF"/>
    <w:rsid w:val="00CF032D"/>
    <w:rsid w:val="00CF5301"/>
    <w:rsid w:val="00CF59D4"/>
    <w:rsid w:val="00CF5FB6"/>
    <w:rsid w:val="00CF7235"/>
    <w:rsid w:val="00D0137F"/>
    <w:rsid w:val="00D02518"/>
    <w:rsid w:val="00D03F45"/>
    <w:rsid w:val="00D07713"/>
    <w:rsid w:val="00D1342E"/>
    <w:rsid w:val="00D1473F"/>
    <w:rsid w:val="00D17454"/>
    <w:rsid w:val="00D27A31"/>
    <w:rsid w:val="00D33FBC"/>
    <w:rsid w:val="00D34D9E"/>
    <w:rsid w:val="00D35FC2"/>
    <w:rsid w:val="00D43F81"/>
    <w:rsid w:val="00D44426"/>
    <w:rsid w:val="00D46FD7"/>
    <w:rsid w:val="00D479F2"/>
    <w:rsid w:val="00D56589"/>
    <w:rsid w:val="00D62AD6"/>
    <w:rsid w:val="00D7299B"/>
    <w:rsid w:val="00D74A99"/>
    <w:rsid w:val="00D7535C"/>
    <w:rsid w:val="00D76302"/>
    <w:rsid w:val="00D778BA"/>
    <w:rsid w:val="00D87059"/>
    <w:rsid w:val="00D95051"/>
    <w:rsid w:val="00DA5A6E"/>
    <w:rsid w:val="00DA5CE2"/>
    <w:rsid w:val="00DB6035"/>
    <w:rsid w:val="00DC0267"/>
    <w:rsid w:val="00DD3E82"/>
    <w:rsid w:val="00DD6739"/>
    <w:rsid w:val="00DE10E8"/>
    <w:rsid w:val="00DE36E9"/>
    <w:rsid w:val="00DE4AF2"/>
    <w:rsid w:val="00DF3A06"/>
    <w:rsid w:val="00E07A03"/>
    <w:rsid w:val="00E13662"/>
    <w:rsid w:val="00E13C17"/>
    <w:rsid w:val="00E16B66"/>
    <w:rsid w:val="00E16FDA"/>
    <w:rsid w:val="00E20E7B"/>
    <w:rsid w:val="00E25FDE"/>
    <w:rsid w:val="00E30937"/>
    <w:rsid w:val="00E334DD"/>
    <w:rsid w:val="00E354BA"/>
    <w:rsid w:val="00E3581F"/>
    <w:rsid w:val="00E35F58"/>
    <w:rsid w:val="00E375F4"/>
    <w:rsid w:val="00E41441"/>
    <w:rsid w:val="00E42619"/>
    <w:rsid w:val="00E45BD9"/>
    <w:rsid w:val="00E524D4"/>
    <w:rsid w:val="00E66FFC"/>
    <w:rsid w:val="00E7430E"/>
    <w:rsid w:val="00E759D6"/>
    <w:rsid w:val="00E84A8C"/>
    <w:rsid w:val="00E85A3A"/>
    <w:rsid w:val="00E86F27"/>
    <w:rsid w:val="00E91A09"/>
    <w:rsid w:val="00E976DE"/>
    <w:rsid w:val="00EA7537"/>
    <w:rsid w:val="00EB0B55"/>
    <w:rsid w:val="00EB5DB7"/>
    <w:rsid w:val="00EC0F83"/>
    <w:rsid w:val="00EC5C62"/>
    <w:rsid w:val="00ED3F84"/>
    <w:rsid w:val="00EE3187"/>
    <w:rsid w:val="00EE7E40"/>
    <w:rsid w:val="00EF499B"/>
    <w:rsid w:val="00F118C3"/>
    <w:rsid w:val="00F12D66"/>
    <w:rsid w:val="00F14977"/>
    <w:rsid w:val="00F20D61"/>
    <w:rsid w:val="00F21858"/>
    <w:rsid w:val="00F22D93"/>
    <w:rsid w:val="00F31F30"/>
    <w:rsid w:val="00F405AD"/>
    <w:rsid w:val="00F47502"/>
    <w:rsid w:val="00F551FD"/>
    <w:rsid w:val="00F7072B"/>
    <w:rsid w:val="00F87A74"/>
    <w:rsid w:val="00FB0610"/>
    <w:rsid w:val="00FB160A"/>
    <w:rsid w:val="00FB39D4"/>
    <w:rsid w:val="00FB4A08"/>
    <w:rsid w:val="00FB4FE6"/>
    <w:rsid w:val="00FB60B5"/>
    <w:rsid w:val="00FB72DF"/>
    <w:rsid w:val="00FC0C2A"/>
    <w:rsid w:val="00FC4C23"/>
    <w:rsid w:val="00FD569C"/>
    <w:rsid w:val="00FD6C71"/>
    <w:rsid w:val="00FD7F8E"/>
    <w:rsid w:val="00FE1EB0"/>
    <w:rsid w:val="00FF11E4"/>
    <w:rsid w:val="02A0095B"/>
    <w:rsid w:val="04B072D4"/>
    <w:rsid w:val="05F575D4"/>
    <w:rsid w:val="064249C6"/>
    <w:rsid w:val="08641132"/>
    <w:rsid w:val="09186774"/>
    <w:rsid w:val="0945438F"/>
    <w:rsid w:val="09A137B2"/>
    <w:rsid w:val="0A71587A"/>
    <w:rsid w:val="0B792C38"/>
    <w:rsid w:val="0C28640C"/>
    <w:rsid w:val="0DC54EF5"/>
    <w:rsid w:val="0E90599A"/>
    <w:rsid w:val="0ED720CD"/>
    <w:rsid w:val="119C142F"/>
    <w:rsid w:val="12070CAE"/>
    <w:rsid w:val="122B27B2"/>
    <w:rsid w:val="145F688C"/>
    <w:rsid w:val="15DD2205"/>
    <w:rsid w:val="17072842"/>
    <w:rsid w:val="17A67110"/>
    <w:rsid w:val="1864189B"/>
    <w:rsid w:val="18D73A7D"/>
    <w:rsid w:val="18FA2EDF"/>
    <w:rsid w:val="19557370"/>
    <w:rsid w:val="1BD06B6A"/>
    <w:rsid w:val="1C625023"/>
    <w:rsid w:val="1CE617B0"/>
    <w:rsid w:val="1F171A10"/>
    <w:rsid w:val="1F782BDE"/>
    <w:rsid w:val="1FC66C10"/>
    <w:rsid w:val="204A6A53"/>
    <w:rsid w:val="204D7D98"/>
    <w:rsid w:val="21D50045"/>
    <w:rsid w:val="23317869"/>
    <w:rsid w:val="25650CAE"/>
    <w:rsid w:val="257A162F"/>
    <w:rsid w:val="26406598"/>
    <w:rsid w:val="28080056"/>
    <w:rsid w:val="28414686"/>
    <w:rsid w:val="28734C1A"/>
    <w:rsid w:val="28885E11"/>
    <w:rsid w:val="28C72DDD"/>
    <w:rsid w:val="291E0523"/>
    <w:rsid w:val="29C41BB3"/>
    <w:rsid w:val="29EE0E64"/>
    <w:rsid w:val="2BC4020A"/>
    <w:rsid w:val="2C4B6AFC"/>
    <w:rsid w:val="2EF90F16"/>
    <w:rsid w:val="2F125C63"/>
    <w:rsid w:val="302C3D0A"/>
    <w:rsid w:val="3104598F"/>
    <w:rsid w:val="33DE31BB"/>
    <w:rsid w:val="389C49C0"/>
    <w:rsid w:val="39BC78F4"/>
    <w:rsid w:val="3B35486F"/>
    <w:rsid w:val="3EF1250A"/>
    <w:rsid w:val="40567DB0"/>
    <w:rsid w:val="40E21F2E"/>
    <w:rsid w:val="40E35E83"/>
    <w:rsid w:val="40FF5CD2"/>
    <w:rsid w:val="42DB40B0"/>
    <w:rsid w:val="43236A0A"/>
    <w:rsid w:val="43B71B0A"/>
    <w:rsid w:val="44B92BB7"/>
    <w:rsid w:val="44FA0589"/>
    <w:rsid w:val="45A663E3"/>
    <w:rsid w:val="46236D21"/>
    <w:rsid w:val="469F09AF"/>
    <w:rsid w:val="48877A3B"/>
    <w:rsid w:val="489075D7"/>
    <w:rsid w:val="49494CF1"/>
    <w:rsid w:val="49F904C5"/>
    <w:rsid w:val="4A836A77"/>
    <w:rsid w:val="4B756271"/>
    <w:rsid w:val="4BD50ABE"/>
    <w:rsid w:val="4BF70A34"/>
    <w:rsid w:val="4C8E1CA8"/>
    <w:rsid w:val="4D385BFD"/>
    <w:rsid w:val="4D6D36A4"/>
    <w:rsid w:val="4EC241D4"/>
    <w:rsid w:val="510903EF"/>
    <w:rsid w:val="511F25B1"/>
    <w:rsid w:val="53F137F4"/>
    <w:rsid w:val="543A6906"/>
    <w:rsid w:val="543A7486"/>
    <w:rsid w:val="557D644E"/>
    <w:rsid w:val="56850CBB"/>
    <w:rsid w:val="5809221B"/>
    <w:rsid w:val="59D8738A"/>
    <w:rsid w:val="5A666D76"/>
    <w:rsid w:val="5B2253C2"/>
    <w:rsid w:val="5B4B2B4A"/>
    <w:rsid w:val="5C1B076F"/>
    <w:rsid w:val="5CF02E0F"/>
    <w:rsid w:val="603269D2"/>
    <w:rsid w:val="60BB7E2A"/>
    <w:rsid w:val="61A52BCA"/>
    <w:rsid w:val="61F034F0"/>
    <w:rsid w:val="67095496"/>
    <w:rsid w:val="670D5158"/>
    <w:rsid w:val="67ED7463"/>
    <w:rsid w:val="681A546A"/>
    <w:rsid w:val="68831B76"/>
    <w:rsid w:val="68FE0743"/>
    <w:rsid w:val="69CB37D4"/>
    <w:rsid w:val="6A0D5B9B"/>
    <w:rsid w:val="6A3B23B1"/>
    <w:rsid w:val="6AEA32DC"/>
    <w:rsid w:val="6C335661"/>
    <w:rsid w:val="6CC24AB5"/>
    <w:rsid w:val="6D9271B2"/>
    <w:rsid w:val="6ED924EF"/>
    <w:rsid w:val="6F134790"/>
    <w:rsid w:val="6FE81F5F"/>
    <w:rsid w:val="721D26F3"/>
    <w:rsid w:val="72446028"/>
    <w:rsid w:val="72671BC0"/>
    <w:rsid w:val="73076EC0"/>
    <w:rsid w:val="74210CA6"/>
    <w:rsid w:val="746F4E76"/>
    <w:rsid w:val="788C25F5"/>
    <w:rsid w:val="78DF119D"/>
    <w:rsid w:val="79484EF1"/>
    <w:rsid w:val="79F72AA9"/>
    <w:rsid w:val="7A144529"/>
    <w:rsid w:val="7B2F7F72"/>
    <w:rsid w:val="7C06244A"/>
    <w:rsid w:val="7C7B5969"/>
    <w:rsid w:val="7DB61C4E"/>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99"/>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99"/>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3f7234fe-29cc-4b35-aa1d-b9d1a39fd62b</errorID>
      <errorWord>的和</errorWord>
      <group>L1_Word</group>
      <groupName>字词问题</groupName>
      <ability>L2_Typo</ability>
      <abilityName>字词错误</abilityName>
      <candidateList>
        <item>的</item>
      </candidateList>
      <explain/>
      <paraID>1F3047E2</paraID>
      <start>4</start>
      <end>5</end>
      <status>modified</status>
      <modifiedWord>的</modifiedWord>
      <trackRevisions>false</trackRevisions>
    </reviewItem>
    <reviewItem>
      <errorID>292d8cc7-e51e-4061-8ab9-2ff0ea08c297</errorID>
      <errorWord>司</errorWord>
      <group>L1_Word</group>
      <groupName>字词问题</groupName>
      <ability>L2_Typo</ability>
      <abilityName>字词错误</abilityName>
      <candidateList>
        <item>司在</item>
      </candidateList>
      <explain/>
      <paraID>6F7A9A56</paraID>
      <start>247</start>
      <end>248</end>
      <status>ignored</status>
      <modifiedWord/>
      <trackRevisions>false</trackRevisions>
    </reviewItem>
    <reviewItem>
      <errorID>bc251319-0aa5-49d9-ba06-d82a1971eb50</errorID>
      <errorWord>年年</errorWord>
      <group>L1_Word</group>
      <groupName>字词问题</groupName>
      <ability>L2_Typo</ability>
      <abilityName>字词错误</abilityName>
      <candidateList>
        <item>年</item>
      </candidateList>
      <explain/>
      <paraID> A97DC09</paraID>
      <start>180</start>
      <end>181</end>
      <status>modified</status>
      <modifiedWord>年</modifiedWord>
      <trackRevisions>false</trackRevisions>
    </reviewItem>
    <reviewItem>
      <errorID>4d5db565-f001-47e2-8314-75e916e44dca</errorID>
      <errorWord>况</errorWord>
      <group>L1_Word</group>
      <groupName>字词问题</groupName>
      <ability>L2_Typo</ability>
      <abilityName>字词错误</abilityName>
      <candidateList>
        <item>况下</item>
      </candidateList>
      <explain/>
      <paraID>39C35023</paraID>
      <start>42</start>
      <end>43</end>
      <status>ignored</status>
      <modifiedWord/>
      <trackRevisions>false</trackRevisions>
    </reviewItem>
    <reviewItem>
      <errorID>559a92c4-80b9-4c86-b6a4-9e0940e83853</errorID>
      <errorWord>后后</errorWord>
      <group>L1_Word</group>
      <groupName>字词问题</groupName>
      <ability>L2_Typo</ability>
      <abilityName>字词错误</abilityName>
      <candidateList>
        <item>后</item>
      </candidateList>
      <explain/>
      <paraID>39C35023</paraID>
      <start>87</start>
      <end>88</end>
      <status>modified</status>
      <modifiedWord>后</modifiedWord>
      <trackRevisions>false</trackRevisions>
    </reviewItem>
    <reviewItem>
      <errorID>167bd2b5-ff5d-4064-9373-61c2124190f3</errorID>
      <errorWord>取</errorWord>
      <group>L1_Word</group>
      <groupName>字词问题</groupName>
      <ability>L2_Typo</ability>
      <abilityName>字词错误</abilityName>
      <candidateList>
        <item>取一</item>
      </candidateList>
      <explain/>
      <paraID>6BFF8ADA</paraID>
      <start>17</start>
      <end>18</end>
      <status>ignored</status>
      <modifiedWord/>
      <trackRevisions>false</trackRevisions>
    </reviewItem>
    <reviewItem>
      <errorID>79246e52-0130-46bf-ad29-3063b936113f</errorID>
      <errorWord>十五五</errorWord>
      <group>L1_Political</group>
      <groupName>政治性问题</groupName>
      <ability>L2_Keyword</ability>
      <abilityName>固定表述</abilityName>
      <candidateList>
        <item>“十五五”</item>
      </candidateList>
      <explain>注意检查当前固定表述标点是否使用规范。</explain>
      <paraID> 70B89C8</paraID>
      <start>3</start>
      <end>6</end>
      <status>ignored</status>
      <modifiedWord/>
      <trackRevisions>false</trackRevisions>
    </reviewItem>
  </reviewItems>
  <config/>
</contractReview>
</file>

<file path=customXml/itemProps1.xml><?xml version="1.0" encoding="utf-8"?>
<ds:datastoreItem xmlns:ds="http://schemas.openxmlformats.org/officeDocument/2006/customXml" ds:itemID="{A8E34D61-1B97-4086-962B-02ECC5540DEA}">
  <ds:schemaRefs/>
</ds:datastoreItem>
</file>

<file path=customXml/itemProps2.xml><?xml version="1.0" encoding="utf-8"?>
<ds:datastoreItem xmlns:ds="http://schemas.openxmlformats.org/officeDocument/2006/customXml" ds:itemID="{c8df6de5-4f20-46d4-bf93-685322b542bf}">
  <ds:schemaRefs/>
</ds:datastoreItem>
</file>

<file path=docProps/app.xml><?xml version="1.0" encoding="utf-8"?>
<Properties xmlns="http://schemas.openxmlformats.org/officeDocument/2006/extended-properties" xmlns:vt="http://schemas.openxmlformats.org/officeDocument/2006/docPropsVTypes">
  <Template>Normal</Template>
  <Pages>8</Pages>
  <Words>5157</Words>
  <Characters>5390</Characters>
  <Lines>39</Lines>
  <Paragraphs>11</Paragraphs>
  <TotalTime>101</TotalTime>
  <ScaleCrop>false</ScaleCrop>
  <LinksUpToDate>false</LinksUpToDate>
  <CharactersWithSpaces>5446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2023-05-04T08:25:00Z</dcterms:created>
  <dc:creator>jie.huang</dc:creator>
  <cp:lastModifiedBy>DJR</cp:lastModifiedBy>
  <dcterms:modified xsi:type="dcterms:W3CDTF">2026-08-28T02:08:22Z</dcterms:modified>
  <cp:revision>1713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036DED5CCD3D4CE0B42EED8ABEBD242F_13</vt:lpwstr>
  </property>
  <property fmtid="{D5CDD505-2E9C-101B-9397-08002B2CF9AE}" pid="4" name="KSOTemplateDocerSaveRecord">
    <vt:lpwstr>eyJoZGlkIjoiODAyZmFjOGU4ZGI1N2JiOTFkYjdiODRlZDUxYTcyZTgiLCJ1c2VySWQiOiI0MjQ0NzUyODEifQ==</vt:lpwstr>
  </property>
</Properties>
</file>