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9F80B" w14:textId="77777777" w:rsidR="00845AE5" w:rsidRDefault="00884B05">
      <w:pPr>
        <w:pStyle w:val="1"/>
        <w:rPr>
          <w:rFonts w:ascii="Times New Roman" w:eastAsia="宋体" w:hAnsi="Times New Roman" w:cs="Times New Roman"/>
          <w:sz w:val="24"/>
          <w:szCs w:val="24"/>
          <w:lang w:val="en-US"/>
        </w:rPr>
      </w:pPr>
      <w:r>
        <w:rPr>
          <w:rFonts w:ascii="Times New Roman" w:eastAsia="宋体" w:hAnsi="Times New Roman" w:cs="Times New Roman"/>
          <w:sz w:val="24"/>
          <w:szCs w:val="24"/>
          <w:lang w:val="en-US"/>
        </w:rPr>
        <w:t>证券代码：</w:t>
      </w:r>
      <w:r>
        <w:rPr>
          <w:rFonts w:ascii="Times New Roman" w:eastAsia="宋体" w:hAnsi="Times New Roman" w:cs="Times New Roman"/>
          <w:sz w:val="24"/>
          <w:szCs w:val="24"/>
          <w:lang w:val="en-US"/>
        </w:rPr>
        <w:t xml:space="preserve">688281                                  </w:t>
      </w:r>
      <w:r>
        <w:rPr>
          <w:rFonts w:ascii="Times New Roman" w:eastAsia="宋体" w:hAnsi="Times New Roman" w:cs="Times New Roman"/>
          <w:sz w:val="24"/>
          <w:szCs w:val="24"/>
          <w:lang w:val="en-US"/>
        </w:rPr>
        <w:t>证券简称：华秦科技</w:t>
      </w:r>
    </w:p>
    <w:p w14:paraId="30A23CDD" w14:textId="77777777" w:rsidR="00845AE5" w:rsidRDefault="00845AE5">
      <w:pPr>
        <w:rPr>
          <w:rFonts w:hint="eastAsia"/>
          <w:lang w:val="en-US"/>
        </w:rPr>
      </w:pPr>
    </w:p>
    <w:p w14:paraId="2EDE651E" w14:textId="77777777" w:rsidR="00845AE5" w:rsidRDefault="00884B05">
      <w:pPr>
        <w:spacing w:beforeLines="50" w:before="120" w:line="360" w:lineRule="auto"/>
        <w:jc w:val="center"/>
        <w:rPr>
          <w:rFonts w:ascii="Times New Roman" w:eastAsia="黑体" w:hAnsi="Times New Roman" w:cs="Times New Roman"/>
          <w:b/>
          <w:bCs/>
          <w:sz w:val="30"/>
          <w:szCs w:val="30"/>
        </w:rPr>
      </w:pPr>
      <w:r>
        <w:rPr>
          <w:rFonts w:ascii="Times New Roman" w:eastAsia="黑体" w:hAnsi="Times New Roman" w:cs="Times New Roman"/>
          <w:b/>
          <w:bCs/>
          <w:sz w:val="30"/>
          <w:szCs w:val="30"/>
        </w:rPr>
        <w:t>陕西华秦科技实业股份有限公司</w:t>
      </w:r>
    </w:p>
    <w:p w14:paraId="5929C0CF" w14:textId="77777777" w:rsidR="00845AE5" w:rsidRDefault="00884B05">
      <w:pPr>
        <w:spacing w:line="360" w:lineRule="auto"/>
        <w:jc w:val="center"/>
        <w:rPr>
          <w:rFonts w:ascii="Times New Roman" w:eastAsia="黑体" w:hAnsi="Times New Roman" w:cs="Times New Roman"/>
          <w:sz w:val="30"/>
          <w:szCs w:val="30"/>
        </w:rPr>
      </w:pPr>
      <w:r>
        <w:rPr>
          <w:rFonts w:ascii="Times New Roman" w:eastAsia="黑体" w:hAnsi="Times New Roman" w:cs="Times New Roman"/>
          <w:b/>
          <w:bCs/>
          <w:sz w:val="30"/>
          <w:szCs w:val="30"/>
        </w:rPr>
        <w:t>投资者关系活动记录表</w:t>
      </w:r>
    </w:p>
    <w:p w14:paraId="2DB766D7" w14:textId="77777777" w:rsidR="00845AE5" w:rsidRDefault="00884B05">
      <w:pPr>
        <w:spacing w:before="51" w:after="32"/>
        <w:ind w:right="619"/>
        <w:jc w:val="right"/>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rPr>
        <w:t>编号：</w:t>
      </w:r>
      <w:r>
        <w:rPr>
          <w:rFonts w:ascii="Times New Roman" w:eastAsiaTheme="minorEastAsia" w:hAnsi="Times New Roman" w:cs="Times New Roman"/>
          <w:sz w:val="24"/>
          <w:szCs w:val="24"/>
          <w:lang w:val="en-US"/>
        </w:rPr>
        <w:t>2026</w:t>
      </w:r>
      <w:r>
        <w:rPr>
          <w:rFonts w:ascii="Times New Roman" w:eastAsiaTheme="minorEastAsia" w:hAnsi="Times New Roman" w:cs="Times New Roman"/>
          <w:sz w:val="24"/>
          <w:szCs w:val="24"/>
        </w:rPr>
        <w:t>-0</w:t>
      </w:r>
      <w:r>
        <w:rPr>
          <w:rFonts w:ascii="Times New Roman" w:eastAsiaTheme="minorEastAsia" w:hAnsi="Times New Roman" w:cs="Times New Roman"/>
          <w:sz w:val="24"/>
          <w:szCs w:val="24"/>
          <w:lang w:val="en-US"/>
        </w:rPr>
        <w:t>13</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1696"/>
        <w:gridCol w:w="6829"/>
      </w:tblGrid>
      <w:tr w:rsidR="00845AE5" w14:paraId="231D842D" w14:textId="77777777">
        <w:trPr>
          <w:trHeight w:val="2801"/>
          <w:jc w:val="center"/>
        </w:trPr>
        <w:tc>
          <w:tcPr>
            <w:tcW w:w="1696" w:type="dxa"/>
            <w:vAlign w:val="center"/>
          </w:tcPr>
          <w:p w14:paraId="2CDB7842" w14:textId="77777777" w:rsidR="00845AE5" w:rsidRDefault="00884B05">
            <w:pPr>
              <w:pStyle w:val="TableParagraph"/>
              <w:spacing w:beforeLines="50" w:before="120" w:afterLines="50" w:after="120" w:line="360" w:lineRule="auto"/>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投资者关系活动类别</w:t>
            </w:r>
          </w:p>
        </w:tc>
        <w:tc>
          <w:tcPr>
            <w:tcW w:w="6829" w:type="dxa"/>
            <w:vAlign w:val="center"/>
          </w:tcPr>
          <w:p w14:paraId="2A53FC26" w14:textId="77777777" w:rsidR="00845AE5" w:rsidRDefault="00000000">
            <w:pPr>
              <w:pStyle w:val="TableParagraph"/>
              <w:tabs>
                <w:tab w:val="left" w:pos="2418"/>
              </w:tabs>
              <w:spacing w:beforeLines="100" w:before="240" w:afterLines="50" w:after="120" w:line="360" w:lineRule="auto"/>
              <w:ind w:left="108"/>
              <w:rPr>
                <w:rFonts w:ascii="Times New Roman" w:eastAsiaTheme="minorEastAsia" w:hAnsi="Times New Roman" w:cs="Times New Roman"/>
                <w:sz w:val="24"/>
                <w:szCs w:val="24"/>
              </w:rPr>
            </w:pPr>
            <w:sdt>
              <w:sdtPr>
                <w:rPr>
                  <w:rFonts w:ascii="Times New Roman" w:eastAsiaTheme="minorEastAsia" w:hAnsi="Times New Roman" w:cs="Times New Roman"/>
                  <w:sz w:val="24"/>
                  <w:szCs w:val="24"/>
                </w:rPr>
                <w:id w:val="249780449"/>
                <w14:checkbox>
                  <w14:checked w14:val="1"/>
                  <w14:checkedState w14:val="0052" w14:font="Wingdings 2"/>
                  <w14:uncheckedState w14:val="2610" w14:font="MS Gothic"/>
                </w14:checkbox>
              </w:sdtPr>
              <w:sdtContent>
                <w:r w:rsidR="00884B05">
                  <w:rPr>
                    <w:rFonts w:ascii="Times New Roman" w:eastAsiaTheme="minorEastAsia" w:hAnsi="Times New Roman" w:cs="Times New Roman"/>
                    <w:sz w:val="24"/>
                    <w:szCs w:val="24"/>
                  </w:rPr>
                  <w:sym w:font="Wingdings 2" w:char="F052"/>
                </w:r>
              </w:sdtContent>
            </w:sdt>
            <w:r w:rsidR="00884B05">
              <w:rPr>
                <w:rFonts w:ascii="Times New Roman" w:eastAsiaTheme="minorEastAsia" w:hAnsi="Times New Roman" w:cs="Times New Roman"/>
                <w:sz w:val="24"/>
                <w:szCs w:val="24"/>
              </w:rPr>
              <w:t>特</w:t>
            </w:r>
            <w:r w:rsidR="00884B05">
              <w:rPr>
                <w:rFonts w:ascii="Times New Roman" w:eastAsiaTheme="minorEastAsia" w:hAnsi="Times New Roman" w:cs="Times New Roman"/>
                <w:spacing w:val="-3"/>
                <w:sz w:val="24"/>
                <w:szCs w:val="24"/>
              </w:rPr>
              <w:t>定</w:t>
            </w:r>
            <w:r w:rsidR="00884B05">
              <w:rPr>
                <w:rFonts w:ascii="Times New Roman" w:eastAsiaTheme="minorEastAsia" w:hAnsi="Times New Roman" w:cs="Times New Roman"/>
                <w:sz w:val="24"/>
                <w:szCs w:val="24"/>
              </w:rPr>
              <w:t>对</w:t>
            </w:r>
            <w:r w:rsidR="00884B05">
              <w:rPr>
                <w:rFonts w:ascii="Times New Roman" w:eastAsiaTheme="minorEastAsia" w:hAnsi="Times New Roman" w:cs="Times New Roman"/>
                <w:spacing w:val="-3"/>
                <w:sz w:val="24"/>
                <w:szCs w:val="24"/>
              </w:rPr>
              <w:t>象</w:t>
            </w:r>
            <w:r w:rsidR="00884B05">
              <w:rPr>
                <w:rFonts w:ascii="Times New Roman" w:eastAsiaTheme="minorEastAsia" w:hAnsi="Times New Roman" w:cs="Times New Roman"/>
                <w:sz w:val="24"/>
                <w:szCs w:val="24"/>
              </w:rPr>
              <w:t>调研</w:t>
            </w:r>
            <w:r w:rsidR="00884B05">
              <w:rPr>
                <w:rFonts w:ascii="Times New Roman" w:eastAsiaTheme="minorEastAsia" w:hAnsi="Times New Roman" w:cs="Times New Roman"/>
                <w:sz w:val="24"/>
                <w:szCs w:val="24"/>
              </w:rPr>
              <w:tab/>
            </w:r>
            <w:sdt>
              <w:sdtPr>
                <w:rPr>
                  <w:rFonts w:ascii="Times New Roman" w:eastAsiaTheme="minorEastAsia" w:hAnsi="Times New Roman" w:cs="Times New Roman"/>
                  <w:sz w:val="24"/>
                  <w:szCs w:val="24"/>
                </w:rPr>
                <w:id w:val="-416875725"/>
                <w14:checkbox>
                  <w14:checked w14:val="0"/>
                  <w14:checkedState w14:val="0052" w14:font="Wingdings 2"/>
                  <w14:uncheckedState w14:val="2610" w14:font="MS Gothic"/>
                </w14:checkbox>
              </w:sdtPr>
              <w:sdtContent>
                <w:r w:rsidR="00884B05">
                  <w:rPr>
                    <w:rFonts w:ascii="MS Gothic" w:eastAsia="MS Gothic" w:hAnsi="MS Gothic" w:cs="Times New Roman" w:hint="eastAsia"/>
                    <w:sz w:val="24"/>
                    <w:szCs w:val="24"/>
                  </w:rPr>
                  <w:t>☐</w:t>
                </w:r>
              </w:sdtContent>
            </w:sdt>
            <w:r w:rsidR="00884B05">
              <w:rPr>
                <w:rFonts w:ascii="Times New Roman" w:eastAsiaTheme="minorEastAsia" w:hAnsi="Times New Roman" w:cs="Times New Roman"/>
                <w:sz w:val="24"/>
                <w:szCs w:val="24"/>
              </w:rPr>
              <w:t>分</w:t>
            </w:r>
            <w:r w:rsidR="00884B05">
              <w:rPr>
                <w:rFonts w:ascii="Times New Roman" w:eastAsiaTheme="minorEastAsia" w:hAnsi="Times New Roman" w:cs="Times New Roman"/>
                <w:spacing w:val="-3"/>
                <w:sz w:val="24"/>
                <w:szCs w:val="24"/>
              </w:rPr>
              <w:t>析</w:t>
            </w:r>
            <w:r w:rsidR="00884B05">
              <w:rPr>
                <w:rFonts w:ascii="Times New Roman" w:eastAsiaTheme="minorEastAsia" w:hAnsi="Times New Roman" w:cs="Times New Roman"/>
                <w:sz w:val="24"/>
                <w:szCs w:val="24"/>
              </w:rPr>
              <w:t>师</w:t>
            </w:r>
            <w:r w:rsidR="00884B05">
              <w:rPr>
                <w:rFonts w:ascii="Times New Roman" w:eastAsiaTheme="minorEastAsia" w:hAnsi="Times New Roman" w:cs="Times New Roman"/>
                <w:spacing w:val="-3"/>
                <w:sz w:val="24"/>
                <w:szCs w:val="24"/>
              </w:rPr>
              <w:t>会</w:t>
            </w:r>
            <w:r w:rsidR="00884B05">
              <w:rPr>
                <w:rFonts w:ascii="Times New Roman" w:eastAsiaTheme="minorEastAsia" w:hAnsi="Times New Roman" w:cs="Times New Roman"/>
                <w:sz w:val="24"/>
                <w:szCs w:val="24"/>
              </w:rPr>
              <w:t>议</w:t>
            </w:r>
          </w:p>
          <w:p w14:paraId="5D4328F7" w14:textId="77777777" w:rsidR="00845AE5" w:rsidRDefault="00000000">
            <w:pPr>
              <w:pStyle w:val="TableParagraph"/>
              <w:tabs>
                <w:tab w:val="left" w:pos="2418"/>
              </w:tabs>
              <w:spacing w:beforeLines="50" w:before="120" w:afterLines="50" w:after="120" w:line="360" w:lineRule="auto"/>
              <w:ind w:left="107"/>
              <w:rPr>
                <w:rFonts w:ascii="Times New Roman" w:eastAsiaTheme="minorEastAsia" w:hAnsi="Times New Roman" w:cs="Times New Roman"/>
                <w:sz w:val="24"/>
                <w:szCs w:val="24"/>
              </w:rPr>
            </w:pPr>
            <w:sdt>
              <w:sdtPr>
                <w:rPr>
                  <w:rFonts w:ascii="Times New Roman" w:eastAsiaTheme="minorEastAsia" w:hAnsi="Times New Roman" w:cs="Times New Roman"/>
                  <w:sz w:val="24"/>
                  <w:szCs w:val="24"/>
                </w:rPr>
                <w:id w:val="1206906014"/>
                <w14:checkbox>
                  <w14:checked w14:val="0"/>
                  <w14:checkedState w14:val="0052" w14:font="Wingdings 2"/>
                  <w14:uncheckedState w14:val="2610" w14:font="MS Gothic"/>
                </w14:checkbox>
              </w:sdtPr>
              <w:sdtContent>
                <w:r w:rsidR="00884B05">
                  <w:rPr>
                    <w:rFonts w:ascii="Segoe UI Symbol" w:eastAsiaTheme="minorEastAsia" w:hAnsi="Segoe UI Symbol" w:cs="Segoe UI Symbol"/>
                    <w:sz w:val="24"/>
                    <w:szCs w:val="24"/>
                  </w:rPr>
                  <w:t>☐</w:t>
                </w:r>
              </w:sdtContent>
            </w:sdt>
            <w:r w:rsidR="00884B05">
              <w:rPr>
                <w:rFonts w:ascii="Times New Roman" w:eastAsiaTheme="minorEastAsia" w:hAnsi="Times New Roman" w:cs="Times New Roman"/>
                <w:sz w:val="24"/>
                <w:szCs w:val="24"/>
              </w:rPr>
              <w:t>媒</w:t>
            </w:r>
            <w:r w:rsidR="00884B05">
              <w:rPr>
                <w:rFonts w:ascii="Times New Roman" w:eastAsiaTheme="minorEastAsia" w:hAnsi="Times New Roman" w:cs="Times New Roman"/>
                <w:spacing w:val="-3"/>
                <w:sz w:val="24"/>
                <w:szCs w:val="24"/>
              </w:rPr>
              <w:t>体</w:t>
            </w:r>
            <w:r w:rsidR="00884B05">
              <w:rPr>
                <w:rFonts w:ascii="Times New Roman" w:eastAsiaTheme="minorEastAsia" w:hAnsi="Times New Roman" w:cs="Times New Roman"/>
                <w:sz w:val="24"/>
                <w:szCs w:val="24"/>
              </w:rPr>
              <w:t>采访</w:t>
            </w:r>
            <w:r w:rsidR="00884B05">
              <w:rPr>
                <w:rFonts w:ascii="Times New Roman" w:eastAsiaTheme="minorEastAsia" w:hAnsi="Times New Roman" w:cs="Times New Roman"/>
                <w:sz w:val="24"/>
                <w:szCs w:val="24"/>
              </w:rPr>
              <w:tab/>
            </w:r>
            <w:sdt>
              <w:sdtPr>
                <w:rPr>
                  <w:rFonts w:ascii="Times New Roman" w:eastAsiaTheme="minorEastAsia" w:hAnsi="Times New Roman" w:cs="Times New Roman"/>
                  <w:sz w:val="24"/>
                  <w:szCs w:val="24"/>
                </w:rPr>
                <w:id w:val="-66658901"/>
                <w14:checkbox>
                  <w14:checked w14:val="0"/>
                  <w14:checkedState w14:val="0052" w14:font="Wingdings 2"/>
                  <w14:uncheckedState w14:val="2610" w14:font="MS Gothic"/>
                </w14:checkbox>
              </w:sdtPr>
              <w:sdtContent>
                <w:r w:rsidR="00884B05">
                  <w:rPr>
                    <w:rFonts w:ascii="MS Gothic" w:eastAsia="MS Gothic" w:hAnsi="MS Gothic" w:cs="Times New Roman" w:hint="eastAsia"/>
                    <w:sz w:val="24"/>
                    <w:szCs w:val="24"/>
                  </w:rPr>
                  <w:t>☐</w:t>
                </w:r>
              </w:sdtContent>
            </w:sdt>
            <w:r w:rsidR="00884B05">
              <w:rPr>
                <w:rFonts w:ascii="Times New Roman" w:eastAsiaTheme="minorEastAsia" w:hAnsi="Times New Roman" w:cs="Times New Roman"/>
                <w:sz w:val="24"/>
                <w:szCs w:val="24"/>
              </w:rPr>
              <w:t>业</w:t>
            </w:r>
            <w:r w:rsidR="00884B05">
              <w:rPr>
                <w:rFonts w:ascii="Times New Roman" w:eastAsiaTheme="minorEastAsia" w:hAnsi="Times New Roman" w:cs="Times New Roman"/>
                <w:spacing w:val="-3"/>
                <w:sz w:val="24"/>
                <w:szCs w:val="24"/>
              </w:rPr>
              <w:t>绩</w:t>
            </w:r>
            <w:r w:rsidR="00884B05">
              <w:rPr>
                <w:rFonts w:ascii="Times New Roman" w:eastAsiaTheme="minorEastAsia" w:hAnsi="Times New Roman" w:cs="Times New Roman"/>
                <w:sz w:val="24"/>
                <w:szCs w:val="24"/>
              </w:rPr>
              <w:t>说</w:t>
            </w:r>
            <w:r w:rsidR="00884B05">
              <w:rPr>
                <w:rFonts w:ascii="Times New Roman" w:eastAsiaTheme="minorEastAsia" w:hAnsi="Times New Roman" w:cs="Times New Roman"/>
                <w:spacing w:val="-3"/>
                <w:sz w:val="24"/>
                <w:szCs w:val="24"/>
              </w:rPr>
              <w:t>明</w:t>
            </w:r>
            <w:r w:rsidR="00884B05">
              <w:rPr>
                <w:rFonts w:ascii="Times New Roman" w:eastAsiaTheme="minorEastAsia" w:hAnsi="Times New Roman" w:cs="Times New Roman"/>
                <w:sz w:val="24"/>
                <w:szCs w:val="24"/>
              </w:rPr>
              <w:t>会</w:t>
            </w:r>
          </w:p>
          <w:p w14:paraId="16238505" w14:textId="77777777" w:rsidR="00845AE5" w:rsidRDefault="00000000">
            <w:pPr>
              <w:pStyle w:val="TableParagraph"/>
              <w:tabs>
                <w:tab w:val="left" w:pos="2418"/>
              </w:tabs>
              <w:spacing w:beforeLines="50" w:before="120" w:afterLines="50" w:after="120" w:line="360" w:lineRule="auto"/>
              <w:ind w:left="107"/>
              <w:rPr>
                <w:rFonts w:ascii="Times New Roman" w:eastAsiaTheme="minorEastAsia" w:hAnsi="Times New Roman" w:cs="Times New Roman"/>
                <w:sz w:val="24"/>
                <w:szCs w:val="24"/>
              </w:rPr>
            </w:pPr>
            <w:sdt>
              <w:sdtPr>
                <w:rPr>
                  <w:rFonts w:ascii="Times New Roman" w:eastAsiaTheme="minorEastAsia" w:hAnsi="Times New Roman" w:cs="Times New Roman"/>
                  <w:sz w:val="24"/>
                  <w:szCs w:val="24"/>
                </w:rPr>
                <w:id w:val="-1848167434"/>
                <w14:checkbox>
                  <w14:checked w14:val="0"/>
                  <w14:checkedState w14:val="0052" w14:font="Wingdings 2"/>
                  <w14:uncheckedState w14:val="2610" w14:font="MS Gothic"/>
                </w14:checkbox>
              </w:sdtPr>
              <w:sdtContent>
                <w:r w:rsidR="00884B05">
                  <w:rPr>
                    <w:rFonts w:ascii="Segoe UI Symbol" w:eastAsiaTheme="minorEastAsia" w:hAnsi="Segoe UI Symbol" w:cs="Segoe UI Symbol"/>
                    <w:sz w:val="24"/>
                    <w:szCs w:val="24"/>
                  </w:rPr>
                  <w:t>☐</w:t>
                </w:r>
              </w:sdtContent>
            </w:sdt>
            <w:r w:rsidR="00884B05">
              <w:rPr>
                <w:rFonts w:ascii="Times New Roman" w:eastAsiaTheme="minorEastAsia" w:hAnsi="Times New Roman" w:cs="Times New Roman"/>
                <w:sz w:val="24"/>
                <w:szCs w:val="24"/>
              </w:rPr>
              <w:t>新</w:t>
            </w:r>
            <w:r w:rsidR="00884B05">
              <w:rPr>
                <w:rFonts w:ascii="Times New Roman" w:eastAsiaTheme="minorEastAsia" w:hAnsi="Times New Roman" w:cs="Times New Roman"/>
                <w:spacing w:val="-3"/>
                <w:sz w:val="24"/>
                <w:szCs w:val="24"/>
              </w:rPr>
              <w:t>闻</w:t>
            </w:r>
            <w:r w:rsidR="00884B05">
              <w:rPr>
                <w:rFonts w:ascii="Times New Roman" w:eastAsiaTheme="minorEastAsia" w:hAnsi="Times New Roman" w:cs="Times New Roman"/>
                <w:sz w:val="24"/>
                <w:szCs w:val="24"/>
              </w:rPr>
              <w:t>发</w:t>
            </w:r>
            <w:r w:rsidR="00884B05">
              <w:rPr>
                <w:rFonts w:ascii="Times New Roman" w:eastAsiaTheme="minorEastAsia" w:hAnsi="Times New Roman" w:cs="Times New Roman"/>
                <w:spacing w:val="-3"/>
                <w:sz w:val="24"/>
                <w:szCs w:val="24"/>
              </w:rPr>
              <w:t>布</w:t>
            </w:r>
            <w:r w:rsidR="00884B05">
              <w:rPr>
                <w:rFonts w:ascii="Times New Roman" w:eastAsiaTheme="minorEastAsia" w:hAnsi="Times New Roman" w:cs="Times New Roman"/>
                <w:sz w:val="24"/>
                <w:szCs w:val="24"/>
              </w:rPr>
              <w:t>会</w:t>
            </w:r>
            <w:r w:rsidR="00884B05">
              <w:rPr>
                <w:rFonts w:ascii="Times New Roman" w:eastAsiaTheme="minorEastAsia" w:hAnsi="Times New Roman" w:cs="Times New Roman"/>
                <w:sz w:val="24"/>
                <w:szCs w:val="24"/>
              </w:rPr>
              <w:tab/>
            </w:r>
            <w:sdt>
              <w:sdtPr>
                <w:rPr>
                  <w:rFonts w:ascii="Times New Roman" w:eastAsiaTheme="minorEastAsia" w:hAnsi="Times New Roman" w:cs="Times New Roman"/>
                  <w:sz w:val="24"/>
                  <w:szCs w:val="24"/>
                </w:rPr>
                <w:id w:val="412049691"/>
                <w14:checkbox>
                  <w14:checked w14:val="0"/>
                  <w14:checkedState w14:val="0052" w14:font="Wingdings 2"/>
                  <w14:uncheckedState w14:val="2610" w14:font="MS Gothic"/>
                </w14:checkbox>
              </w:sdtPr>
              <w:sdtContent>
                <w:r w:rsidR="00884B05">
                  <w:rPr>
                    <w:rFonts w:ascii="Segoe UI Symbol" w:eastAsiaTheme="minorEastAsia" w:hAnsi="Segoe UI Symbol" w:cs="Segoe UI Symbol"/>
                    <w:sz w:val="24"/>
                    <w:szCs w:val="24"/>
                  </w:rPr>
                  <w:t>☐</w:t>
                </w:r>
              </w:sdtContent>
            </w:sdt>
            <w:r w:rsidR="00884B05">
              <w:rPr>
                <w:rFonts w:ascii="Times New Roman" w:eastAsiaTheme="minorEastAsia" w:hAnsi="Times New Roman" w:cs="Times New Roman"/>
                <w:sz w:val="24"/>
                <w:szCs w:val="24"/>
              </w:rPr>
              <w:t>路</w:t>
            </w:r>
            <w:r w:rsidR="00884B05">
              <w:rPr>
                <w:rFonts w:ascii="Times New Roman" w:eastAsiaTheme="minorEastAsia" w:hAnsi="Times New Roman" w:cs="Times New Roman"/>
                <w:spacing w:val="-3"/>
                <w:sz w:val="24"/>
                <w:szCs w:val="24"/>
              </w:rPr>
              <w:t>演</w:t>
            </w:r>
            <w:r w:rsidR="00884B05">
              <w:rPr>
                <w:rFonts w:ascii="Times New Roman" w:eastAsiaTheme="minorEastAsia" w:hAnsi="Times New Roman" w:cs="Times New Roman"/>
                <w:sz w:val="24"/>
                <w:szCs w:val="24"/>
              </w:rPr>
              <w:t>活动</w:t>
            </w:r>
          </w:p>
          <w:p w14:paraId="6BFFC255" w14:textId="77777777" w:rsidR="00845AE5" w:rsidRDefault="00000000">
            <w:pPr>
              <w:pStyle w:val="TableParagraph"/>
              <w:spacing w:beforeLines="50" w:before="120" w:afterLines="50" w:after="120" w:line="360" w:lineRule="auto"/>
              <w:ind w:left="107"/>
              <w:rPr>
                <w:rFonts w:ascii="Times New Roman" w:eastAsiaTheme="minorEastAsia" w:hAnsi="Times New Roman" w:cs="Times New Roman"/>
                <w:sz w:val="24"/>
                <w:szCs w:val="24"/>
              </w:rPr>
            </w:pPr>
            <w:sdt>
              <w:sdtPr>
                <w:rPr>
                  <w:rFonts w:ascii="Times New Roman" w:eastAsiaTheme="minorEastAsia" w:hAnsi="Times New Roman" w:cs="Times New Roman"/>
                  <w:sz w:val="24"/>
                  <w:szCs w:val="24"/>
                </w:rPr>
                <w:id w:val="-1333366911"/>
                <w14:checkbox>
                  <w14:checked w14:val="0"/>
                  <w14:checkedState w14:val="0052" w14:font="Wingdings 2"/>
                  <w14:uncheckedState w14:val="2610" w14:font="MS Gothic"/>
                </w14:checkbox>
              </w:sdtPr>
              <w:sdtContent>
                <w:r w:rsidR="00884B05">
                  <w:rPr>
                    <w:rFonts w:ascii="Segoe UI Symbol" w:eastAsia="MS Gothic" w:hAnsi="Segoe UI Symbol" w:cs="Segoe UI Symbol"/>
                    <w:sz w:val="24"/>
                    <w:szCs w:val="24"/>
                  </w:rPr>
                  <w:t>☐</w:t>
                </w:r>
              </w:sdtContent>
            </w:sdt>
            <w:r w:rsidR="00884B05">
              <w:rPr>
                <w:rFonts w:ascii="Times New Roman" w:eastAsiaTheme="minorEastAsia" w:hAnsi="Times New Roman" w:cs="Times New Roman"/>
                <w:sz w:val="24"/>
                <w:szCs w:val="24"/>
              </w:rPr>
              <w:t>现场参观</w:t>
            </w:r>
            <w:r w:rsidR="00884B05">
              <w:rPr>
                <w:rFonts w:ascii="Times New Roman" w:eastAsiaTheme="minorEastAsia" w:hAnsi="Times New Roman" w:cs="Times New Roman" w:hint="eastAsia"/>
                <w:sz w:val="24"/>
                <w:szCs w:val="24"/>
              </w:rPr>
              <w:t xml:space="preserve"> </w:t>
            </w:r>
            <w:r w:rsidR="00884B05">
              <w:rPr>
                <w:rFonts w:ascii="Times New Roman" w:eastAsiaTheme="minorEastAsia" w:hAnsi="Times New Roman" w:cs="Times New Roman"/>
                <w:sz w:val="24"/>
                <w:szCs w:val="24"/>
              </w:rPr>
              <w:t xml:space="preserve">         </w:t>
            </w:r>
            <w:sdt>
              <w:sdtPr>
                <w:rPr>
                  <w:rFonts w:ascii="Times New Roman" w:eastAsiaTheme="minorEastAsia" w:hAnsi="Times New Roman" w:cs="Times New Roman"/>
                  <w:sz w:val="24"/>
                  <w:szCs w:val="24"/>
                </w:rPr>
                <w:id w:val="400885218"/>
                <w14:checkbox>
                  <w14:checked w14:val="0"/>
                  <w14:checkedState w14:val="0052" w14:font="Wingdings 2"/>
                  <w14:uncheckedState w14:val="2610" w14:font="MS Gothic"/>
                </w14:checkbox>
              </w:sdtPr>
              <w:sdtContent>
                <w:r w:rsidR="00884B05">
                  <w:rPr>
                    <w:rFonts w:ascii="MS Gothic" w:eastAsia="MS Gothic" w:hAnsi="MS Gothic" w:cs="Times New Roman" w:hint="eastAsia"/>
                    <w:sz w:val="24"/>
                    <w:szCs w:val="24"/>
                  </w:rPr>
                  <w:t>☐</w:t>
                </w:r>
              </w:sdtContent>
            </w:sdt>
            <w:r w:rsidR="00884B05">
              <w:rPr>
                <w:rFonts w:ascii="Times New Roman" w:eastAsiaTheme="minorEastAsia" w:hAnsi="Times New Roman" w:cs="Times New Roman"/>
                <w:sz w:val="24"/>
                <w:szCs w:val="24"/>
              </w:rPr>
              <w:t>其他（</w:t>
            </w:r>
            <w:r w:rsidR="00884B05">
              <w:rPr>
                <w:rFonts w:ascii="Times New Roman" w:eastAsiaTheme="minorEastAsia" w:hAnsi="Times New Roman" w:cs="Times New Roman" w:hint="eastAsia"/>
                <w:sz w:val="24"/>
                <w:szCs w:val="24"/>
                <w:u w:val="single"/>
              </w:rPr>
              <w:t>请文字说明其他活动内容</w:t>
            </w:r>
            <w:r w:rsidR="00884B05">
              <w:rPr>
                <w:rFonts w:ascii="Times New Roman" w:eastAsiaTheme="minorEastAsia" w:hAnsi="Times New Roman" w:cs="Times New Roman"/>
                <w:sz w:val="24"/>
                <w:szCs w:val="24"/>
                <w:u w:val="single"/>
              </w:rPr>
              <w:t>）</w:t>
            </w:r>
          </w:p>
        </w:tc>
      </w:tr>
      <w:tr w:rsidR="00845AE5" w14:paraId="6613CDD3" w14:textId="77777777">
        <w:trPr>
          <w:trHeight w:val="926"/>
          <w:jc w:val="center"/>
        </w:trPr>
        <w:tc>
          <w:tcPr>
            <w:tcW w:w="1696" w:type="dxa"/>
            <w:vAlign w:val="center"/>
          </w:tcPr>
          <w:p w14:paraId="67840AC9" w14:textId="77777777" w:rsidR="00845AE5" w:rsidRDefault="00884B05">
            <w:pPr>
              <w:pStyle w:val="TableParagraph"/>
              <w:spacing w:beforeLines="50" w:before="120" w:afterLines="50" w:after="120"/>
              <w:ind w:right="96"/>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参与单位名称</w:t>
            </w:r>
          </w:p>
        </w:tc>
        <w:tc>
          <w:tcPr>
            <w:tcW w:w="6829" w:type="dxa"/>
            <w:vAlign w:val="center"/>
          </w:tcPr>
          <w:p w14:paraId="513E70EB" w14:textId="12B240F4" w:rsidR="00845AE5" w:rsidRDefault="00884B05">
            <w:pPr>
              <w:pStyle w:val="TableParagraph"/>
              <w:spacing w:beforeLines="50" w:before="120" w:afterLines="50" w:after="12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工银瑞信基金、国金证券、光大证券、中国银河证券、太平养老基金、易方达基金、长江证券、东方证券、中信证券资产管理有限公司、上海毅木资产管理有限公司、巨杉（上海）资产管理有限公司、广发证券股份有限公司、招商基金、国盛证券股份有限公司、兴证全球基金管理有限公司、国海证券股份有限公司、西部证券、兴业证券股份有限公司、鑫元基金管理有限公司、上海常春藤投资控股有限公司、华泰资产管理有限公司、中泰证券股份有限公司、华西证券、东方证券自营、国联安基金、圆信永丰基金、中银基金</w:t>
            </w:r>
          </w:p>
        </w:tc>
      </w:tr>
      <w:tr w:rsidR="00845AE5" w14:paraId="7F9640D4" w14:textId="77777777">
        <w:trPr>
          <w:trHeight w:val="558"/>
          <w:jc w:val="center"/>
        </w:trPr>
        <w:tc>
          <w:tcPr>
            <w:tcW w:w="1696" w:type="dxa"/>
            <w:vAlign w:val="center"/>
          </w:tcPr>
          <w:p w14:paraId="479F45E2" w14:textId="77777777" w:rsidR="00845AE5" w:rsidRDefault="00884B05">
            <w:pPr>
              <w:pStyle w:val="TableParagraph"/>
              <w:spacing w:beforeLines="50" w:before="120" w:afterLines="50" w:after="120"/>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时间</w:t>
            </w:r>
          </w:p>
        </w:tc>
        <w:tc>
          <w:tcPr>
            <w:tcW w:w="6829" w:type="dxa"/>
            <w:vAlign w:val="center"/>
          </w:tcPr>
          <w:p w14:paraId="1D487FBD" w14:textId="77777777" w:rsidR="00845AE5" w:rsidRDefault="00884B05">
            <w:pPr>
              <w:spacing w:beforeLines="50" w:before="120" w:afterLines="50" w:after="120"/>
              <w:rPr>
                <w:rFonts w:ascii="Times New Roman" w:eastAsiaTheme="minorEastAsia" w:hAnsi="Times New Roman" w:cs="Times New Roman"/>
                <w:sz w:val="24"/>
                <w:szCs w:val="24"/>
                <w:lang w:val="en-US"/>
              </w:rPr>
            </w:pPr>
            <w:r>
              <w:rPr>
                <w:rFonts w:ascii="Times New Roman" w:eastAsiaTheme="minorEastAsia" w:hAnsi="Times New Roman" w:cs="Times New Roman"/>
                <w:sz w:val="24"/>
                <w:szCs w:val="24"/>
              </w:rPr>
              <w:t>2026</w:t>
            </w:r>
            <w:r>
              <w:rPr>
                <w:rFonts w:ascii="Times New Roman" w:eastAsiaTheme="minorEastAsia" w:hAnsi="Times New Roman" w:cs="Times New Roman"/>
                <w:sz w:val="24"/>
                <w:szCs w:val="24"/>
              </w:rPr>
              <w:t>年</w:t>
            </w:r>
            <w:r>
              <w:rPr>
                <w:rFonts w:ascii="Times New Roman" w:eastAsiaTheme="minorEastAsia" w:hAnsi="Times New Roman" w:cs="Times New Roman"/>
                <w:sz w:val="24"/>
                <w:szCs w:val="24"/>
                <w:lang w:val="en-US"/>
              </w:rPr>
              <w:t>8</w:t>
            </w:r>
            <w:r>
              <w:rPr>
                <w:rFonts w:ascii="Times New Roman" w:eastAsiaTheme="minorEastAsia" w:hAnsi="Times New Roman" w:cs="Times New Roman" w:hint="eastAsia"/>
                <w:sz w:val="24"/>
                <w:szCs w:val="24"/>
              </w:rPr>
              <w:t>月</w:t>
            </w:r>
            <w:r>
              <w:rPr>
                <w:rFonts w:ascii="Times New Roman" w:eastAsiaTheme="minorEastAsia" w:hAnsi="Times New Roman" w:cs="Times New Roman"/>
                <w:sz w:val="24"/>
                <w:szCs w:val="24"/>
                <w:lang w:val="en-US"/>
              </w:rPr>
              <w:t>24</w:t>
            </w:r>
            <w:r>
              <w:rPr>
                <w:rFonts w:ascii="Times New Roman" w:eastAsiaTheme="minorEastAsia" w:hAnsi="Times New Roman" w:cs="Times New Roman" w:hint="eastAsia"/>
                <w:sz w:val="24"/>
                <w:szCs w:val="24"/>
              </w:rPr>
              <w:t>日</w:t>
            </w:r>
            <w:r>
              <w:rPr>
                <w:rFonts w:ascii="Times New Roman" w:eastAsiaTheme="minorEastAsia" w:hAnsi="Times New Roman" w:cs="Times New Roman" w:hint="eastAsia"/>
                <w:sz w:val="24"/>
                <w:szCs w:val="24"/>
              </w:rPr>
              <w:t>-</w:t>
            </w:r>
            <w:r>
              <w:rPr>
                <w:rFonts w:ascii="Times New Roman" w:eastAsiaTheme="minorEastAsia" w:hAnsi="Times New Roman" w:cs="Times New Roman"/>
                <w:sz w:val="24"/>
                <w:szCs w:val="24"/>
              </w:rPr>
              <w:t>8</w:t>
            </w:r>
            <w:r>
              <w:rPr>
                <w:rFonts w:ascii="Times New Roman" w:eastAsiaTheme="minorEastAsia" w:hAnsi="Times New Roman" w:cs="Times New Roman" w:hint="eastAsia"/>
                <w:sz w:val="24"/>
                <w:szCs w:val="24"/>
              </w:rPr>
              <w:t>月</w:t>
            </w:r>
            <w:r>
              <w:rPr>
                <w:rFonts w:ascii="Times New Roman" w:eastAsiaTheme="minorEastAsia" w:hAnsi="Times New Roman" w:cs="Times New Roman"/>
                <w:sz w:val="24"/>
                <w:szCs w:val="24"/>
              </w:rPr>
              <w:t>28</w:t>
            </w:r>
            <w:r>
              <w:rPr>
                <w:rFonts w:ascii="Times New Roman" w:eastAsiaTheme="minorEastAsia" w:hAnsi="Times New Roman" w:cs="Times New Roman" w:hint="eastAsia"/>
                <w:sz w:val="24"/>
                <w:szCs w:val="24"/>
              </w:rPr>
              <w:t>日</w:t>
            </w:r>
          </w:p>
        </w:tc>
      </w:tr>
      <w:tr w:rsidR="00845AE5" w14:paraId="0130747B" w14:textId="77777777">
        <w:trPr>
          <w:trHeight w:val="561"/>
          <w:jc w:val="center"/>
        </w:trPr>
        <w:tc>
          <w:tcPr>
            <w:tcW w:w="1696" w:type="dxa"/>
            <w:vAlign w:val="center"/>
          </w:tcPr>
          <w:p w14:paraId="002B733E" w14:textId="77777777" w:rsidR="00845AE5" w:rsidRDefault="00884B05">
            <w:pPr>
              <w:pStyle w:val="TableParagraph"/>
              <w:spacing w:beforeLines="50" w:before="120" w:afterLines="50" w:after="120"/>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地点</w:t>
            </w:r>
          </w:p>
        </w:tc>
        <w:tc>
          <w:tcPr>
            <w:tcW w:w="6829" w:type="dxa"/>
            <w:vAlign w:val="center"/>
          </w:tcPr>
          <w:p w14:paraId="2545A33B" w14:textId="77777777" w:rsidR="00845AE5" w:rsidRDefault="00884B05">
            <w:pPr>
              <w:pStyle w:val="TableParagraph"/>
              <w:spacing w:beforeLines="50" w:before="120" w:afterLines="50" w:after="12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沈阳市、南京市、上海市</w:t>
            </w:r>
          </w:p>
        </w:tc>
      </w:tr>
      <w:tr w:rsidR="00845AE5" w14:paraId="40B9EF0E" w14:textId="77777777">
        <w:trPr>
          <w:trHeight w:val="558"/>
          <w:jc w:val="center"/>
        </w:trPr>
        <w:tc>
          <w:tcPr>
            <w:tcW w:w="1696" w:type="dxa"/>
            <w:vAlign w:val="center"/>
          </w:tcPr>
          <w:p w14:paraId="07164810" w14:textId="77777777" w:rsidR="00845AE5" w:rsidRDefault="00884B05">
            <w:pPr>
              <w:pStyle w:val="TableParagraph"/>
              <w:spacing w:beforeLines="50" w:before="120" w:afterLines="50" w:after="120"/>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上市公司接待人员姓名</w:t>
            </w:r>
          </w:p>
        </w:tc>
        <w:tc>
          <w:tcPr>
            <w:tcW w:w="6829" w:type="dxa"/>
            <w:vAlign w:val="center"/>
          </w:tcPr>
          <w:p w14:paraId="1EABBC5F" w14:textId="77777777" w:rsidR="00845AE5" w:rsidRDefault="00884B05">
            <w:pPr>
              <w:pStyle w:val="TableParagraph"/>
              <w:spacing w:beforeLines="50" w:before="120" w:afterLines="50" w:after="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副总经理、财务总监、董事会秘书：武腾飞先生</w:t>
            </w:r>
          </w:p>
          <w:p w14:paraId="08117034" w14:textId="77777777" w:rsidR="00845AE5" w:rsidRDefault="00884B05">
            <w:pPr>
              <w:pStyle w:val="TableParagraph"/>
              <w:spacing w:beforeLines="50" w:before="120" w:afterLines="50" w:after="120"/>
              <w:rPr>
                <w:rFonts w:ascii="Times New Roman" w:eastAsiaTheme="minorEastAsia" w:hAnsi="Times New Roman" w:cs="Times New Roman"/>
                <w:sz w:val="24"/>
                <w:szCs w:val="24"/>
              </w:rPr>
            </w:pPr>
            <w:r>
              <w:rPr>
                <w:rFonts w:ascii="Times New Roman" w:eastAsiaTheme="minorEastAsia" w:hAnsi="Times New Roman" w:cs="Times New Roman" w:hint="eastAsia"/>
                <w:sz w:val="24"/>
                <w:szCs w:val="24"/>
              </w:rPr>
              <w:t>证券事务代表：杜佳瑞</w:t>
            </w:r>
          </w:p>
        </w:tc>
      </w:tr>
      <w:tr w:rsidR="00845AE5" w14:paraId="369C7FBD" w14:textId="77777777">
        <w:trPr>
          <w:trHeight w:val="416"/>
          <w:jc w:val="center"/>
        </w:trPr>
        <w:tc>
          <w:tcPr>
            <w:tcW w:w="1696" w:type="dxa"/>
          </w:tcPr>
          <w:p w14:paraId="2806C304" w14:textId="77777777" w:rsidR="00845AE5" w:rsidRDefault="00845AE5">
            <w:pPr>
              <w:pStyle w:val="TableParagraph"/>
              <w:spacing w:beforeLines="50" w:before="120" w:afterLines="50" w:after="120" w:line="360" w:lineRule="auto"/>
              <w:rPr>
                <w:rFonts w:ascii="Times New Roman" w:eastAsia="宋体" w:hAnsi="Times New Roman" w:cs="Times New Roman"/>
                <w:sz w:val="24"/>
                <w:szCs w:val="24"/>
              </w:rPr>
            </w:pPr>
          </w:p>
          <w:p w14:paraId="21001BE1" w14:textId="77777777" w:rsidR="00845AE5" w:rsidRDefault="00845AE5">
            <w:pPr>
              <w:pStyle w:val="TableParagraph"/>
              <w:spacing w:beforeLines="50" w:before="120" w:afterLines="50" w:after="120" w:line="360" w:lineRule="auto"/>
              <w:rPr>
                <w:rFonts w:ascii="Times New Roman" w:eastAsia="宋体" w:hAnsi="Times New Roman" w:cs="Times New Roman"/>
                <w:sz w:val="24"/>
                <w:szCs w:val="24"/>
              </w:rPr>
            </w:pPr>
          </w:p>
          <w:p w14:paraId="72F2DE95" w14:textId="77777777" w:rsidR="00845AE5" w:rsidRDefault="00884B05">
            <w:pPr>
              <w:pStyle w:val="TableParagraph"/>
              <w:spacing w:beforeLines="50" w:before="120" w:afterLines="50" w:after="120" w:line="360" w:lineRule="auto"/>
              <w:ind w:right="96"/>
              <w:rPr>
                <w:rFonts w:ascii="Times New Roman" w:eastAsia="宋体" w:hAnsi="Times New Roman" w:cs="Times New Roman"/>
                <w:sz w:val="24"/>
                <w:szCs w:val="24"/>
              </w:rPr>
            </w:pPr>
            <w:r>
              <w:rPr>
                <w:rFonts w:ascii="Times New Roman" w:eastAsia="宋体" w:hAnsi="Times New Roman" w:cs="Times New Roman"/>
                <w:sz w:val="24"/>
                <w:szCs w:val="24"/>
              </w:rPr>
              <w:t>投资者关系活动主要内容介绍</w:t>
            </w:r>
          </w:p>
        </w:tc>
        <w:tc>
          <w:tcPr>
            <w:tcW w:w="6829" w:type="dxa"/>
          </w:tcPr>
          <w:p w14:paraId="198B7EFB" w14:textId="77777777" w:rsidR="00845AE5" w:rsidRDefault="00884B05">
            <w:pPr>
              <w:pStyle w:val="TableParagraph"/>
              <w:spacing w:beforeLines="50" w:before="120" w:afterLines="50" w:after="120" w:line="360" w:lineRule="auto"/>
              <w:ind w:firstLineChars="200" w:firstLine="482"/>
              <w:jc w:val="both"/>
              <w:rPr>
                <w:rFonts w:ascii="Times New Roman" w:eastAsia="宋体" w:hAnsi="Times New Roman" w:cs="Times New Roman"/>
                <w:b/>
                <w:sz w:val="24"/>
                <w:szCs w:val="24"/>
              </w:rPr>
            </w:pPr>
            <w:r>
              <w:rPr>
                <w:rFonts w:ascii="Times New Roman" w:eastAsia="宋体" w:hAnsi="Times New Roman" w:cs="Times New Roman"/>
                <w:b/>
                <w:sz w:val="24"/>
                <w:szCs w:val="24"/>
              </w:rPr>
              <w:t>1</w:t>
            </w:r>
            <w:r>
              <w:rPr>
                <w:rFonts w:ascii="Times New Roman" w:eastAsia="宋体" w:hAnsi="Times New Roman" w:cs="Times New Roman" w:hint="eastAsia"/>
                <w:b/>
                <w:sz w:val="24"/>
                <w:szCs w:val="24"/>
              </w:rPr>
              <w:t>.</w:t>
            </w:r>
            <w:r>
              <w:rPr>
                <w:rFonts w:ascii="Times New Roman" w:eastAsia="宋体" w:hAnsi="Times New Roman" w:cs="Times New Roman" w:hint="eastAsia"/>
                <w:b/>
                <w:sz w:val="24"/>
                <w:szCs w:val="24"/>
              </w:rPr>
              <w:t>请对公司</w:t>
            </w:r>
            <w:r>
              <w:rPr>
                <w:rFonts w:ascii="Times New Roman" w:eastAsia="宋体" w:hAnsi="Times New Roman" w:cs="Times New Roman" w:hint="eastAsia"/>
                <w:b/>
                <w:sz w:val="24"/>
                <w:szCs w:val="24"/>
              </w:rPr>
              <w:t>2</w:t>
            </w:r>
            <w:r>
              <w:rPr>
                <w:rFonts w:ascii="Times New Roman" w:eastAsia="宋体" w:hAnsi="Times New Roman" w:cs="Times New Roman"/>
                <w:b/>
                <w:sz w:val="24"/>
                <w:szCs w:val="24"/>
              </w:rPr>
              <w:t>026</w:t>
            </w:r>
            <w:r>
              <w:rPr>
                <w:rFonts w:ascii="Times New Roman" w:eastAsia="宋体" w:hAnsi="Times New Roman" w:cs="Times New Roman" w:hint="eastAsia"/>
                <w:b/>
                <w:sz w:val="24"/>
                <w:szCs w:val="24"/>
              </w:rPr>
              <w:t>年上半年经营情况作简要介绍。</w:t>
            </w:r>
          </w:p>
          <w:p w14:paraId="4AD319CF" w14:textId="77777777" w:rsidR="00845AE5" w:rsidRDefault="00884B05">
            <w:pPr>
              <w:pStyle w:val="TableParagraph"/>
              <w:spacing w:beforeLines="50" w:before="120" w:afterLines="50" w:after="120" w:line="360" w:lineRule="auto"/>
              <w:ind w:firstLineChars="200"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答</w:t>
            </w:r>
            <w:r>
              <w:rPr>
                <w:rFonts w:ascii="Times New Roman" w:eastAsia="宋体" w:hAnsi="Times New Roman" w:cs="Times New Roman" w:hint="eastAsia"/>
                <w:sz w:val="24"/>
                <w:szCs w:val="24"/>
              </w:rPr>
              <w:t>：</w:t>
            </w:r>
            <w:r>
              <w:rPr>
                <w:rFonts w:ascii="Times New Roman" w:eastAsia="宋体" w:hAnsi="Times New Roman" w:cs="Times New Roman"/>
                <w:sz w:val="24"/>
                <w:szCs w:val="24"/>
              </w:rPr>
              <w:t>2026</w:t>
            </w:r>
            <w:r>
              <w:rPr>
                <w:rFonts w:ascii="Times New Roman" w:eastAsia="宋体" w:hAnsi="Times New Roman" w:cs="Times New Roman" w:hint="eastAsia"/>
                <w:sz w:val="24"/>
                <w:szCs w:val="24"/>
              </w:rPr>
              <w:t>年上半年，</w:t>
            </w:r>
            <w:r>
              <w:rPr>
                <w:rFonts w:ascii="Times New Roman" w:eastAsia="宋体" w:hAnsi="Times New Roman" w:cs="Times New Roman"/>
                <w:sz w:val="24"/>
                <w:szCs w:val="24"/>
              </w:rPr>
              <w:t>公司实现营业收入</w:t>
            </w:r>
            <w:r>
              <w:rPr>
                <w:rFonts w:ascii="Times New Roman" w:eastAsia="宋体" w:hAnsi="Times New Roman" w:cs="Times New Roman"/>
                <w:sz w:val="24"/>
                <w:szCs w:val="24"/>
              </w:rPr>
              <w:t>73,395.34</w:t>
            </w:r>
            <w:r>
              <w:rPr>
                <w:rFonts w:ascii="Times New Roman" w:eastAsia="宋体" w:hAnsi="Times New Roman" w:cs="Times New Roman"/>
                <w:sz w:val="24"/>
                <w:szCs w:val="24"/>
              </w:rPr>
              <w:t>万元，较上年同期增长</w:t>
            </w:r>
            <w:r>
              <w:rPr>
                <w:rFonts w:ascii="Times New Roman" w:eastAsia="宋体" w:hAnsi="Times New Roman" w:cs="Times New Roman"/>
                <w:sz w:val="24"/>
                <w:szCs w:val="24"/>
              </w:rPr>
              <w:t>42.12%</w:t>
            </w:r>
            <w:r>
              <w:rPr>
                <w:rFonts w:ascii="Times New Roman" w:eastAsia="宋体" w:hAnsi="Times New Roman" w:cs="Times New Roman"/>
                <w:sz w:val="24"/>
                <w:szCs w:val="24"/>
              </w:rPr>
              <w:t>；实现归属于上市公司股东的净利润</w:t>
            </w:r>
            <w:r>
              <w:rPr>
                <w:rFonts w:ascii="Times New Roman" w:eastAsia="宋体" w:hAnsi="Times New Roman" w:cs="Times New Roman"/>
                <w:sz w:val="24"/>
                <w:szCs w:val="24"/>
              </w:rPr>
              <w:t>17,120.65</w:t>
            </w:r>
            <w:r>
              <w:rPr>
                <w:rFonts w:ascii="Times New Roman" w:eastAsia="宋体" w:hAnsi="Times New Roman" w:cs="Times New Roman"/>
                <w:sz w:val="24"/>
                <w:szCs w:val="24"/>
              </w:rPr>
              <w:t>万元，较上年同期增长</w:t>
            </w:r>
            <w:r>
              <w:rPr>
                <w:rFonts w:ascii="Times New Roman" w:eastAsia="宋体" w:hAnsi="Times New Roman" w:cs="Times New Roman"/>
                <w:sz w:val="24"/>
                <w:szCs w:val="24"/>
              </w:rPr>
              <w:t>17.55%</w:t>
            </w:r>
            <w:r>
              <w:rPr>
                <w:rFonts w:ascii="Times New Roman" w:eastAsia="宋体" w:hAnsi="Times New Roman" w:cs="Times New Roman"/>
                <w:sz w:val="24"/>
                <w:szCs w:val="24"/>
              </w:rPr>
              <w:t>。</w:t>
            </w:r>
            <w:r>
              <w:rPr>
                <w:rFonts w:ascii="Times New Roman" w:eastAsia="宋体" w:hAnsi="Times New Roman" w:cs="Times New Roman" w:hint="eastAsia"/>
                <w:sz w:val="24"/>
                <w:szCs w:val="24"/>
              </w:rPr>
              <w:t>公司持续落实“一核两翼”战略规划布局，以航空发动机为核心，通过本部及子公司业务及产品的拓展，进一步夯实公司在航空发动机领域关键材料供应商的市场地位；公司同时拓展航空</w:t>
            </w:r>
            <w:r>
              <w:rPr>
                <w:rFonts w:ascii="Times New Roman" w:eastAsia="宋体" w:hAnsi="Times New Roman" w:cs="Times New Roman"/>
                <w:sz w:val="24"/>
                <w:szCs w:val="24"/>
              </w:rPr>
              <w:t>/</w:t>
            </w:r>
            <w:r>
              <w:rPr>
                <w:rFonts w:ascii="Times New Roman" w:eastAsia="宋体" w:hAnsi="Times New Roman" w:cs="Times New Roman"/>
                <w:sz w:val="24"/>
                <w:szCs w:val="24"/>
              </w:rPr>
              <w:t>航天器机身特种功能材料以及其他高端</w:t>
            </w:r>
            <w:r>
              <w:rPr>
                <w:rFonts w:ascii="Times New Roman" w:eastAsia="宋体" w:hAnsi="Times New Roman" w:cs="Times New Roman"/>
                <w:sz w:val="24"/>
                <w:szCs w:val="24"/>
              </w:rPr>
              <w:lastRenderedPageBreak/>
              <w:t>制造领域关键核心材料产品供应。</w:t>
            </w:r>
            <w:r>
              <w:rPr>
                <w:rFonts w:ascii="Times New Roman" w:eastAsia="宋体" w:hAnsi="Times New Roman" w:cs="Times New Roman" w:hint="eastAsia"/>
                <w:sz w:val="24"/>
                <w:szCs w:val="24"/>
              </w:rPr>
              <w:t>公司目前产品体系已涵盖了多种关键新材料，包括特种功能材料、碳纤维增强复合材料、特种陶瓷基复合材料、轻质高强金属及其复合材料、高性能树脂材料、声学超材料、超细晶高温合金</w:t>
            </w:r>
            <w:r>
              <w:rPr>
                <w:rFonts w:ascii="Times New Roman" w:eastAsia="宋体" w:hAnsi="Times New Roman" w:cs="Times New Roman"/>
                <w:sz w:val="24"/>
                <w:szCs w:val="24"/>
              </w:rPr>
              <w:t>/</w:t>
            </w:r>
            <w:r>
              <w:rPr>
                <w:rFonts w:ascii="Times New Roman" w:eastAsia="宋体" w:hAnsi="Times New Roman" w:cs="Times New Roman"/>
                <w:sz w:val="24"/>
                <w:szCs w:val="24"/>
              </w:rPr>
              <w:t>钛合金材料等；同时，公司可以根据多年的技术积累为客户提供整体材料设计方案，从需求拆解、方案构思到材料供给，精准对接客户需求，为客户提供综合的解决方案。随着公司战略规划布局的不断深化，公司逐步从单一特种功能材料供应商向航空航天先进材料综合服务商</w:t>
            </w:r>
            <w:r>
              <w:rPr>
                <w:rFonts w:ascii="Times New Roman" w:eastAsia="宋体" w:hAnsi="Times New Roman" w:cs="Times New Roman" w:hint="eastAsia"/>
                <w:sz w:val="24"/>
                <w:szCs w:val="24"/>
              </w:rPr>
              <w:t>迈进。</w:t>
            </w:r>
          </w:p>
          <w:p w14:paraId="3FA569A6" w14:textId="77777777" w:rsidR="00845AE5" w:rsidRDefault="00884B05">
            <w:pPr>
              <w:pStyle w:val="TableParagraph"/>
              <w:spacing w:beforeLines="50" w:before="120" w:afterLines="50" w:after="120" w:line="360" w:lineRule="auto"/>
              <w:ind w:firstLineChars="200"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2026</w:t>
            </w:r>
            <w:r>
              <w:rPr>
                <w:rFonts w:ascii="Times New Roman" w:eastAsia="宋体" w:hAnsi="Times New Roman" w:cs="Times New Roman"/>
                <w:sz w:val="24"/>
                <w:szCs w:val="24"/>
              </w:rPr>
              <w:t>年上半年，公司本部实现特种功能材料产品及服务相关收入</w:t>
            </w:r>
            <w:r>
              <w:rPr>
                <w:rFonts w:ascii="Times New Roman" w:eastAsia="宋体" w:hAnsi="Times New Roman" w:cs="Times New Roman"/>
                <w:sz w:val="24"/>
                <w:szCs w:val="24"/>
              </w:rPr>
              <w:t>54,286.91</w:t>
            </w:r>
            <w:r>
              <w:rPr>
                <w:rFonts w:ascii="Times New Roman" w:eastAsia="宋体" w:hAnsi="Times New Roman" w:cs="Times New Roman"/>
                <w:sz w:val="24"/>
                <w:szCs w:val="24"/>
              </w:rPr>
              <w:t>万元，同比增加</w:t>
            </w:r>
            <w:r>
              <w:rPr>
                <w:rFonts w:ascii="Times New Roman" w:eastAsia="宋体" w:hAnsi="Times New Roman" w:cs="Times New Roman"/>
                <w:sz w:val="24"/>
                <w:szCs w:val="24"/>
              </w:rPr>
              <w:t>20.50%</w:t>
            </w:r>
            <w:r>
              <w:rPr>
                <w:rFonts w:ascii="Times New Roman" w:eastAsia="宋体" w:hAnsi="Times New Roman" w:cs="Times New Roman"/>
                <w:sz w:val="24"/>
                <w:szCs w:val="24"/>
              </w:rPr>
              <w:t>；控股子公司华秦智造实现航空航天零部件加工相关收入</w:t>
            </w:r>
            <w:r>
              <w:rPr>
                <w:rFonts w:ascii="Times New Roman" w:eastAsia="宋体" w:hAnsi="Times New Roman" w:cs="Times New Roman"/>
                <w:sz w:val="24"/>
                <w:szCs w:val="24"/>
              </w:rPr>
              <w:t>11,538.85</w:t>
            </w:r>
            <w:r>
              <w:rPr>
                <w:rFonts w:ascii="Times New Roman" w:eastAsia="宋体" w:hAnsi="Times New Roman" w:cs="Times New Roman"/>
                <w:sz w:val="24"/>
                <w:szCs w:val="24"/>
              </w:rPr>
              <w:t>万元，同比增加</w:t>
            </w:r>
            <w:r>
              <w:rPr>
                <w:rFonts w:ascii="Times New Roman" w:eastAsia="宋体" w:hAnsi="Times New Roman" w:cs="Times New Roman"/>
                <w:sz w:val="24"/>
                <w:szCs w:val="24"/>
              </w:rPr>
              <w:t>61.09%</w:t>
            </w:r>
            <w:r>
              <w:rPr>
                <w:rFonts w:ascii="Times New Roman" w:eastAsia="宋体" w:hAnsi="Times New Roman" w:cs="Times New Roman"/>
                <w:sz w:val="24"/>
                <w:szCs w:val="24"/>
              </w:rPr>
              <w:t>；华秦光声实现声学超材料及声学仪器等相关收入</w:t>
            </w:r>
            <w:r>
              <w:rPr>
                <w:rFonts w:ascii="Times New Roman" w:eastAsia="宋体" w:hAnsi="Times New Roman" w:cs="Times New Roman"/>
                <w:sz w:val="24"/>
                <w:szCs w:val="24"/>
              </w:rPr>
              <w:t>276.24</w:t>
            </w:r>
            <w:r>
              <w:rPr>
                <w:rFonts w:ascii="Times New Roman" w:eastAsia="宋体" w:hAnsi="Times New Roman" w:cs="Times New Roman"/>
                <w:sz w:val="24"/>
                <w:szCs w:val="24"/>
              </w:rPr>
              <w:t>万元；上海瑞华晟实现陶瓷基复合材料构件相关收入</w:t>
            </w:r>
            <w:r>
              <w:rPr>
                <w:rFonts w:ascii="Times New Roman" w:eastAsia="宋体" w:hAnsi="Times New Roman" w:cs="Times New Roman"/>
                <w:sz w:val="24"/>
                <w:szCs w:val="24"/>
              </w:rPr>
              <w:t>3,155.19</w:t>
            </w:r>
            <w:r>
              <w:rPr>
                <w:rFonts w:ascii="Times New Roman" w:eastAsia="宋体" w:hAnsi="Times New Roman" w:cs="Times New Roman"/>
                <w:sz w:val="24"/>
                <w:szCs w:val="24"/>
              </w:rPr>
              <w:t>万元；安徽汉正实现超细晶金属材料相关收入</w:t>
            </w:r>
            <w:r>
              <w:rPr>
                <w:rFonts w:ascii="Times New Roman" w:eastAsia="宋体" w:hAnsi="Times New Roman" w:cs="Times New Roman"/>
                <w:sz w:val="24"/>
                <w:szCs w:val="24"/>
              </w:rPr>
              <w:t>5,018.70</w:t>
            </w:r>
            <w:r>
              <w:rPr>
                <w:rFonts w:ascii="Times New Roman" w:eastAsia="宋体" w:hAnsi="Times New Roman" w:cs="Times New Roman"/>
                <w:sz w:val="24"/>
                <w:szCs w:val="24"/>
              </w:rPr>
              <w:t>万元。截至</w:t>
            </w:r>
            <w:r>
              <w:rPr>
                <w:rFonts w:ascii="Times New Roman" w:eastAsia="宋体" w:hAnsi="Times New Roman" w:cs="Times New Roman"/>
                <w:sz w:val="24"/>
                <w:szCs w:val="24"/>
              </w:rPr>
              <w:t>2026</w:t>
            </w:r>
            <w:r>
              <w:rPr>
                <w:rFonts w:ascii="Times New Roman" w:eastAsia="宋体" w:hAnsi="Times New Roman" w:cs="Times New Roman"/>
                <w:sz w:val="24"/>
                <w:szCs w:val="24"/>
              </w:rPr>
              <w:t>年</w:t>
            </w:r>
            <w:r>
              <w:rPr>
                <w:rFonts w:ascii="Times New Roman" w:eastAsia="宋体" w:hAnsi="Times New Roman" w:cs="Times New Roman"/>
                <w:sz w:val="24"/>
                <w:szCs w:val="24"/>
              </w:rPr>
              <w:t>6</w:t>
            </w:r>
            <w:r>
              <w:rPr>
                <w:rFonts w:ascii="Times New Roman" w:eastAsia="宋体" w:hAnsi="Times New Roman" w:cs="Times New Roman"/>
                <w:sz w:val="24"/>
                <w:szCs w:val="24"/>
              </w:rPr>
              <w:t>月末，公司资产总额</w:t>
            </w:r>
            <w:r>
              <w:rPr>
                <w:rFonts w:ascii="Times New Roman" w:eastAsia="宋体" w:hAnsi="Times New Roman" w:cs="Times New Roman"/>
                <w:sz w:val="24"/>
                <w:szCs w:val="24"/>
              </w:rPr>
              <w:t>66.37</w:t>
            </w:r>
            <w:r>
              <w:rPr>
                <w:rFonts w:ascii="Times New Roman" w:eastAsia="宋体" w:hAnsi="Times New Roman" w:cs="Times New Roman"/>
                <w:sz w:val="24"/>
                <w:szCs w:val="24"/>
              </w:rPr>
              <w:t>亿元，归属于上市公司股东的净资产</w:t>
            </w:r>
            <w:r>
              <w:rPr>
                <w:rFonts w:ascii="Times New Roman" w:eastAsia="宋体" w:hAnsi="Times New Roman" w:cs="Times New Roman"/>
                <w:sz w:val="24"/>
                <w:szCs w:val="24"/>
              </w:rPr>
              <w:t>48.39</w:t>
            </w:r>
            <w:r>
              <w:rPr>
                <w:rFonts w:ascii="Times New Roman" w:eastAsia="宋体" w:hAnsi="Times New Roman" w:cs="Times New Roman"/>
                <w:sz w:val="24"/>
                <w:szCs w:val="24"/>
              </w:rPr>
              <w:t>亿元，资产负债率为</w:t>
            </w:r>
            <w:r>
              <w:rPr>
                <w:rFonts w:ascii="Times New Roman" w:eastAsia="宋体" w:hAnsi="Times New Roman" w:cs="Times New Roman"/>
                <w:sz w:val="24"/>
                <w:szCs w:val="24"/>
              </w:rPr>
              <w:t>23.85%</w:t>
            </w:r>
            <w:r>
              <w:rPr>
                <w:rFonts w:ascii="Times New Roman" w:eastAsia="宋体" w:hAnsi="Times New Roman" w:cs="Times New Roman"/>
                <w:sz w:val="24"/>
                <w:szCs w:val="24"/>
              </w:rPr>
              <w:t>，公司资产质量良好，财务状况稳健。</w:t>
            </w:r>
          </w:p>
          <w:p w14:paraId="12BEAED3" w14:textId="77777777" w:rsidR="00845AE5" w:rsidRDefault="00884B05">
            <w:pPr>
              <w:pStyle w:val="TableParagraph"/>
              <w:spacing w:beforeLines="50" w:before="120" w:afterLines="50" w:after="120" w:line="360" w:lineRule="auto"/>
              <w:ind w:firstLineChars="200" w:firstLine="482"/>
              <w:jc w:val="both"/>
              <w:rPr>
                <w:rFonts w:ascii="Times New Roman" w:eastAsia="宋体" w:hAnsi="Times New Roman" w:cs="Times New Roman"/>
                <w:b/>
                <w:sz w:val="24"/>
                <w:szCs w:val="24"/>
              </w:rPr>
            </w:pPr>
            <w:r>
              <w:rPr>
                <w:rFonts w:ascii="Times New Roman" w:eastAsia="宋体" w:hAnsi="Times New Roman" w:cs="Times New Roman"/>
                <w:b/>
                <w:sz w:val="24"/>
                <w:szCs w:val="24"/>
              </w:rPr>
              <w:t>2.</w:t>
            </w:r>
            <w:r>
              <w:rPr>
                <w:rFonts w:ascii="Times New Roman" w:eastAsia="宋体" w:hAnsi="Times New Roman" w:cs="Times New Roman" w:hint="eastAsia"/>
                <w:b/>
                <w:sz w:val="24"/>
                <w:szCs w:val="24"/>
              </w:rPr>
              <w:t>控股子公司沈阳华秦智造</w:t>
            </w:r>
            <w:r>
              <w:rPr>
                <w:rFonts w:ascii="Times New Roman" w:eastAsia="宋体" w:hAnsi="Times New Roman" w:cs="Times New Roman" w:hint="eastAsia"/>
                <w:b/>
                <w:sz w:val="24"/>
                <w:szCs w:val="24"/>
              </w:rPr>
              <w:t>2</w:t>
            </w:r>
            <w:r>
              <w:rPr>
                <w:rFonts w:ascii="Times New Roman" w:eastAsia="宋体" w:hAnsi="Times New Roman" w:cs="Times New Roman"/>
                <w:b/>
                <w:sz w:val="24"/>
                <w:szCs w:val="24"/>
              </w:rPr>
              <w:t>026</w:t>
            </w:r>
            <w:r>
              <w:rPr>
                <w:rFonts w:ascii="Times New Roman" w:eastAsia="宋体" w:hAnsi="Times New Roman" w:cs="Times New Roman" w:hint="eastAsia"/>
                <w:b/>
                <w:sz w:val="24"/>
                <w:szCs w:val="24"/>
              </w:rPr>
              <w:t>年上半年经营进展如何？</w:t>
            </w:r>
          </w:p>
          <w:p w14:paraId="69A5F6B1" w14:textId="77777777" w:rsidR="00845AE5" w:rsidRDefault="00884B05">
            <w:pPr>
              <w:pStyle w:val="TableParagraph"/>
              <w:spacing w:beforeLines="50" w:before="120" w:afterLines="50" w:after="120" w:line="360" w:lineRule="auto"/>
              <w:ind w:firstLineChars="200"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答</w:t>
            </w:r>
            <w:r>
              <w:rPr>
                <w:rFonts w:ascii="Times New Roman" w:eastAsia="宋体" w:hAnsi="Times New Roman" w:cs="Times New Roman" w:hint="eastAsia"/>
                <w:sz w:val="24"/>
                <w:szCs w:val="24"/>
              </w:rPr>
              <w:t>：控股子公司华秦智造聚焦航空航天用零部件精密加工，已掌握针对钛合金、高温合金等难加工材料的航空发动机、燃气轮机零部件加工技术，并在复合材料部件加工领域开展技术升级。</w:t>
            </w:r>
            <w:r>
              <w:rPr>
                <w:rFonts w:ascii="Times New Roman" w:eastAsia="宋体" w:hAnsi="Times New Roman" w:cs="Times New Roman"/>
                <w:sz w:val="24"/>
                <w:szCs w:val="24"/>
              </w:rPr>
              <w:t>2026</w:t>
            </w:r>
            <w:r>
              <w:rPr>
                <w:rFonts w:ascii="Times New Roman" w:eastAsia="宋体" w:hAnsi="Times New Roman" w:cs="Times New Roman"/>
                <w:sz w:val="24"/>
                <w:szCs w:val="24"/>
              </w:rPr>
              <w:t>年上半年，华秦智造持续开展规模化生产研制工作，多款产品通过首件鉴定，部分关键构件已顺利通过考核验证；其加工的各类航空航天零部件均服务于核心装备，加工精度高且可兼容高温合金、钛合金等难加工材料。随着研发试制工作的不断深化，产线逐步投产运营，华秦智造订单持续落地，收入不断提升。同时，在此基础上，华秦智造拟从工序外包加工商向整体产品制造商过渡，逐</w:t>
            </w:r>
            <w:r>
              <w:rPr>
                <w:rFonts w:ascii="Times New Roman" w:eastAsia="宋体" w:hAnsi="Times New Roman" w:cs="Times New Roman" w:hint="eastAsia"/>
                <w:sz w:val="24"/>
                <w:szCs w:val="24"/>
              </w:rPr>
              <w:t>步转变为从设计到制造的产品自主研发的发展模式，并积极对接相关国际业务。</w:t>
            </w:r>
            <w:r>
              <w:rPr>
                <w:rFonts w:ascii="Times New Roman" w:eastAsia="宋体" w:hAnsi="Times New Roman" w:cs="Times New Roman" w:hint="eastAsia"/>
                <w:sz w:val="24"/>
                <w:szCs w:val="24"/>
              </w:rPr>
              <w:t>2</w:t>
            </w:r>
            <w:r>
              <w:rPr>
                <w:rFonts w:ascii="Times New Roman" w:eastAsia="宋体" w:hAnsi="Times New Roman" w:cs="Times New Roman"/>
                <w:sz w:val="24"/>
                <w:szCs w:val="24"/>
              </w:rPr>
              <w:t>026</w:t>
            </w:r>
            <w:r>
              <w:rPr>
                <w:rFonts w:ascii="Times New Roman" w:eastAsia="宋体" w:hAnsi="Times New Roman" w:cs="Times New Roman" w:hint="eastAsia"/>
                <w:sz w:val="24"/>
                <w:szCs w:val="24"/>
              </w:rPr>
              <w:t>年上半年，控股子公司华秦智造实现航空航天零部件加工相关收入</w:t>
            </w:r>
            <w:r>
              <w:rPr>
                <w:rFonts w:ascii="Times New Roman" w:eastAsia="宋体" w:hAnsi="Times New Roman" w:cs="Times New Roman"/>
                <w:sz w:val="24"/>
                <w:szCs w:val="24"/>
              </w:rPr>
              <w:t>11,538.85</w:t>
            </w:r>
            <w:r>
              <w:rPr>
                <w:rFonts w:ascii="Times New Roman" w:eastAsia="宋体" w:hAnsi="Times New Roman" w:cs="Times New Roman"/>
                <w:sz w:val="24"/>
                <w:szCs w:val="24"/>
              </w:rPr>
              <w:t>万元，同比增加</w:t>
            </w:r>
            <w:r>
              <w:rPr>
                <w:rFonts w:ascii="Times New Roman" w:eastAsia="宋体" w:hAnsi="Times New Roman" w:cs="Times New Roman"/>
                <w:sz w:val="24"/>
                <w:szCs w:val="24"/>
              </w:rPr>
              <w:lastRenderedPageBreak/>
              <w:t>61.09%</w:t>
            </w:r>
            <w:r>
              <w:rPr>
                <w:rFonts w:ascii="Times New Roman" w:eastAsia="宋体" w:hAnsi="Times New Roman" w:cs="Times New Roman" w:hint="eastAsia"/>
                <w:sz w:val="24"/>
                <w:szCs w:val="24"/>
              </w:rPr>
              <w:t>，扭亏为盈实现净利润</w:t>
            </w:r>
            <w:r>
              <w:rPr>
                <w:rFonts w:ascii="Times New Roman" w:eastAsia="宋体" w:hAnsi="Times New Roman" w:cs="Times New Roman" w:hint="eastAsia"/>
                <w:sz w:val="24"/>
                <w:szCs w:val="24"/>
              </w:rPr>
              <w:t>1</w:t>
            </w:r>
            <w:r>
              <w:rPr>
                <w:rFonts w:ascii="Times New Roman" w:eastAsia="宋体" w:hAnsi="Times New Roman" w:cs="Times New Roman"/>
                <w:sz w:val="24"/>
                <w:szCs w:val="24"/>
              </w:rPr>
              <w:t>3.95</w:t>
            </w:r>
            <w:r>
              <w:rPr>
                <w:rFonts w:ascii="Times New Roman" w:eastAsia="宋体" w:hAnsi="Times New Roman" w:cs="Times New Roman" w:hint="eastAsia"/>
                <w:sz w:val="24"/>
                <w:szCs w:val="24"/>
              </w:rPr>
              <w:t>万元；华秦智造</w:t>
            </w:r>
            <w:r>
              <w:rPr>
                <w:rFonts w:ascii="Times New Roman" w:eastAsia="宋体" w:hAnsi="Times New Roman" w:cs="Times New Roman" w:hint="eastAsia"/>
                <w:sz w:val="24"/>
                <w:szCs w:val="24"/>
              </w:rPr>
              <w:t>2</w:t>
            </w:r>
            <w:r>
              <w:rPr>
                <w:rFonts w:ascii="Times New Roman" w:eastAsia="宋体" w:hAnsi="Times New Roman" w:cs="Times New Roman"/>
                <w:sz w:val="24"/>
                <w:szCs w:val="24"/>
              </w:rPr>
              <w:t>026</w:t>
            </w:r>
            <w:r>
              <w:rPr>
                <w:rFonts w:ascii="Times New Roman" w:eastAsia="宋体" w:hAnsi="Times New Roman" w:cs="Times New Roman" w:hint="eastAsia"/>
                <w:sz w:val="24"/>
                <w:szCs w:val="24"/>
              </w:rPr>
              <w:t>年上半年毛利率较</w:t>
            </w:r>
            <w:r>
              <w:rPr>
                <w:rFonts w:ascii="Times New Roman" w:eastAsia="宋体" w:hAnsi="Times New Roman" w:cs="Times New Roman" w:hint="eastAsia"/>
                <w:sz w:val="24"/>
                <w:szCs w:val="24"/>
              </w:rPr>
              <w:t>2</w:t>
            </w:r>
            <w:r>
              <w:rPr>
                <w:rFonts w:ascii="Times New Roman" w:eastAsia="宋体" w:hAnsi="Times New Roman" w:cs="Times New Roman"/>
                <w:sz w:val="24"/>
                <w:szCs w:val="24"/>
              </w:rPr>
              <w:t>025</w:t>
            </w:r>
            <w:r>
              <w:rPr>
                <w:rFonts w:ascii="Times New Roman" w:eastAsia="宋体" w:hAnsi="Times New Roman" w:cs="Times New Roman" w:hint="eastAsia"/>
                <w:sz w:val="24"/>
                <w:szCs w:val="24"/>
              </w:rPr>
              <w:t>年亦有所上升，随着生产规模的不断扩大，规模效应将日渐凸显。</w:t>
            </w:r>
          </w:p>
          <w:p w14:paraId="49ED9CE7" w14:textId="77777777" w:rsidR="00845AE5" w:rsidRDefault="00884B05">
            <w:pPr>
              <w:pStyle w:val="TableParagraph"/>
              <w:spacing w:beforeLines="50" w:before="120" w:afterLines="50" w:after="120" w:line="360" w:lineRule="auto"/>
              <w:ind w:firstLineChars="200" w:firstLine="482"/>
              <w:jc w:val="both"/>
              <w:rPr>
                <w:rFonts w:ascii="Times New Roman" w:eastAsia="宋体" w:hAnsi="Times New Roman" w:cs="Times New Roman"/>
                <w:b/>
                <w:sz w:val="24"/>
                <w:szCs w:val="24"/>
              </w:rPr>
            </w:pPr>
            <w:r>
              <w:rPr>
                <w:rFonts w:ascii="Times New Roman" w:eastAsia="宋体" w:hAnsi="Times New Roman" w:cs="Times New Roman" w:hint="eastAsia"/>
                <w:b/>
                <w:sz w:val="24"/>
                <w:szCs w:val="24"/>
              </w:rPr>
              <w:t>3</w:t>
            </w:r>
            <w:r>
              <w:rPr>
                <w:rFonts w:ascii="Times New Roman" w:eastAsia="宋体" w:hAnsi="Times New Roman" w:cs="Times New Roman"/>
                <w:b/>
                <w:sz w:val="24"/>
                <w:szCs w:val="24"/>
              </w:rPr>
              <w:t>.</w:t>
            </w:r>
            <w:r>
              <w:rPr>
                <w:rFonts w:ascii="Times New Roman" w:eastAsia="宋体" w:hAnsi="Times New Roman" w:cs="Times New Roman" w:hint="eastAsia"/>
                <w:b/>
                <w:sz w:val="24"/>
                <w:szCs w:val="24"/>
              </w:rPr>
              <w:t>控股子公司南京华秦光声</w:t>
            </w:r>
            <w:r>
              <w:rPr>
                <w:rFonts w:ascii="Times New Roman" w:eastAsia="宋体" w:hAnsi="Times New Roman" w:cs="Times New Roman" w:hint="eastAsia"/>
                <w:b/>
                <w:sz w:val="24"/>
                <w:szCs w:val="24"/>
              </w:rPr>
              <w:t>2</w:t>
            </w:r>
            <w:r>
              <w:rPr>
                <w:rFonts w:ascii="Times New Roman" w:eastAsia="宋体" w:hAnsi="Times New Roman" w:cs="Times New Roman"/>
                <w:b/>
                <w:sz w:val="24"/>
                <w:szCs w:val="24"/>
              </w:rPr>
              <w:t>026</w:t>
            </w:r>
            <w:r>
              <w:rPr>
                <w:rFonts w:ascii="Times New Roman" w:eastAsia="宋体" w:hAnsi="Times New Roman" w:cs="Times New Roman" w:hint="eastAsia"/>
                <w:b/>
                <w:sz w:val="24"/>
                <w:szCs w:val="24"/>
              </w:rPr>
              <w:t>年上半年经营进展如何？</w:t>
            </w:r>
          </w:p>
          <w:p w14:paraId="63917674" w14:textId="77777777" w:rsidR="00845AE5" w:rsidRDefault="00884B05">
            <w:pPr>
              <w:pStyle w:val="TableParagraph"/>
              <w:spacing w:beforeLines="50" w:before="120" w:afterLines="50" w:after="120" w:line="360" w:lineRule="auto"/>
              <w:ind w:firstLineChars="200" w:firstLine="480"/>
              <w:jc w:val="both"/>
              <w:rPr>
                <w:rFonts w:ascii="Times New Roman" w:eastAsia="宋体" w:hAnsi="Times New Roman" w:cs="Times New Roman"/>
                <w:sz w:val="24"/>
                <w:szCs w:val="24"/>
              </w:rPr>
            </w:pPr>
            <w:r>
              <w:rPr>
                <w:rFonts w:ascii="Times New Roman" w:eastAsia="宋体" w:hAnsi="Times New Roman" w:cs="Times New Roman" w:hint="eastAsia"/>
                <w:sz w:val="24"/>
                <w:szCs w:val="24"/>
              </w:rPr>
              <w:t>答：控股子公司华秦光声围绕声学超材料、声像检测、激光超声无损检测等核心技术方向，持续推进研发成果向场景化产品转化。</w:t>
            </w:r>
            <w:r>
              <w:rPr>
                <w:rFonts w:ascii="Times New Roman" w:eastAsia="宋体" w:hAnsi="Times New Roman" w:cs="Times New Roman"/>
                <w:sz w:val="24"/>
                <w:szCs w:val="24"/>
              </w:rPr>
              <w:t>2026</w:t>
            </w:r>
            <w:r>
              <w:rPr>
                <w:rFonts w:ascii="Times New Roman" w:eastAsia="宋体" w:hAnsi="Times New Roman" w:cs="Times New Roman"/>
                <w:sz w:val="24"/>
                <w:szCs w:val="24"/>
              </w:rPr>
              <w:t>年上半年，华秦光声持续聚焦半导体、能源电力、储能温控、无损检测、工业在线监测等重点行业，围绕无尘静音间、超静音电站、储能消声器、声像检测设备、激光超声检测设备等产品开展客户拓展和项目推进，并在储能、半导体、电力等方向形成一批重点客户和示范项目；其中储能消声器已形成小批量订单。同时，公司针对航空器客舱轻量化降噪材料需求，定制开发专用降噪结构并实现小批量试制，目前已在模拟机舱环境中完成两类材料的</w:t>
            </w:r>
            <w:r>
              <w:rPr>
                <w:rFonts w:ascii="Times New Roman" w:eastAsia="宋体" w:hAnsi="Times New Roman" w:cs="Times New Roman" w:hint="eastAsia"/>
                <w:sz w:val="24"/>
                <w:szCs w:val="24"/>
              </w:rPr>
              <w:t>实机应用验证，实现通用区域整体降噪及关键部位定点降噪，相关产品正在推进航空供应链准入与适航验证准备工作。</w:t>
            </w:r>
          </w:p>
          <w:p w14:paraId="437C0719" w14:textId="77777777" w:rsidR="00845AE5" w:rsidRDefault="00884B05">
            <w:pPr>
              <w:pStyle w:val="TableParagraph"/>
              <w:spacing w:beforeLines="50" w:before="120" w:afterLines="50" w:after="120" w:line="360" w:lineRule="auto"/>
              <w:ind w:firstLineChars="200" w:firstLine="482"/>
              <w:jc w:val="both"/>
              <w:rPr>
                <w:rFonts w:ascii="Times New Roman" w:eastAsia="宋体" w:hAnsi="Times New Roman" w:cs="Times New Roman"/>
                <w:b/>
                <w:sz w:val="24"/>
                <w:szCs w:val="24"/>
              </w:rPr>
            </w:pPr>
            <w:r>
              <w:rPr>
                <w:rFonts w:ascii="Times New Roman" w:eastAsia="宋体" w:hAnsi="Times New Roman" w:cs="Times New Roman" w:hint="eastAsia"/>
                <w:b/>
                <w:sz w:val="24"/>
                <w:szCs w:val="24"/>
              </w:rPr>
              <w:t>4</w:t>
            </w:r>
            <w:r>
              <w:rPr>
                <w:rFonts w:ascii="Times New Roman" w:eastAsia="宋体" w:hAnsi="Times New Roman" w:cs="Times New Roman"/>
                <w:b/>
                <w:sz w:val="24"/>
                <w:szCs w:val="24"/>
              </w:rPr>
              <w:t>.</w:t>
            </w:r>
            <w:r>
              <w:rPr>
                <w:rFonts w:ascii="Times New Roman" w:eastAsia="宋体" w:hAnsi="Times New Roman" w:cs="Times New Roman" w:hint="eastAsia"/>
                <w:b/>
                <w:sz w:val="24"/>
                <w:szCs w:val="24"/>
              </w:rPr>
              <w:t>控股子公司上海瑞华晟</w:t>
            </w:r>
            <w:r>
              <w:rPr>
                <w:rFonts w:ascii="Times New Roman" w:eastAsia="宋体" w:hAnsi="Times New Roman" w:cs="Times New Roman" w:hint="eastAsia"/>
                <w:b/>
                <w:sz w:val="24"/>
                <w:szCs w:val="24"/>
              </w:rPr>
              <w:t>2</w:t>
            </w:r>
            <w:r>
              <w:rPr>
                <w:rFonts w:ascii="Times New Roman" w:eastAsia="宋体" w:hAnsi="Times New Roman" w:cs="Times New Roman"/>
                <w:b/>
                <w:sz w:val="24"/>
                <w:szCs w:val="24"/>
              </w:rPr>
              <w:t>026</w:t>
            </w:r>
            <w:r>
              <w:rPr>
                <w:rFonts w:ascii="Times New Roman" w:eastAsia="宋体" w:hAnsi="Times New Roman" w:cs="Times New Roman" w:hint="eastAsia"/>
                <w:b/>
                <w:sz w:val="24"/>
                <w:szCs w:val="24"/>
              </w:rPr>
              <w:t>年上半年经营情况及跟研试制进展如何？</w:t>
            </w:r>
          </w:p>
          <w:p w14:paraId="4C61F9BB" w14:textId="77777777" w:rsidR="00845AE5" w:rsidRDefault="00884B05">
            <w:pPr>
              <w:pStyle w:val="TableParagraph"/>
              <w:spacing w:beforeLines="50" w:before="120" w:afterLines="50" w:after="120" w:line="360" w:lineRule="auto"/>
              <w:ind w:firstLineChars="200" w:firstLine="480"/>
              <w:jc w:val="both"/>
              <w:rPr>
                <w:rFonts w:ascii="Times New Roman" w:eastAsia="宋体" w:hAnsi="Times New Roman" w:cs="Times New Roman"/>
                <w:sz w:val="24"/>
                <w:szCs w:val="24"/>
              </w:rPr>
            </w:pPr>
            <w:r>
              <w:rPr>
                <w:rFonts w:ascii="Times New Roman" w:eastAsia="宋体" w:hAnsi="Times New Roman" w:cs="Times New Roman" w:hint="eastAsia"/>
                <w:sz w:val="24"/>
                <w:szCs w:val="24"/>
              </w:rPr>
              <w:t>答：控股子公司上海瑞华晟定制化开展航空发动机、燃气轮机、航空器机身和核工业热端部件用陶瓷基复合材料结构件研制和批量化生产。</w:t>
            </w:r>
            <w:r>
              <w:rPr>
                <w:rFonts w:ascii="Times New Roman" w:eastAsia="宋体" w:hAnsi="Times New Roman" w:cs="Times New Roman"/>
                <w:sz w:val="24"/>
                <w:szCs w:val="24"/>
              </w:rPr>
              <w:t>2026</w:t>
            </w:r>
            <w:r>
              <w:rPr>
                <w:rFonts w:ascii="Times New Roman" w:eastAsia="宋体" w:hAnsi="Times New Roman" w:cs="Times New Roman"/>
                <w:sz w:val="24"/>
                <w:szCs w:val="24"/>
              </w:rPr>
              <w:t>年上半年，公司通过持续深化与多家设计院所和主机厂的合作，打通了从基础研究、产品研制到工程应用的全线自主可控链路，且多款产品通过首件鉴定，部分关键构件已顺利通过考核验证并进入小批量供货，核心产品配套份额持续巩固。公司除航空器机身，尾喷部件、涡轮部件、燃烧室等航空发动机热端部件的陶瓷基复材外，还将产品应用进一步拓展至核工业领域、高温超导材料等。公司通过强化技术协同与交付保障，核心客户合作</w:t>
            </w:r>
            <w:r>
              <w:rPr>
                <w:rFonts w:ascii="Times New Roman" w:eastAsia="宋体" w:hAnsi="Times New Roman" w:cs="Times New Roman" w:hint="eastAsia"/>
                <w:sz w:val="24"/>
                <w:szCs w:val="24"/>
              </w:rPr>
              <w:t>粘性持续增强，主力构型产品供货份额大幅提升，市场地位进一步夯实。</w:t>
            </w:r>
            <w:r>
              <w:rPr>
                <w:rFonts w:ascii="Times New Roman" w:eastAsia="宋体" w:hAnsi="Times New Roman" w:cs="Times New Roman" w:hint="eastAsia"/>
                <w:sz w:val="24"/>
                <w:szCs w:val="24"/>
              </w:rPr>
              <w:t>2</w:t>
            </w:r>
            <w:r>
              <w:rPr>
                <w:rFonts w:ascii="Times New Roman" w:eastAsia="宋体" w:hAnsi="Times New Roman" w:cs="Times New Roman"/>
                <w:sz w:val="24"/>
                <w:szCs w:val="24"/>
              </w:rPr>
              <w:t>026</w:t>
            </w:r>
            <w:r>
              <w:rPr>
                <w:rFonts w:ascii="Times New Roman" w:eastAsia="宋体" w:hAnsi="Times New Roman" w:cs="Times New Roman" w:hint="eastAsia"/>
                <w:sz w:val="24"/>
                <w:szCs w:val="24"/>
              </w:rPr>
              <w:t>年上半年，上海瑞华晟实现营业收入</w:t>
            </w:r>
            <w:r>
              <w:rPr>
                <w:rFonts w:ascii="Times New Roman" w:eastAsia="宋体" w:hAnsi="Times New Roman" w:cs="Times New Roman"/>
                <w:sz w:val="24"/>
                <w:szCs w:val="24"/>
              </w:rPr>
              <w:lastRenderedPageBreak/>
              <w:t>3,155.19</w:t>
            </w:r>
            <w:r>
              <w:rPr>
                <w:rFonts w:ascii="Times New Roman" w:eastAsia="宋体" w:hAnsi="Times New Roman" w:cs="Times New Roman"/>
                <w:sz w:val="24"/>
                <w:szCs w:val="24"/>
              </w:rPr>
              <w:t>万</w:t>
            </w:r>
            <w:r>
              <w:rPr>
                <w:rFonts w:ascii="Times New Roman" w:eastAsia="宋体" w:hAnsi="Times New Roman" w:cs="Times New Roman" w:hint="eastAsia"/>
                <w:sz w:val="24"/>
                <w:szCs w:val="24"/>
              </w:rPr>
              <w:t>元，较</w:t>
            </w:r>
            <w:r>
              <w:rPr>
                <w:rFonts w:ascii="Times New Roman" w:eastAsia="宋体" w:hAnsi="Times New Roman" w:cs="Times New Roman" w:hint="eastAsia"/>
                <w:sz w:val="24"/>
                <w:szCs w:val="24"/>
              </w:rPr>
              <w:t>2</w:t>
            </w:r>
            <w:r>
              <w:rPr>
                <w:rFonts w:ascii="Times New Roman" w:eastAsia="宋体" w:hAnsi="Times New Roman" w:cs="Times New Roman"/>
                <w:sz w:val="24"/>
                <w:szCs w:val="24"/>
              </w:rPr>
              <w:t>025</w:t>
            </w:r>
            <w:r>
              <w:rPr>
                <w:rFonts w:ascii="Times New Roman" w:eastAsia="宋体" w:hAnsi="Times New Roman" w:cs="Times New Roman" w:hint="eastAsia"/>
                <w:sz w:val="24"/>
                <w:szCs w:val="24"/>
              </w:rPr>
              <w:t>年度全年营业收入</w:t>
            </w:r>
            <w:r>
              <w:rPr>
                <w:rFonts w:ascii="Times New Roman" w:eastAsia="宋体" w:hAnsi="Times New Roman" w:cs="Times New Roman"/>
                <w:sz w:val="24"/>
                <w:szCs w:val="24"/>
              </w:rPr>
              <w:t>1,639.16</w:t>
            </w:r>
            <w:r>
              <w:rPr>
                <w:rFonts w:ascii="Times New Roman" w:eastAsia="宋体" w:hAnsi="Times New Roman" w:cs="Times New Roman" w:hint="eastAsia"/>
                <w:sz w:val="24"/>
                <w:szCs w:val="24"/>
              </w:rPr>
              <w:t>万元增长</w:t>
            </w:r>
            <w:r>
              <w:rPr>
                <w:rFonts w:ascii="Times New Roman" w:eastAsia="宋体" w:hAnsi="Times New Roman" w:cs="Times New Roman" w:hint="eastAsia"/>
                <w:sz w:val="24"/>
                <w:szCs w:val="24"/>
              </w:rPr>
              <w:t>9</w:t>
            </w:r>
            <w:r>
              <w:rPr>
                <w:rFonts w:ascii="Times New Roman" w:eastAsia="宋体" w:hAnsi="Times New Roman" w:cs="Times New Roman"/>
                <w:sz w:val="24"/>
                <w:szCs w:val="24"/>
              </w:rPr>
              <w:t>2.49%</w:t>
            </w:r>
            <w:r>
              <w:rPr>
                <w:rFonts w:ascii="Times New Roman" w:eastAsia="宋体" w:hAnsi="Times New Roman" w:cs="Times New Roman" w:hint="eastAsia"/>
                <w:sz w:val="24"/>
                <w:szCs w:val="24"/>
              </w:rPr>
              <w:t>。</w:t>
            </w:r>
          </w:p>
          <w:p w14:paraId="11ECCFC6" w14:textId="77777777" w:rsidR="00845AE5" w:rsidRDefault="00884B05">
            <w:pPr>
              <w:pStyle w:val="TableParagraph"/>
              <w:spacing w:beforeLines="50" w:before="120" w:afterLines="50" w:after="120" w:line="360" w:lineRule="auto"/>
              <w:ind w:firstLineChars="200" w:firstLine="482"/>
              <w:jc w:val="both"/>
              <w:rPr>
                <w:rFonts w:ascii="Times New Roman" w:eastAsia="宋体" w:hAnsi="Times New Roman" w:cs="Times New Roman"/>
                <w:b/>
                <w:sz w:val="24"/>
                <w:szCs w:val="24"/>
              </w:rPr>
            </w:pPr>
            <w:r>
              <w:rPr>
                <w:rFonts w:ascii="Times New Roman" w:eastAsia="宋体" w:hAnsi="Times New Roman" w:cs="Times New Roman" w:hint="eastAsia"/>
                <w:b/>
                <w:sz w:val="24"/>
                <w:szCs w:val="24"/>
              </w:rPr>
              <w:t>5</w:t>
            </w:r>
            <w:r>
              <w:rPr>
                <w:rFonts w:ascii="Times New Roman" w:eastAsia="宋体" w:hAnsi="Times New Roman" w:cs="Times New Roman"/>
                <w:b/>
                <w:sz w:val="24"/>
                <w:szCs w:val="24"/>
              </w:rPr>
              <w:t>.</w:t>
            </w:r>
            <w:r>
              <w:rPr>
                <w:rFonts w:ascii="Times New Roman" w:eastAsia="宋体" w:hAnsi="Times New Roman" w:cs="Times New Roman" w:hint="eastAsia"/>
                <w:b/>
                <w:sz w:val="24"/>
                <w:szCs w:val="24"/>
              </w:rPr>
              <w:t>控股子公司安徽汉正</w:t>
            </w:r>
            <w:r>
              <w:rPr>
                <w:rFonts w:ascii="Times New Roman" w:eastAsia="宋体" w:hAnsi="Times New Roman" w:cs="Times New Roman" w:hint="eastAsia"/>
                <w:b/>
                <w:sz w:val="24"/>
                <w:szCs w:val="24"/>
              </w:rPr>
              <w:t>2</w:t>
            </w:r>
            <w:r>
              <w:rPr>
                <w:rFonts w:ascii="Times New Roman" w:eastAsia="宋体" w:hAnsi="Times New Roman" w:cs="Times New Roman"/>
                <w:b/>
                <w:sz w:val="24"/>
                <w:szCs w:val="24"/>
              </w:rPr>
              <w:t>026</w:t>
            </w:r>
            <w:r>
              <w:rPr>
                <w:rFonts w:ascii="Times New Roman" w:eastAsia="宋体" w:hAnsi="Times New Roman" w:cs="Times New Roman" w:hint="eastAsia"/>
                <w:b/>
                <w:sz w:val="24"/>
                <w:szCs w:val="24"/>
              </w:rPr>
              <w:t>年上半年经营情况如何？</w:t>
            </w:r>
          </w:p>
          <w:p w14:paraId="2CF56A56" w14:textId="77777777" w:rsidR="00845AE5" w:rsidRDefault="00884B05">
            <w:pPr>
              <w:pStyle w:val="TableParagraph"/>
              <w:spacing w:beforeLines="50" w:before="120" w:afterLines="50" w:after="120" w:line="360" w:lineRule="auto"/>
              <w:ind w:firstLineChars="200" w:firstLine="480"/>
              <w:jc w:val="both"/>
              <w:rPr>
                <w:rFonts w:ascii="Times New Roman" w:eastAsia="宋体" w:hAnsi="Times New Roman" w:cs="Times New Roman"/>
                <w:sz w:val="24"/>
                <w:szCs w:val="24"/>
              </w:rPr>
            </w:pPr>
            <w:r>
              <w:rPr>
                <w:rFonts w:ascii="Times New Roman" w:eastAsia="宋体" w:hAnsi="Times New Roman" w:cs="Times New Roman" w:hint="eastAsia"/>
                <w:sz w:val="24"/>
                <w:szCs w:val="24"/>
              </w:rPr>
              <w:t>答：控股子公司安徽汉正充分发挥超细晶改性技术优势，持续拓展市场。安徽汉正研发生产的超细晶轴承持续向国内大型新能源汽车生产配套厂商批量供货，</w:t>
            </w:r>
            <w:r>
              <w:rPr>
                <w:rFonts w:ascii="Times New Roman" w:eastAsia="宋体" w:hAnsi="Times New Roman" w:cs="Times New Roman"/>
                <w:sz w:val="24"/>
                <w:szCs w:val="24"/>
              </w:rPr>
              <w:t>2026</w:t>
            </w:r>
            <w:r>
              <w:rPr>
                <w:rFonts w:ascii="Times New Roman" w:eastAsia="宋体" w:hAnsi="Times New Roman" w:cs="Times New Roman"/>
                <w:sz w:val="24"/>
                <w:szCs w:val="24"/>
              </w:rPr>
              <w:t>年上半年收入增速显著；公司同时向其他高端轴承行业拓展，产品涉及超细晶棒材、模具、钎具刀具等领域。公司在稳定现有产品市场的基础上，在燃气轮机盘件、航发涡轮盘、固体发动机封头、先进刀具工具、滚柱丝杠等持续开展研发工作，部分已完成样件测试及小批量交货。</w:t>
            </w:r>
            <w:r>
              <w:rPr>
                <w:rFonts w:ascii="Times New Roman" w:eastAsia="宋体" w:hAnsi="Times New Roman" w:cs="Times New Roman" w:hint="eastAsia"/>
                <w:sz w:val="24"/>
                <w:szCs w:val="24"/>
              </w:rPr>
              <w:t>2</w:t>
            </w:r>
            <w:r>
              <w:rPr>
                <w:rFonts w:ascii="Times New Roman" w:eastAsia="宋体" w:hAnsi="Times New Roman" w:cs="Times New Roman"/>
                <w:sz w:val="24"/>
                <w:szCs w:val="24"/>
              </w:rPr>
              <w:t>026</w:t>
            </w:r>
            <w:r>
              <w:rPr>
                <w:rFonts w:ascii="Times New Roman" w:eastAsia="宋体" w:hAnsi="Times New Roman" w:cs="Times New Roman" w:hint="eastAsia"/>
                <w:sz w:val="24"/>
                <w:szCs w:val="24"/>
              </w:rPr>
              <w:t>年上半年，安徽汉正实现超细晶金属材料相关收入</w:t>
            </w:r>
            <w:r>
              <w:rPr>
                <w:rFonts w:ascii="Times New Roman" w:eastAsia="宋体" w:hAnsi="Times New Roman" w:cs="Times New Roman"/>
                <w:sz w:val="24"/>
                <w:szCs w:val="24"/>
              </w:rPr>
              <w:t>5,018.70</w:t>
            </w:r>
            <w:r>
              <w:rPr>
                <w:rFonts w:ascii="Times New Roman" w:eastAsia="宋体" w:hAnsi="Times New Roman" w:cs="Times New Roman"/>
                <w:sz w:val="24"/>
                <w:szCs w:val="24"/>
              </w:rPr>
              <w:t>万元。</w:t>
            </w:r>
          </w:p>
          <w:p w14:paraId="37733A25" w14:textId="77777777" w:rsidR="00845AE5" w:rsidRDefault="00884B05">
            <w:pPr>
              <w:pStyle w:val="TableParagraph"/>
              <w:spacing w:beforeLines="50" w:before="120" w:afterLines="50" w:after="120" w:line="360" w:lineRule="auto"/>
              <w:ind w:firstLineChars="200" w:firstLine="482"/>
              <w:jc w:val="both"/>
              <w:rPr>
                <w:rFonts w:ascii="Times New Roman" w:eastAsia="宋体" w:hAnsi="Times New Roman" w:cs="Times New Roman"/>
                <w:b/>
                <w:sz w:val="24"/>
                <w:szCs w:val="24"/>
              </w:rPr>
            </w:pPr>
            <w:r>
              <w:rPr>
                <w:rFonts w:ascii="Times New Roman" w:eastAsia="宋体" w:hAnsi="Times New Roman" w:cs="Times New Roman"/>
                <w:b/>
                <w:sz w:val="24"/>
                <w:szCs w:val="24"/>
              </w:rPr>
              <w:t>6.</w:t>
            </w:r>
            <w:r>
              <w:rPr>
                <w:rFonts w:ascii="Times New Roman" w:eastAsia="宋体" w:hAnsi="Times New Roman" w:cs="Times New Roman" w:hint="eastAsia"/>
                <w:b/>
                <w:sz w:val="24"/>
                <w:szCs w:val="24"/>
              </w:rPr>
              <w:t>公司本部特种功能材料各方向进展如何？</w:t>
            </w:r>
          </w:p>
          <w:p w14:paraId="3274034F" w14:textId="77777777" w:rsidR="00845AE5" w:rsidRDefault="00884B05">
            <w:pPr>
              <w:pStyle w:val="TableParagraph"/>
              <w:spacing w:beforeLines="50" w:before="120" w:afterLines="50" w:after="120" w:line="360" w:lineRule="auto"/>
              <w:ind w:firstLineChars="200" w:firstLine="480"/>
              <w:jc w:val="both"/>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Pr>
                <w:rFonts w:ascii="Times New Roman" w:eastAsia="宋体" w:hAnsi="Times New Roman" w:cs="Times New Roman" w:hint="eastAsia"/>
                <w:sz w:val="24"/>
                <w:szCs w:val="24"/>
              </w:rPr>
              <w:t>2</w:t>
            </w:r>
            <w:r>
              <w:rPr>
                <w:rFonts w:ascii="Times New Roman" w:eastAsia="宋体" w:hAnsi="Times New Roman" w:cs="Times New Roman"/>
                <w:sz w:val="24"/>
                <w:szCs w:val="24"/>
              </w:rPr>
              <w:t>026</w:t>
            </w:r>
            <w:r>
              <w:rPr>
                <w:rFonts w:ascii="Times New Roman" w:eastAsia="宋体" w:hAnsi="Times New Roman" w:cs="Times New Roman" w:hint="eastAsia"/>
                <w:sz w:val="24"/>
                <w:szCs w:val="24"/>
              </w:rPr>
              <w:t>年上半年，公司本部在特种功能涂层材料、特种功能结构复合材料、高效热防护材料、有机高分子材料、电测屏蔽材料、特种功能遮樟、高性能防腐材料等领域持续开展研发试制与市场拓展：（</w:t>
            </w:r>
            <w:r>
              <w:rPr>
                <w:rFonts w:ascii="Times New Roman" w:eastAsia="宋体" w:hAnsi="Times New Roman" w:cs="Times New Roman"/>
                <w:sz w:val="24"/>
                <w:szCs w:val="24"/>
              </w:rPr>
              <w:t>1</w:t>
            </w:r>
            <w:r>
              <w:rPr>
                <w:rFonts w:ascii="Times New Roman" w:eastAsia="宋体" w:hAnsi="Times New Roman" w:cs="Times New Roman"/>
                <w:sz w:val="24"/>
                <w:szCs w:val="24"/>
              </w:rPr>
              <w:t>）特种功能材料方面，公司本部在航空发动机用特种功能材料领域市场及技术领先优势依旧稳固，订单增速明显，同时在航空器机身用特种功能材料领域持续落单，形成公司在该领域的第二增长曲线，特种功能结构复合材料已在航空发动机领域实现批产，并在飞机机身领域实现技术与市场突破；（</w:t>
            </w:r>
            <w:r>
              <w:rPr>
                <w:rFonts w:ascii="Times New Roman" w:eastAsia="宋体" w:hAnsi="Times New Roman" w:cs="Times New Roman"/>
                <w:sz w:val="24"/>
                <w:szCs w:val="24"/>
              </w:rPr>
              <w:t>2</w:t>
            </w:r>
            <w:r>
              <w:rPr>
                <w:rFonts w:ascii="Times New Roman" w:eastAsia="宋体" w:hAnsi="Times New Roman" w:cs="Times New Roman"/>
                <w:sz w:val="24"/>
                <w:szCs w:val="24"/>
              </w:rPr>
              <w:t>）高效热防护材料方面，包括热阻膜、热胀涂层、</w:t>
            </w:r>
            <w:r>
              <w:rPr>
                <w:rFonts w:ascii="Times New Roman" w:eastAsia="宋体" w:hAnsi="Times New Roman" w:cs="Times New Roman"/>
                <w:sz w:val="24"/>
                <w:szCs w:val="24"/>
              </w:rPr>
              <w:t>EBC</w:t>
            </w:r>
            <w:r>
              <w:rPr>
                <w:rFonts w:ascii="Times New Roman" w:eastAsia="宋体" w:hAnsi="Times New Roman" w:cs="Times New Roman"/>
                <w:sz w:val="24"/>
                <w:szCs w:val="24"/>
              </w:rPr>
              <w:t>涂层、</w:t>
            </w:r>
            <w:r>
              <w:rPr>
                <w:rFonts w:ascii="Times New Roman" w:eastAsia="宋体" w:hAnsi="Times New Roman" w:cs="Times New Roman"/>
                <w:sz w:val="24"/>
                <w:szCs w:val="24"/>
              </w:rPr>
              <w:t>TBC</w:t>
            </w:r>
            <w:r>
              <w:rPr>
                <w:rFonts w:ascii="Times New Roman" w:eastAsia="宋体" w:hAnsi="Times New Roman" w:cs="Times New Roman"/>
                <w:sz w:val="24"/>
                <w:szCs w:val="24"/>
              </w:rPr>
              <w:t>涂层、高温可磨耗涂层、热控黑漆、高温高发射率涂层等在内的产品系列不断拓展，并持续拓宽市场应用范围；公司研制的轻质隔热功能材料开展考核验证，实现公司隔热类复合材料在航天装备领域的应用。</w:t>
            </w:r>
            <w:r>
              <w:rPr>
                <w:rFonts w:ascii="Times New Roman" w:eastAsia="宋体" w:hAnsi="Times New Roman" w:cs="Times New Roman" w:hint="eastAsia"/>
                <w:sz w:val="24"/>
                <w:szCs w:val="24"/>
              </w:rPr>
              <w:t>（</w:t>
            </w:r>
            <w:r>
              <w:rPr>
                <w:rFonts w:ascii="Times New Roman" w:eastAsia="宋体" w:hAnsi="Times New Roman" w:cs="Times New Roman"/>
                <w:sz w:val="24"/>
                <w:szCs w:val="24"/>
              </w:rPr>
              <w:t>3</w:t>
            </w:r>
            <w:r>
              <w:rPr>
                <w:rFonts w:ascii="Times New Roman" w:eastAsia="宋体" w:hAnsi="Times New Roman" w:cs="Times New Roman"/>
                <w:sz w:val="24"/>
                <w:szCs w:val="24"/>
              </w:rPr>
              <w:t>）有机高分子材料方面，公司研究开发的多种高性能树脂、导电涂料等产品实现了技术提升与批产验证。（</w:t>
            </w:r>
            <w:r>
              <w:rPr>
                <w:rFonts w:ascii="Times New Roman" w:eastAsia="宋体" w:hAnsi="Times New Roman" w:cs="Times New Roman"/>
                <w:sz w:val="24"/>
                <w:szCs w:val="24"/>
              </w:rPr>
              <w:t>4</w:t>
            </w:r>
            <w:r>
              <w:rPr>
                <w:rFonts w:ascii="Times New Roman" w:eastAsia="宋体" w:hAnsi="Times New Roman" w:cs="Times New Roman"/>
                <w:sz w:val="24"/>
                <w:szCs w:val="24"/>
              </w:rPr>
              <w:t>）电磁屏蔽类、特种功能遮障、高性能防腐材料等领域经营情况亦持续向好。</w:t>
            </w:r>
          </w:p>
          <w:p w14:paraId="7D14865B" w14:textId="77777777" w:rsidR="00845AE5" w:rsidRDefault="00884B05">
            <w:pPr>
              <w:pStyle w:val="TableParagraph"/>
              <w:spacing w:beforeLines="50" w:before="120" w:afterLines="50" w:after="120" w:line="360" w:lineRule="auto"/>
              <w:ind w:firstLineChars="200" w:firstLine="482"/>
              <w:jc w:val="both"/>
              <w:rPr>
                <w:rFonts w:ascii="Times New Roman" w:eastAsia="宋体" w:hAnsi="Times New Roman" w:cs="Times New Roman"/>
                <w:b/>
                <w:sz w:val="24"/>
                <w:szCs w:val="24"/>
              </w:rPr>
            </w:pPr>
            <w:r>
              <w:rPr>
                <w:rFonts w:ascii="Times New Roman" w:eastAsia="宋体" w:hAnsi="Times New Roman" w:cs="Times New Roman"/>
                <w:b/>
                <w:sz w:val="24"/>
                <w:szCs w:val="24"/>
              </w:rPr>
              <w:t>7.2026</w:t>
            </w:r>
            <w:r>
              <w:rPr>
                <w:rFonts w:ascii="Times New Roman" w:eastAsia="宋体" w:hAnsi="Times New Roman" w:cs="Times New Roman"/>
                <w:b/>
                <w:sz w:val="24"/>
                <w:szCs w:val="24"/>
              </w:rPr>
              <w:t>年上半年公司利润端增速低于营收增速的原因？</w:t>
            </w:r>
          </w:p>
          <w:p w14:paraId="177340C8" w14:textId="77777777" w:rsidR="00845AE5" w:rsidRDefault="00884B05">
            <w:pPr>
              <w:pStyle w:val="TableParagraph"/>
              <w:spacing w:beforeLines="50" w:before="120" w:afterLines="50" w:after="120" w:line="360" w:lineRule="auto"/>
              <w:ind w:firstLineChars="200" w:firstLine="480"/>
              <w:jc w:val="both"/>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答：</w:t>
            </w:r>
            <w:r>
              <w:rPr>
                <w:rFonts w:ascii="Times New Roman" w:eastAsia="宋体" w:hAnsi="Times New Roman" w:cs="Times New Roman"/>
                <w:sz w:val="24"/>
                <w:szCs w:val="24"/>
              </w:rPr>
              <w:t>2026</w:t>
            </w:r>
            <w:r>
              <w:rPr>
                <w:rFonts w:ascii="Times New Roman" w:eastAsia="宋体" w:hAnsi="Times New Roman" w:cs="Times New Roman"/>
                <w:sz w:val="24"/>
                <w:szCs w:val="24"/>
              </w:rPr>
              <w:t>年上半年，公司实现利润总额</w:t>
            </w:r>
            <w:r>
              <w:rPr>
                <w:rFonts w:ascii="Times New Roman" w:eastAsia="宋体" w:hAnsi="Times New Roman" w:cs="Times New Roman"/>
                <w:sz w:val="24"/>
                <w:szCs w:val="24"/>
              </w:rPr>
              <w:t>16,208.18</w:t>
            </w:r>
            <w:r>
              <w:rPr>
                <w:rFonts w:ascii="Times New Roman" w:eastAsia="宋体" w:hAnsi="Times New Roman" w:cs="Times New Roman"/>
                <w:sz w:val="24"/>
                <w:szCs w:val="24"/>
              </w:rPr>
              <w:t>万元，同比增长</w:t>
            </w:r>
            <w:r>
              <w:rPr>
                <w:rFonts w:ascii="Times New Roman" w:eastAsia="宋体" w:hAnsi="Times New Roman" w:cs="Times New Roman"/>
                <w:sz w:val="24"/>
                <w:szCs w:val="24"/>
              </w:rPr>
              <w:t>13.70%</w:t>
            </w:r>
            <w:r>
              <w:rPr>
                <w:rFonts w:ascii="Times New Roman" w:eastAsia="宋体" w:hAnsi="Times New Roman" w:cs="Times New Roman"/>
                <w:sz w:val="24"/>
                <w:szCs w:val="24"/>
              </w:rPr>
              <w:t>；归属于母公司所有者的净利润</w:t>
            </w:r>
            <w:r>
              <w:rPr>
                <w:rFonts w:ascii="Times New Roman" w:eastAsia="宋体" w:hAnsi="Times New Roman" w:cs="Times New Roman"/>
                <w:sz w:val="24"/>
                <w:szCs w:val="24"/>
              </w:rPr>
              <w:t>17,120.65</w:t>
            </w:r>
            <w:r>
              <w:rPr>
                <w:rFonts w:ascii="Times New Roman" w:eastAsia="宋体" w:hAnsi="Times New Roman" w:cs="Times New Roman"/>
                <w:sz w:val="24"/>
                <w:szCs w:val="24"/>
              </w:rPr>
              <w:t>万元，同比增加</w:t>
            </w:r>
            <w:r>
              <w:rPr>
                <w:rFonts w:ascii="Times New Roman" w:eastAsia="宋体" w:hAnsi="Times New Roman" w:cs="Times New Roman"/>
                <w:sz w:val="24"/>
                <w:szCs w:val="24"/>
              </w:rPr>
              <w:t>17.55%</w:t>
            </w:r>
            <w:r>
              <w:rPr>
                <w:rFonts w:ascii="Times New Roman" w:eastAsia="宋体" w:hAnsi="Times New Roman" w:cs="Times New Roman"/>
                <w:sz w:val="24"/>
                <w:szCs w:val="24"/>
              </w:rPr>
              <w:t>；归属于母公司所有者的扣除非经常性损益后的净利润</w:t>
            </w:r>
            <w:r>
              <w:rPr>
                <w:rFonts w:ascii="Times New Roman" w:eastAsia="宋体" w:hAnsi="Times New Roman" w:cs="Times New Roman"/>
                <w:sz w:val="24"/>
                <w:szCs w:val="24"/>
              </w:rPr>
              <w:t>15,024.03</w:t>
            </w:r>
            <w:r>
              <w:rPr>
                <w:rFonts w:ascii="Times New Roman" w:eastAsia="宋体" w:hAnsi="Times New Roman" w:cs="Times New Roman"/>
                <w:sz w:val="24"/>
                <w:szCs w:val="24"/>
              </w:rPr>
              <w:t>万元，同比增加</w:t>
            </w:r>
            <w:r>
              <w:rPr>
                <w:rFonts w:ascii="Times New Roman" w:eastAsia="宋体" w:hAnsi="Times New Roman" w:cs="Times New Roman"/>
                <w:sz w:val="24"/>
                <w:szCs w:val="24"/>
              </w:rPr>
              <w:t>15.38%</w:t>
            </w:r>
            <w:r>
              <w:rPr>
                <w:rFonts w:ascii="Times New Roman" w:eastAsia="宋体" w:hAnsi="Times New Roman" w:cs="Times New Roman"/>
                <w:sz w:val="24"/>
                <w:szCs w:val="24"/>
              </w:rPr>
              <w:t>，公司整体盈利规模持续提升。但是公司利润指标增速低于营业收入增速，主要系多项因素叠加影响所致，具体如下：（</w:t>
            </w:r>
            <w:r>
              <w:rPr>
                <w:rFonts w:ascii="Times New Roman" w:eastAsia="宋体" w:hAnsi="Times New Roman" w:cs="Times New Roman"/>
                <w:sz w:val="24"/>
                <w:szCs w:val="24"/>
              </w:rPr>
              <w:t>1</w:t>
            </w:r>
            <w:r>
              <w:rPr>
                <w:rFonts w:ascii="Times New Roman" w:eastAsia="宋体" w:hAnsi="Times New Roman" w:cs="Times New Roman"/>
                <w:sz w:val="24"/>
                <w:szCs w:val="24"/>
              </w:rPr>
              <w:t>）本期母公司特种功能材料等相关业务收入较去年同期增长</w:t>
            </w:r>
            <w:r>
              <w:rPr>
                <w:rFonts w:ascii="Times New Roman" w:eastAsia="宋体" w:hAnsi="Times New Roman" w:cs="Times New Roman"/>
                <w:sz w:val="24"/>
                <w:szCs w:val="24"/>
              </w:rPr>
              <w:t>20.50%</w:t>
            </w:r>
            <w:r>
              <w:rPr>
                <w:rFonts w:ascii="Times New Roman" w:eastAsia="宋体" w:hAnsi="Times New Roman" w:cs="Times New Roman"/>
                <w:sz w:val="24"/>
                <w:szCs w:val="24"/>
              </w:rPr>
              <w:t>，净利润较去年同期增长</w:t>
            </w:r>
            <w:r>
              <w:rPr>
                <w:rFonts w:ascii="Times New Roman" w:eastAsia="宋体" w:hAnsi="Times New Roman" w:cs="Times New Roman"/>
                <w:sz w:val="24"/>
                <w:szCs w:val="24"/>
              </w:rPr>
              <w:t>22.11%</w:t>
            </w:r>
            <w:r>
              <w:rPr>
                <w:rFonts w:ascii="Times New Roman" w:eastAsia="宋体" w:hAnsi="Times New Roman" w:cs="Times New Roman"/>
                <w:sz w:val="24"/>
                <w:szCs w:val="24"/>
              </w:rPr>
              <w:t>。子公司相关业务收入较去年同期增长较为明显，但由于子公司当前</w:t>
            </w:r>
            <w:r>
              <w:rPr>
                <w:rFonts w:ascii="Times New Roman" w:eastAsia="宋体" w:hAnsi="Times New Roman" w:cs="Times New Roman" w:hint="eastAsia"/>
                <w:sz w:val="24"/>
                <w:szCs w:val="24"/>
              </w:rPr>
              <w:t>处于业务扩张或产能爬坡阶段，试运行成本及未达产产线的运营成本较高，导致投入与当期收益暂时不匹配，部分子公司尚未实现盈利，对公司整体盈利水平形成阶段性压力。（</w:t>
            </w:r>
            <w:r>
              <w:rPr>
                <w:rFonts w:ascii="Times New Roman" w:eastAsia="宋体" w:hAnsi="Times New Roman" w:cs="Times New Roman"/>
                <w:sz w:val="24"/>
                <w:szCs w:val="24"/>
              </w:rPr>
              <w:t>2</w:t>
            </w:r>
            <w:r>
              <w:rPr>
                <w:rFonts w:ascii="Times New Roman" w:eastAsia="宋体" w:hAnsi="Times New Roman" w:cs="Times New Roman"/>
                <w:sz w:val="24"/>
                <w:szCs w:val="24"/>
              </w:rPr>
              <w:t>）公司本期实施限制性股票激励计划，确认股份支付费用</w:t>
            </w:r>
            <w:r>
              <w:rPr>
                <w:rFonts w:ascii="Times New Roman" w:eastAsia="宋体" w:hAnsi="Times New Roman" w:cs="Times New Roman"/>
                <w:sz w:val="24"/>
                <w:szCs w:val="24"/>
              </w:rPr>
              <w:t>956.97</w:t>
            </w:r>
            <w:r>
              <w:rPr>
                <w:rFonts w:ascii="Times New Roman" w:eastAsia="宋体" w:hAnsi="Times New Roman" w:cs="Times New Roman"/>
                <w:sz w:val="24"/>
                <w:szCs w:val="24"/>
              </w:rPr>
              <w:t>万元，对当期利润形成一定影响。（</w:t>
            </w:r>
            <w:r>
              <w:rPr>
                <w:rFonts w:ascii="Times New Roman" w:eastAsia="宋体" w:hAnsi="Times New Roman" w:cs="Times New Roman"/>
                <w:sz w:val="24"/>
                <w:szCs w:val="24"/>
              </w:rPr>
              <w:t>3</w:t>
            </w:r>
            <w:r>
              <w:rPr>
                <w:rFonts w:ascii="Times New Roman" w:eastAsia="宋体" w:hAnsi="Times New Roman" w:cs="Times New Roman"/>
                <w:sz w:val="24"/>
                <w:szCs w:val="24"/>
              </w:rPr>
              <w:t>）由于公司整体规模的扩张，人员费用、固定资产折旧、研发费用、管理费用等较去年同期增加。</w:t>
            </w:r>
          </w:p>
          <w:p w14:paraId="6D81823D" w14:textId="77777777" w:rsidR="00845AE5" w:rsidRDefault="00884B05">
            <w:pPr>
              <w:pStyle w:val="TableParagraph"/>
              <w:spacing w:beforeLines="50" w:before="120" w:afterLines="50" w:after="120" w:line="360" w:lineRule="auto"/>
              <w:ind w:firstLineChars="200" w:firstLine="480"/>
              <w:jc w:val="both"/>
              <w:rPr>
                <w:rFonts w:ascii="Times New Roman" w:eastAsia="宋体" w:hAnsi="Times New Roman" w:cs="Times New Roman"/>
                <w:sz w:val="24"/>
                <w:szCs w:val="24"/>
              </w:rPr>
            </w:pPr>
            <w:r>
              <w:rPr>
                <w:rFonts w:ascii="Times New Roman" w:eastAsia="宋体" w:hAnsi="Times New Roman" w:cs="Times New Roman" w:hint="eastAsia"/>
                <w:sz w:val="24"/>
                <w:szCs w:val="24"/>
              </w:rPr>
              <w:t>项目投资建设固定资产折旧、研发费用随着公司规模增加，子公司产能爬坡阶段投入与收益不匹配等，对公司短期盈利水平带来阶段性压力，但长期来看，公司在各业务领域的产能布局将有效支撑公司未来业务规模扩张与产品矩阵优化，随着后续各产线产能逐步释放、规模效应逐步显现，将对公司长期盈利能力形成正向支撑。</w:t>
            </w:r>
          </w:p>
          <w:p w14:paraId="22F64FC9" w14:textId="77777777" w:rsidR="00845AE5" w:rsidRDefault="00884B05">
            <w:pPr>
              <w:pStyle w:val="TableParagraph"/>
              <w:spacing w:beforeLines="50" w:before="120" w:afterLines="50" w:after="120" w:line="360" w:lineRule="auto"/>
              <w:ind w:firstLineChars="200" w:firstLine="482"/>
              <w:jc w:val="both"/>
              <w:rPr>
                <w:rFonts w:ascii="Times New Roman" w:eastAsia="宋体" w:hAnsi="Times New Roman" w:cs="Times New Roman"/>
                <w:b/>
                <w:sz w:val="24"/>
                <w:szCs w:val="24"/>
              </w:rPr>
            </w:pPr>
            <w:r>
              <w:rPr>
                <w:rFonts w:ascii="Times New Roman" w:eastAsia="宋体" w:hAnsi="Times New Roman" w:cs="Times New Roman" w:hint="eastAsia"/>
                <w:b/>
                <w:sz w:val="24"/>
                <w:szCs w:val="24"/>
              </w:rPr>
              <w:t>8</w:t>
            </w:r>
            <w:r>
              <w:rPr>
                <w:rFonts w:ascii="Times New Roman" w:eastAsia="宋体" w:hAnsi="Times New Roman" w:cs="Times New Roman"/>
                <w:b/>
                <w:sz w:val="24"/>
                <w:szCs w:val="24"/>
              </w:rPr>
              <w:t>.</w:t>
            </w:r>
            <w:r>
              <w:rPr>
                <w:rFonts w:ascii="Times New Roman" w:eastAsia="宋体" w:hAnsi="Times New Roman" w:cs="Times New Roman" w:hint="eastAsia"/>
                <w:b/>
                <w:sz w:val="24"/>
                <w:szCs w:val="24"/>
              </w:rPr>
              <w:t>公司各业务毛利率如何，后续提升空间如何？</w:t>
            </w:r>
          </w:p>
          <w:p w14:paraId="048454DD" w14:textId="77777777" w:rsidR="00845AE5" w:rsidRDefault="00884B05">
            <w:pPr>
              <w:pStyle w:val="TableParagraph"/>
              <w:spacing w:beforeLines="50" w:before="120" w:afterLines="50" w:after="120" w:line="360" w:lineRule="auto"/>
              <w:ind w:firstLineChars="200" w:firstLine="480"/>
              <w:jc w:val="both"/>
              <w:rPr>
                <w:rFonts w:ascii="Times New Roman" w:eastAsia="宋体" w:hAnsi="Times New Roman" w:cs="Times New Roman"/>
                <w:sz w:val="24"/>
                <w:szCs w:val="24"/>
              </w:rPr>
            </w:pPr>
            <w:r>
              <w:rPr>
                <w:rFonts w:ascii="Times New Roman" w:eastAsia="宋体" w:hAnsi="Times New Roman" w:cs="Times New Roman" w:hint="eastAsia"/>
                <w:sz w:val="24"/>
                <w:szCs w:val="24"/>
              </w:rPr>
              <w:t>答：公司本部毛利率整体稳定且</w:t>
            </w:r>
            <w:r>
              <w:rPr>
                <w:rFonts w:ascii="Times New Roman" w:eastAsia="宋体" w:hAnsi="Times New Roman" w:cs="Times New Roman"/>
                <w:sz w:val="24"/>
                <w:szCs w:val="24"/>
              </w:rPr>
              <w:t>2026</w:t>
            </w:r>
            <w:r>
              <w:rPr>
                <w:rFonts w:ascii="Times New Roman" w:eastAsia="宋体" w:hAnsi="Times New Roman" w:cs="Times New Roman"/>
                <w:sz w:val="24"/>
                <w:szCs w:val="24"/>
              </w:rPr>
              <w:t>年半年度毛利率较</w:t>
            </w:r>
            <w:r>
              <w:rPr>
                <w:rFonts w:ascii="Times New Roman" w:eastAsia="宋体" w:hAnsi="Times New Roman" w:cs="Times New Roman"/>
                <w:sz w:val="24"/>
                <w:szCs w:val="24"/>
              </w:rPr>
              <w:t>2025</w:t>
            </w:r>
            <w:r>
              <w:rPr>
                <w:rFonts w:ascii="Times New Roman" w:eastAsia="宋体" w:hAnsi="Times New Roman" w:cs="Times New Roman"/>
                <w:sz w:val="24"/>
                <w:szCs w:val="24"/>
              </w:rPr>
              <w:t>年度呈小幅上升趋势，控股子公司华秦智造</w:t>
            </w:r>
            <w:r>
              <w:rPr>
                <w:rFonts w:ascii="Times New Roman" w:eastAsia="宋体" w:hAnsi="Times New Roman" w:cs="Times New Roman"/>
                <w:sz w:val="24"/>
                <w:szCs w:val="24"/>
              </w:rPr>
              <w:t>2026</w:t>
            </w:r>
            <w:r>
              <w:rPr>
                <w:rFonts w:ascii="Times New Roman" w:eastAsia="宋体" w:hAnsi="Times New Roman" w:cs="Times New Roman"/>
                <w:sz w:val="24"/>
                <w:szCs w:val="24"/>
              </w:rPr>
              <w:t>年半年度毛利率也较</w:t>
            </w:r>
            <w:r>
              <w:rPr>
                <w:rFonts w:ascii="Times New Roman" w:eastAsia="宋体" w:hAnsi="Times New Roman" w:cs="Times New Roman"/>
                <w:sz w:val="24"/>
                <w:szCs w:val="24"/>
              </w:rPr>
              <w:t>2025</w:t>
            </w:r>
            <w:r>
              <w:rPr>
                <w:rFonts w:ascii="Times New Roman" w:eastAsia="宋体" w:hAnsi="Times New Roman" w:cs="Times New Roman"/>
                <w:sz w:val="24"/>
                <w:szCs w:val="24"/>
              </w:rPr>
              <w:t>年度有所上升。随着各控股子公司市场应用拓展深化、生产规模不断扩大，规模效应将日渐凸显，毛利率也将企稳回升。</w:t>
            </w:r>
          </w:p>
          <w:p w14:paraId="47C04C81" w14:textId="4D885048" w:rsidR="00845AE5" w:rsidRDefault="00884B05">
            <w:pPr>
              <w:pStyle w:val="TableParagraph"/>
              <w:spacing w:beforeLines="50" w:before="120" w:afterLines="50" w:after="120" w:line="360" w:lineRule="auto"/>
              <w:ind w:firstLineChars="200" w:firstLine="480"/>
              <w:jc w:val="both"/>
              <w:rPr>
                <w:rFonts w:ascii="Times New Roman" w:eastAsia="宋体" w:hAnsi="Times New Roman" w:cs="Times New Roman"/>
                <w:sz w:val="24"/>
                <w:szCs w:val="24"/>
              </w:rPr>
            </w:pPr>
            <w:r>
              <w:rPr>
                <w:rFonts w:ascii="Times New Roman" w:eastAsia="宋体" w:hAnsi="Times New Roman" w:cs="Times New Roman" w:hint="eastAsia"/>
                <w:sz w:val="24"/>
                <w:szCs w:val="24"/>
              </w:rPr>
              <w:t>公司目前已形成本部特种功能材料产品及服务、华秦</w:t>
            </w:r>
            <w:r w:rsidR="00476ED4">
              <w:rPr>
                <w:rFonts w:ascii="Times New Roman" w:eastAsia="宋体" w:hAnsi="Times New Roman" w:cs="Times New Roman" w:hint="eastAsia"/>
                <w:sz w:val="24"/>
                <w:szCs w:val="24"/>
              </w:rPr>
              <w:t>智造</w:t>
            </w:r>
            <w:r>
              <w:rPr>
                <w:rFonts w:ascii="Times New Roman" w:eastAsia="宋体" w:hAnsi="Times New Roman" w:cs="Times New Roman" w:hint="eastAsia"/>
                <w:sz w:val="24"/>
                <w:szCs w:val="24"/>
              </w:rPr>
              <w:t>航天航空零部件智能加工与制造、华秦光声声学超材料及声学仪器、上海瑞华晟航空航天用陶瓷基复合材料、安徽汉正超细晶零部件</w:t>
            </w:r>
            <w:r>
              <w:rPr>
                <w:rFonts w:ascii="Times New Roman" w:eastAsia="宋体" w:hAnsi="Times New Roman" w:cs="Times New Roman" w:hint="eastAsia"/>
                <w:sz w:val="24"/>
                <w:szCs w:val="24"/>
              </w:rPr>
              <w:lastRenderedPageBreak/>
              <w:t>生产制造五大业务主体；产品体系已涵盖了多种关键新材料，包括特种功能材料、碳纤维增强复合材料、特种陶瓷基复合材料、轻质高强金属及其复合材料、高性能树脂材料、声学超材料、超细晶高温合金</w:t>
            </w:r>
            <w:r>
              <w:rPr>
                <w:rFonts w:ascii="Times New Roman" w:eastAsia="宋体" w:hAnsi="Times New Roman" w:cs="Times New Roman"/>
                <w:sz w:val="24"/>
                <w:szCs w:val="24"/>
              </w:rPr>
              <w:t>/</w:t>
            </w:r>
            <w:r>
              <w:rPr>
                <w:rFonts w:ascii="Times New Roman" w:eastAsia="宋体" w:hAnsi="Times New Roman" w:cs="Times New Roman"/>
                <w:sz w:val="24"/>
                <w:szCs w:val="24"/>
              </w:rPr>
              <w:t>钛合金材料等；同时，公司可以根据多年的技术积累为客户提供整体材料设计方案，从需求拆解、方案构思到材料供给，精准对接客户需求，为客户提供综合的解决方案。公司聚焦主业，</w:t>
            </w:r>
            <w:r>
              <w:rPr>
                <w:rFonts w:ascii="Times New Roman" w:eastAsia="宋体" w:hAnsi="Times New Roman" w:cs="Times New Roman" w:hint="eastAsia"/>
                <w:sz w:val="24"/>
                <w:szCs w:val="24"/>
              </w:rPr>
              <w:t>立足客户需求，不断拓展产品应用场景，加速研发成果向产品转化；并持续优化生产流程，提升产线运转与资源利用效率，降本增效，提升盈利能力。</w:t>
            </w:r>
          </w:p>
          <w:p w14:paraId="084A852A" w14:textId="77777777" w:rsidR="00845AE5" w:rsidRDefault="00884B05">
            <w:pPr>
              <w:pStyle w:val="TableParagraph"/>
              <w:spacing w:beforeLines="50" w:before="120" w:afterLines="50" w:after="120" w:line="360" w:lineRule="auto"/>
              <w:ind w:firstLineChars="200" w:firstLine="482"/>
              <w:jc w:val="both"/>
              <w:rPr>
                <w:rFonts w:ascii="Times New Roman" w:eastAsia="宋体" w:hAnsi="Times New Roman" w:cs="Times New Roman"/>
                <w:b/>
                <w:sz w:val="24"/>
                <w:szCs w:val="24"/>
              </w:rPr>
            </w:pPr>
            <w:r>
              <w:rPr>
                <w:rFonts w:ascii="Times New Roman" w:eastAsia="宋体" w:hAnsi="Times New Roman" w:cs="Times New Roman"/>
                <w:b/>
                <w:sz w:val="24"/>
                <w:szCs w:val="24"/>
              </w:rPr>
              <w:t>9.</w:t>
            </w:r>
            <w:r>
              <w:rPr>
                <w:rFonts w:ascii="Times New Roman" w:eastAsia="宋体" w:hAnsi="Times New Roman" w:cs="Times New Roman" w:hint="eastAsia"/>
                <w:b/>
                <w:sz w:val="24"/>
                <w:szCs w:val="24"/>
              </w:rPr>
              <w:t>公司前期披露的合同</w:t>
            </w:r>
            <w:r>
              <w:rPr>
                <w:rFonts w:ascii="Times New Roman" w:eastAsia="宋体" w:hAnsi="Times New Roman" w:cs="Times New Roman" w:hint="eastAsia"/>
                <w:b/>
                <w:sz w:val="24"/>
                <w:szCs w:val="24"/>
              </w:rPr>
              <w:t>/</w:t>
            </w:r>
            <w:r>
              <w:rPr>
                <w:rFonts w:ascii="Times New Roman" w:eastAsia="宋体" w:hAnsi="Times New Roman" w:cs="Times New Roman" w:hint="eastAsia"/>
                <w:b/>
                <w:sz w:val="24"/>
                <w:szCs w:val="24"/>
              </w:rPr>
              <w:t>协议的执行进展如何？</w:t>
            </w:r>
          </w:p>
          <w:p w14:paraId="59B7CFCC" w14:textId="6B7FFA83" w:rsidR="00845AE5" w:rsidRDefault="00884B05">
            <w:pPr>
              <w:pStyle w:val="TableParagraph"/>
              <w:spacing w:beforeLines="50" w:before="120" w:afterLines="50" w:after="120" w:line="360" w:lineRule="auto"/>
              <w:ind w:firstLineChars="200" w:firstLine="480"/>
              <w:jc w:val="both"/>
              <w:rPr>
                <w:rFonts w:ascii="Times New Roman" w:eastAsia="宋体" w:hAnsi="Times New Roman" w:cs="Times New Roman"/>
                <w:sz w:val="24"/>
                <w:szCs w:val="24"/>
              </w:rPr>
            </w:pPr>
            <w:r>
              <w:rPr>
                <w:rFonts w:ascii="Times New Roman" w:eastAsia="宋体" w:hAnsi="Times New Roman" w:cs="Times New Roman" w:hint="eastAsia"/>
                <w:sz w:val="24"/>
                <w:szCs w:val="24"/>
              </w:rPr>
              <w:t>答：公司</w:t>
            </w:r>
            <w:r>
              <w:rPr>
                <w:rFonts w:ascii="Times New Roman" w:eastAsia="宋体" w:hAnsi="Times New Roman" w:cs="Times New Roman"/>
                <w:sz w:val="24"/>
                <w:szCs w:val="24"/>
              </w:rPr>
              <w:t>2025</w:t>
            </w:r>
            <w:r>
              <w:rPr>
                <w:rFonts w:ascii="Times New Roman" w:eastAsia="宋体" w:hAnsi="Times New Roman" w:cs="Times New Roman"/>
                <w:sz w:val="24"/>
                <w:szCs w:val="24"/>
              </w:rPr>
              <w:t>年</w:t>
            </w:r>
            <w:r>
              <w:rPr>
                <w:rFonts w:ascii="Times New Roman" w:eastAsia="宋体" w:hAnsi="Times New Roman" w:cs="Times New Roman"/>
                <w:sz w:val="24"/>
                <w:szCs w:val="24"/>
              </w:rPr>
              <w:t>12</w:t>
            </w:r>
            <w:r>
              <w:rPr>
                <w:rFonts w:ascii="Times New Roman" w:eastAsia="宋体" w:hAnsi="Times New Roman" w:cs="Times New Roman"/>
                <w:sz w:val="24"/>
                <w:szCs w:val="24"/>
              </w:rPr>
              <w:t>月至</w:t>
            </w:r>
            <w:r>
              <w:rPr>
                <w:rFonts w:ascii="Times New Roman" w:eastAsia="宋体" w:hAnsi="Times New Roman" w:cs="Times New Roman"/>
                <w:sz w:val="24"/>
                <w:szCs w:val="24"/>
              </w:rPr>
              <w:t>2026</w:t>
            </w:r>
            <w:r>
              <w:rPr>
                <w:rFonts w:ascii="Times New Roman" w:eastAsia="宋体" w:hAnsi="Times New Roman" w:cs="Times New Roman"/>
                <w:sz w:val="24"/>
                <w:szCs w:val="24"/>
              </w:rPr>
              <w:t>年</w:t>
            </w:r>
            <w:r>
              <w:rPr>
                <w:rFonts w:ascii="Times New Roman" w:eastAsia="宋体" w:hAnsi="Times New Roman" w:cs="Times New Roman"/>
                <w:sz w:val="24"/>
                <w:szCs w:val="24"/>
              </w:rPr>
              <w:t>7</w:t>
            </w:r>
            <w:r>
              <w:rPr>
                <w:rFonts w:ascii="Times New Roman" w:eastAsia="宋体" w:hAnsi="Times New Roman" w:cs="Times New Roman"/>
                <w:sz w:val="24"/>
                <w:szCs w:val="24"/>
              </w:rPr>
              <w:t>月共披露</w:t>
            </w:r>
            <w:r>
              <w:rPr>
                <w:rFonts w:ascii="Times New Roman" w:eastAsia="宋体" w:hAnsi="Times New Roman" w:cs="Times New Roman" w:hint="eastAsia"/>
                <w:sz w:val="24"/>
                <w:szCs w:val="24"/>
              </w:rPr>
              <w:t>六</w:t>
            </w:r>
            <w:r>
              <w:rPr>
                <w:rFonts w:ascii="Times New Roman" w:eastAsia="宋体" w:hAnsi="Times New Roman" w:cs="Times New Roman"/>
                <w:sz w:val="24"/>
                <w:szCs w:val="24"/>
              </w:rPr>
              <w:t>份日常经营合同公告，其中本部航空器机身用特种功能材料合同总金额</w:t>
            </w:r>
            <w:r>
              <w:rPr>
                <w:rFonts w:ascii="Times New Roman" w:eastAsia="宋体" w:hAnsi="Times New Roman" w:cs="Times New Roman"/>
                <w:sz w:val="24"/>
                <w:szCs w:val="24"/>
              </w:rPr>
              <w:t>2.54</w:t>
            </w:r>
            <w:r>
              <w:rPr>
                <w:rFonts w:ascii="Times New Roman" w:eastAsia="宋体" w:hAnsi="Times New Roman" w:cs="Times New Roman"/>
                <w:sz w:val="24"/>
                <w:szCs w:val="24"/>
              </w:rPr>
              <w:t>亿元、控股子公司华秦</w:t>
            </w:r>
            <w:r w:rsidR="00E47997">
              <w:rPr>
                <w:rFonts w:ascii="Times New Roman" w:eastAsia="宋体" w:hAnsi="Times New Roman" w:cs="Times New Roman" w:hint="eastAsia"/>
                <w:sz w:val="24"/>
                <w:szCs w:val="24"/>
              </w:rPr>
              <w:t>智造</w:t>
            </w:r>
            <w:r>
              <w:rPr>
                <w:rFonts w:ascii="Times New Roman" w:eastAsia="宋体" w:hAnsi="Times New Roman" w:cs="Times New Roman"/>
                <w:sz w:val="24"/>
                <w:szCs w:val="24"/>
              </w:rPr>
              <w:t>航空发动机零部件加工合同总金额</w:t>
            </w:r>
            <w:r>
              <w:rPr>
                <w:rFonts w:ascii="Times New Roman" w:eastAsia="宋体" w:hAnsi="Times New Roman" w:cs="Times New Roman"/>
                <w:sz w:val="24"/>
                <w:szCs w:val="24"/>
              </w:rPr>
              <w:t>3.9</w:t>
            </w:r>
            <w:r>
              <w:rPr>
                <w:rFonts w:ascii="Times New Roman" w:eastAsia="宋体" w:hAnsi="Times New Roman" w:cs="Times New Roman"/>
                <w:sz w:val="24"/>
                <w:szCs w:val="24"/>
              </w:rPr>
              <w:t>亿元、本部航空发动机用特种功能材料合同总金额</w:t>
            </w:r>
            <w:r>
              <w:rPr>
                <w:rFonts w:ascii="Times New Roman" w:eastAsia="宋体" w:hAnsi="Times New Roman" w:cs="Times New Roman"/>
                <w:sz w:val="24"/>
                <w:szCs w:val="24"/>
              </w:rPr>
              <w:t>3.28</w:t>
            </w:r>
            <w:r>
              <w:rPr>
                <w:rFonts w:ascii="Times New Roman" w:eastAsia="宋体" w:hAnsi="Times New Roman" w:cs="Times New Roman"/>
                <w:sz w:val="24"/>
                <w:szCs w:val="24"/>
              </w:rPr>
              <w:t>亿元、本部航空发动机用特种功能材料合同总金额</w:t>
            </w:r>
            <w:r>
              <w:rPr>
                <w:rFonts w:ascii="Times New Roman" w:eastAsia="宋体" w:hAnsi="Times New Roman" w:cs="Times New Roman"/>
                <w:sz w:val="24"/>
                <w:szCs w:val="24"/>
              </w:rPr>
              <w:t>1.03</w:t>
            </w:r>
            <w:r>
              <w:rPr>
                <w:rFonts w:ascii="Times New Roman" w:eastAsia="宋体" w:hAnsi="Times New Roman" w:cs="Times New Roman"/>
                <w:sz w:val="24"/>
                <w:szCs w:val="24"/>
              </w:rPr>
              <w:t>亿元、本部航空发动机用特种功能材料框架协议总金额上限</w:t>
            </w:r>
            <w:r>
              <w:rPr>
                <w:rFonts w:ascii="Times New Roman" w:eastAsia="宋体" w:hAnsi="Times New Roman" w:cs="Times New Roman"/>
                <w:sz w:val="24"/>
                <w:szCs w:val="24"/>
              </w:rPr>
              <w:t>14.80</w:t>
            </w:r>
            <w:r>
              <w:rPr>
                <w:rFonts w:ascii="Times New Roman" w:eastAsia="宋体" w:hAnsi="Times New Roman" w:cs="Times New Roman"/>
                <w:sz w:val="24"/>
                <w:szCs w:val="24"/>
              </w:rPr>
              <w:t>亿元</w:t>
            </w:r>
            <w:r>
              <w:rPr>
                <w:rFonts w:ascii="Times New Roman" w:eastAsia="宋体" w:hAnsi="Times New Roman" w:cs="Times New Roman" w:hint="eastAsia"/>
                <w:sz w:val="24"/>
                <w:szCs w:val="24"/>
              </w:rPr>
              <w:t>、本部航空器机身用特种功能材料框架合同合计总限额</w:t>
            </w:r>
            <w:r>
              <w:rPr>
                <w:rFonts w:ascii="Times New Roman" w:eastAsia="宋体" w:hAnsi="Times New Roman" w:cs="Times New Roman" w:hint="eastAsia"/>
                <w:sz w:val="24"/>
                <w:szCs w:val="24"/>
              </w:rPr>
              <w:t>2</w:t>
            </w:r>
            <w:r>
              <w:rPr>
                <w:rFonts w:ascii="Times New Roman" w:eastAsia="宋体" w:hAnsi="Times New Roman" w:cs="Times New Roman"/>
                <w:sz w:val="24"/>
                <w:szCs w:val="24"/>
              </w:rPr>
              <w:t>.78</w:t>
            </w:r>
            <w:r>
              <w:rPr>
                <w:rFonts w:ascii="Times New Roman" w:eastAsia="宋体" w:hAnsi="Times New Roman" w:cs="Times New Roman" w:hint="eastAsia"/>
                <w:sz w:val="24"/>
                <w:szCs w:val="24"/>
              </w:rPr>
              <w:t>亿元</w:t>
            </w:r>
            <w:r>
              <w:rPr>
                <w:rFonts w:ascii="Times New Roman" w:eastAsia="宋体" w:hAnsi="Times New Roman" w:cs="Times New Roman"/>
                <w:sz w:val="24"/>
                <w:szCs w:val="24"/>
              </w:rPr>
              <w:t>。合同详情请见公司于</w:t>
            </w:r>
            <w:r>
              <w:rPr>
                <w:rFonts w:ascii="Times New Roman" w:eastAsia="宋体" w:hAnsi="Times New Roman" w:cs="Times New Roman" w:hint="eastAsia"/>
                <w:sz w:val="24"/>
                <w:szCs w:val="24"/>
              </w:rPr>
              <w:t>上海证券交易所披露的公告（公告编号：</w:t>
            </w:r>
            <w:r>
              <w:rPr>
                <w:rFonts w:ascii="Times New Roman" w:eastAsia="宋体" w:hAnsi="Times New Roman" w:cs="Times New Roman"/>
                <w:sz w:val="24"/>
                <w:szCs w:val="24"/>
              </w:rPr>
              <w:t>2025-042</w:t>
            </w:r>
            <w:r>
              <w:rPr>
                <w:rFonts w:ascii="Times New Roman" w:eastAsia="宋体" w:hAnsi="Times New Roman" w:cs="Times New Roman"/>
                <w:sz w:val="24"/>
                <w:szCs w:val="24"/>
              </w:rPr>
              <w:t>、</w:t>
            </w:r>
            <w:r>
              <w:rPr>
                <w:rFonts w:ascii="Times New Roman" w:eastAsia="宋体" w:hAnsi="Times New Roman" w:cs="Times New Roman"/>
                <w:sz w:val="24"/>
                <w:szCs w:val="24"/>
              </w:rPr>
              <w:t>2025-044</w:t>
            </w:r>
            <w:r>
              <w:rPr>
                <w:rFonts w:ascii="Times New Roman" w:eastAsia="宋体" w:hAnsi="Times New Roman" w:cs="Times New Roman"/>
                <w:sz w:val="24"/>
                <w:szCs w:val="24"/>
              </w:rPr>
              <w:t>、</w:t>
            </w:r>
            <w:r>
              <w:rPr>
                <w:rFonts w:ascii="Times New Roman" w:eastAsia="宋体" w:hAnsi="Times New Roman" w:cs="Times New Roman"/>
                <w:sz w:val="24"/>
                <w:szCs w:val="24"/>
              </w:rPr>
              <w:t>2026-004</w:t>
            </w:r>
            <w:r>
              <w:rPr>
                <w:rFonts w:ascii="Times New Roman" w:eastAsia="宋体" w:hAnsi="Times New Roman" w:cs="Times New Roman"/>
                <w:sz w:val="24"/>
                <w:szCs w:val="24"/>
              </w:rPr>
              <w:t>、</w:t>
            </w:r>
            <w:r>
              <w:rPr>
                <w:rFonts w:ascii="Times New Roman" w:eastAsia="宋体" w:hAnsi="Times New Roman" w:cs="Times New Roman"/>
                <w:sz w:val="24"/>
                <w:szCs w:val="24"/>
              </w:rPr>
              <w:t>2026-008</w:t>
            </w:r>
            <w:r>
              <w:rPr>
                <w:rFonts w:ascii="Times New Roman" w:eastAsia="宋体" w:hAnsi="Times New Roman" w:cs="Times New Roman"/>
                <w:sz w:val="24"/>
                <w:szCs w:val="24"/>
              </w:rPr>
              <w:t>、</w:t>
            </w:r>
            <w:r>
              <w:rPr>
                <w:rFonts w:ascii="Times New Roman" w:eastAsia="宋体" w:hAnsi="Times New Roman" w:cs="Times New Roman"/>
                <w:sz w:val="24"/>
                <w:szCs w:val="24"/>
              </w:rPr>
              <w:t>2026-022</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w:t>
            </w:r>
            <w:r>
              <w:rPr>
                <w:rFonts w:ascii="Times New Roman" w:eastAsia="宋体" w:hAnsi="Times New Roman" w:cs="Times New Roman"/>
                <w:sz w:val="24"/>
                <w:szCs w:val="24"/>
              </w:rPr>
              <w:t>026-034</w:t>
            </w:r>
            <w:r>
              <w:rPr>
                <w:rFonts w:ascii="Times New Roman" w:eastAsia="宋体" w:hAnsi="Times New Roman" w:cs="Times New Roman"/>
                <w:sz w:val="24"/>
                <w:szCs w:val="24"/>
              </w:rPr>
              <w:t>）。</w:t>
            </w:r>
          </w:p>
          <w:p w14:paraId="695CF718" w14:textId="77777777" w:rsidR="00845AE5" w:rsidRDefault="00884B05">
            <w:pPr>
              <w:pStyle w:val="TableParagraph"/>
              <w:spacing w:beforeLines="50" w:before="120" w:afterLines="50" w:after="120" w:line="360" w:lineRule="auto"/>
              <w:ind w:firstLineChars="200" w:firstLine="480"/>
              <w:jc w:val="both"/>
              <w:rPr>
                <w:rFonts w:ascii="Times New Roman" w:eastAsia="宋体" w:hAnsi="Times New Roman" w:cs="Times New Roman"/>
                <w:sz w:val="24"/>
                <w:szCs w:val="24"/>
              </w:rPr>
            </w:pPr>
            <w:r>
              <w:rPr>
                <w:rFonts w:ascii="Times New Roman" w:eastAsia="宋体" w:hAnsi="Times New Roman" w:cs="Times New Roman"/>
                <w:sz w:val="24"/>
                <w:szCs w:val="24"/>
              </w:rPr>
              <w:t>上述合同正常履行中，公司严格按照客户要求的时间节点或客户下发的工序外包订单进行交付。</w:t>
            </w:r>
          </w:p>
          <w:p w14:paraId="019346BD" w14:textId="77777777" w:rsidR="00845AE5" w:rsidRDefault="00884B05">
            <w:pPr>
              <w:pStyle w:val="TableParagraph"/>
              <w:spacing w:beforeLines="50" w:before="120" w:afterLines="50" w:after="120" w:line="360" w:lineRule="auto"/>
              <w:ind w:firstLineChars="200" w:firstLine="482"/>
              <w:jc w:val="both"/>
              <w:rPr>
                <w:rFonts w:ascii="Times New Roman" w:eastAsia="宋体" w:hAnsi="Times New Roman" w:cs="Times New Roman"/>
                <w:b/>
                <w:sz w:val="24"/>
                <w:szCs w:val="24"/>
              </w:rPr>
            </w:pPr>
            <w:r>
              <w:rPr>
                <w:rFonts w:ascii="Times New Roman" w:eastAsia="宋体" w:hAnsi="Times New Roman" w:cs="Times New Roman" w:hint="eastAsia"/>
                <w:b/>
                <w:sz w:val="24"/>
                <w:szCs w:val="24"/>
              </w:rPr>
              <w:t>1</w:t>
            </w:r>
            <w:r>
              <w:rPr>
                <w:rFonts w:ascii="Times New Roman" w:eastAsia="宋体" w:hAnsi="Times New Roman" w:cs="Times New Roman"/>
                <w:b/>
                <w:sz w:val="24"/>
                <w:szCs w:val="24"/>
              </w:rPr>
              <w:t>0</w:t>
            </w:r>
            <w:r>
              <w:rPr>
                <w:rFonts w:ascii="Times New Roman" w:eastAsia="宋体" w:hAnsi="Times New Roman" w:cs="Times New Roman" w:hint="eastAsia"/>
                <w:b/>
                <w:sz w:val="24"/>
                <w:szCs w:val="24"/>
              </w:rPr>
              <w:t>.</w:t>
            </w:r>
            <w:r>
              <w:rPr>
                <w:rFonts w:ascii="Times New Roman" w:eastAsia="宋体" w:hAnsi="Times New Roman" w:cs="Times New Roman" w:hint="eastAsia"/>
                <w:b/>
                <w:sz w:val="24"/>
                <w:szCs w:val="24"/>
              </w:rPr>
              <w:t>公司预计</w:t>
            </w:r>
            <w:r>
              <w:rPr>
                <w:rFonts w:ascii="Times New Roman" w:eastAsia="宋体" w:hAnsi="Times New Roman" w:cs="Times New Roman" w:hint="eastAsia"/>
                <w:b/>
                <w:sz w:val="24"/>
                <w:szCs w:val="24"/>
              </w:rPr>
              <w:t>2</w:t>
            </w:r>
            <w:r>
              <w:rPr>
                <w:rFonts w:ascii="Times New Roman" w:eastAsia="宋体" w:hAnsi="Times New Roman" w:cs="Times New Roman"/>
                <w:b/>
                <w:sz w:val="24"/>
                <w:szCs w:val="24"/>
              </w:rPr>
              <w:t>026</w:t>
            </w:r>
            <w:r>
              <w:rPr>
                <w:rFonts w:ascii="Times New Roman" w:eastAsia="宋体" w:hAnsi="Times New Roman" w:cs="Times New Roman" w:hint="eastAsia"/>
                <w:b/>
                <w:sz w:val="24"/>
                <w:szCs w:val="24"/>
              </w:rPr>
              <w:t>年全年业务情况如何？</w:t>
            </w:r>
          </w:p>
          <w:p w14:paraId="44783138" w14:textId="5D75F872" w:rsidR="00845AE5" w:rsidRDefault="00884B05">
            <w:pPr>
              <w:pStyle w:val="TableParagraph"/>
              <w:spacing w:beforeLines="50" w:before="120" w:afterLines="50" w:after="120" w:line="360" w:lineRule="auto"/>
              <w:ind w:firstLineChars="200" w:firstLine="480"/>
              <w:jc w:val="both"/>
              <w:rPr>
                <w:rFonts w:ascii="Times New Roman" w:eastAsia="宋体" w:hAnsi="Times New Roman" w:cs="Times New Roman"/>
                <w:sz w:val="24"/>
                <w:szCs w:val="24"/>
              </w:rPr>
            </w:pPr>
            <w:r>
              <w:rPr>
                <w:rFonts w:ascii="Times New Roman" w:eastAsia="宋体" w:hAnsi="Times New Roman" w:cs="Times New Roman" w:hint="eastAsia"/>
                <w:sz w:val="24"/>
                <w:szCs w:val="24"/>
              </w:rPr>
              <w:t>答：公司持续落实“一核两翼”战略规划布局，以航空发动机为核心，通过本部及子公司业务及产品的拓展，进一步夯实公司在航空发动机领域关键材料供应商的市场地位；公司同时拓展航空</w:t>
            </w:r>
            <w:r>
              <w:rPr>
                <w:rFonts w:ascii="Times New Roman" w:eastAsia="宋体" w:hAnsi="Times New Roman" w:cs="Times New Roman"/>
                <w:sz w:val="24"/>
                <w:szCs w:val="24"/>
              </w:rPr>
              <w:t>/</w:t>
            </w:r>
            <w:r>
              <w:rPr>
                <w:rFonts w:ascii="Times New Roman" w:eastAsia="宋体" w:hAnsi="Times New Roman" w:cs="Times New Roman"/>
                <w:sz w:val="24"/>
                <w:szCs w:val="24"/>
              </w:rPr>
              <w:t>航天器机身特种功能材料以及其他高端制造领域关键核心材料产品供应</w:t>
            </w:r>
            <w:r>
              <w:rPr>
                <w:rFonts w:ascii="Times New Roman" w:eastAsia="宋体" w:hAnsi="Times New Roman" w:cs="Times New Roman" w:hint="eastAsia"/>
                <w:sz w:val="24"/>
                <w:szCs w:val="24"/>
              </w:rPr>
              <w:t>；从单一特种功能材料供应商向航空航天先进材料综合服务商迈进。公司持续在全温域特种功能材料、多频谱兼容特</w:t>
            </w:r>
            <w:r>
              <w:rPr>
                <w:rFonts w:ascii="Times New Roman" w:eastAsia="宋体" w:hAnsi="Times New Roman" w:cs="Times New Roman" w:hint="eastAsia"/>
                <w:sz w:val="24"/>
                <w:szCs w:val="24"/>
              </w:rPr>
              <w:lastRenderedPageBreak/>
              <w:t>种功能材料、特种功能结构复合材料、低频特种功能材料、电磁屏蔽材料、高效热阻材料、高性能重防腐材料、伪装材料、声学超材料、陶瓷基复合材料、超细晶金属材料等领域开展研发试制工作，在研产品条线储备丰富，同时公司不断深化各产品的应用。随着公司各项业务的深化推进，将进一步扩大公司经营规模</w:t>
            </w:r>
            <w:r w:rsidR="00AC4CAB">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公司努力提升盈利能力和核心竞争力，力争用更好的业绩回报广大投资者。</w:t>
            </w:r>
          </w:p>
        </w:tc>
      </w:tr>
      <w:tr w:rsidR="00845AE5" w14:paraId="39410ED3" w14:textId="77777777">
        <w:trPr>
          <w:trHeight w:val="561"/>
          <w:jc w:val="center"/>
        </w:trPr>
        <w:tc>
          <w:tcPr>
            <w:tcW w:w="1696" w:type="dxa"/>
            <w:vAlign w:val="center"/>
          </w:tcPr>
          <w:p w14:paraId="6CE2242B" w14:textId="77777777" w:rsidR="00845AE5" w:rsidRDefault="00884B05">
            <w:pPr>
              <w:pStyle w:val="TableParagraph"/>
              <w:spacing w:beforeLines="50" w:before="120" w:afterLines="50" w:after="120"/>
              <w:ind w:left="107"/>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lastRenderedPageBreak/>
              <w:t>附件清单（如有）</w:t>
            </w:r>
          </w:p>
        </w:tc>
        <w:tc>
          <w:tcPr>
            <w:tcW w:w="6829" w:type="dxa"/>
            <w:vAlign w:val="center"/>
          </w:tcPr>
          <w:p w14:paraId="60582BAF" w14:textId="77777777" w:rsidR="00845AE5" w:rsidRDefault="00884B05">
            <w:pPr>
              <w:pStyle w:val="TableParagraph"/>
              <w:spacing w:beforeLines="50" w:before="120" w:afterLines="50" w:after="1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无</w:t>
            </w:r>
          </w:p>
        </w:tc>
      </w:tr>
      <w:tr w:rsidR="00845AE5" w14:paraId="57FC14F3" w14:textId="77777777">
        <w:trPr>
          <w:trHeight w:val="561"/>
          <w:jc w:val="center"/>
        </w:trPr>
        <w:tc>
          <w:tcPr>
            <w:tcW w:w="1696" w:type="dxa"/>
            <w:vAlign w:val="center"/>
          </w:tcPr>
          <w:p w14:paraId="0291240C" w14:textId="77777777" w:rsidR="00845AE5" w:rsidRDefault="00884B05">
            <w:pPr>
              <w:pStyle w:val="TableParagraph"/>
              <w:spacing w:beforeLines="50" w:before="120" w:afterLines="50" w:after="120"/>
              <w:ind w:left="107"/>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日期</w:t>
            </w:r>
          </w:p>
        </w:tc>
        <w:tc>
          <w:tcPr>
            <w:tcW w:w="6829" w:type="dxa"/>
            <w:vAlign w:val="center"/>
          </w:tcPr>
          <w:p w14:paraId="4EE0ABA7" w14:textId="77777777" w:rsidR="00845AE5" w:rsidRDefault="00884B05">
            <w:pPr>
              <w:pStyle w:val="TableParagraph"/>
              <w:spacing w:beforeLines="50" w:before="120" w:afterLines="50" w:after="12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2026</w:t>
            </w:r>
            <w:r>
              <w:rPr>
                <w:rFonts w:ascii="Times New Roman" w:eastAsiaTheme="minorEastAsia" w:hAnsi="Times New Roman" w:cs="Times New Roman"/>
                <w:sz w:val="24"/>
                <w:szCs w:val="24"/>
              </w:rPr>
              <w:t>年</w:t>
            </w:r>
            <w:r>
              <w:rPr>
                <w:rFonts w:ascii="Times New Roman" w:eastAsiaTheme="minorEastAsia" w:hAnsi="Times New Roman" w:cs="Times New Roman"/>
                <w:sz w:val="24"/>
                <w:szCs w:val="24"/>
                <w:lang w:val="en-US"/>
              </w:rPr>
              <w:t>8</w:t>
            </w:r>
            <w:r>
              <w:rPr>
                <w:rFonts w:ascii="Times New Roman" w:eastAsiaTheme="minorEastAsia" w:hAnsi="Times New Roman" w:cs="Times New Roman"/>
                <w:sz w:val="24"/>
                <w:szCs w:val="24"/>
              </w:rPr>
              <w:t>月</w:t>
            </w:r>
            <w:r>
              <w:rPr>
                <w:rFonts w:ascii="Times New Roman" w:eastAsiaTheme="minorEastAsia" w:hAnsi="Times New Roman" w:cs="Times New Roman"/>
                <w:sz w:val="24"/>
                <w:szCs w:val="24"/>
                <w:lang w:val="en-US"/>
              </w:rPr>
              <w:t>28</w:t>
            </w:r>
            <w:r>
              <w:rPr>
                <w:rFonts w:ascii="Times New Roman" w:eastAsiaTheme="minorEastAsia" w:hAnsi="Times New Roman" w:cs="Times New Roman"/>
                <w:sz w:val="24"/>
                <w:szCs w:val="24"/>
              </w:rPr>
              <w:t>日</w:t>
            </w:r>
          </w:p>
        </w:tc>
      </w:tr>
    </w:tbl>
    <w:p w14:paraId="66E07108" w14:textId="77777777" w:rsidR="00845AE5" w:rsidRDefault="00845AE5">
      <w:pPr>
        <w:rPr>
          <w:rFonts w:ascii="Times New Roman" w:eastAsia="宋体" w:hAnsi="Times New Roman" w:cs="Times New Roman"/>
          <w:sz w:val="28"/>
          <w:szCs w:val="36"/>
        </w:rPr>
      </w:pPr>
    </w:p>
    <w:sectPr w:rsidR="00845AE5">
      <w:footerReference w:type="default" r:id="rId8"/>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50D61" w14:textId="77777777" w:rsidR="00506F33" w:rsidRDefault="00506F33">
      <w:pPr>
        <w:rPr>
          <w:rFonts w:hint="eastAsia"/>
        </w:rPr>
      </w:pPr>
      <w:r>
        <w:separator/>
      </w:r>
    </w:p>
  </w:endnote>
  <w:endnote w:type="continuationSeparator" w:id="0">
    <w:p w14:paraId="513B2440" w14:textId="77777777" w:rsidR="00506F33" w:rsidRDefault="00506F3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043263"/>
    </w:sdtPr>
    <w:sdtEndPr>
      <w:rPr>
        <w:rFonts w:ascii="Times New Roman" w:hAnsi="Times New Roman" w:cs="Times New Roman"/>
      </w:rPr>
    </w:sdtEndPr>
    <w:sdtContent>
      <w:p w14:paraId="6093AE4D" w14:textId="77777777" w:rsidR="00845AE5" w:rsidRDefault="00884B05">
        <w:pPr>
          <w:pStyle w:val="a8"/>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747EF" w14:textId="77777777" w:rsidR="00506F33" w:rsidRDefault="00506F33">
      <w:pPr>
        <w:rPr>
          <w:rFonts w:hint="eastAsia"/>
        </w:rPr>
      </w:pPr>
      <w:r>
        <w:separator/>
      </w:r>
    </w:p>
  </w:footnote>
  <w:footnote w:type="continuationSeparator" w:id="0">
    <w:p w14:paraId="39EC5328" w14:textId="77777777" w:rsidR="00506F33" w:rsidRDefault="00506F3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VhMGRlZDc1N2Q5MDFjYzM5NTBiYTRlNWNiYWVkMWQifQ=="/>
  </w:docVars>
  <w:rsids>
    <w:rsidRoot w:val="00301D32"/>
    <w:rsid w:val="000015C8"/>
    <w:rsid w:val="000032BE"/>
    <w:rsid w:val="00011377"/>
    <w:rsid w:val="00014FC5"/>
    <w:rsid w:val="000210A0"/>
    <w:rsid w:val="00021B5A"/>
    <w:rsid w:val="00023C80"/>
    <w:rsid w:val="00026450"/>
    <w:rsid w:val="00026CC3"/>
    <w:rsid w:val="000303F7"/>
    <w:rsid w:val="000338C3"/>
    <w:rsid w:val="00036089"/>
    <w:rsid w:val="00044014"/>
    <w:rsid w:val="00045A12"/>
    <w:rsid w:val="00046A2C"/>
    <w:rsid w:val="000506AE"/>
    <w:rsid w:val="00053CFA"/>
    <w:rsid w:val="000545FF"/>
    <w:rsid w:val="000633EC"/>
    <w:rsid w:val="00063804"/>
    <w:rsid w:val="00063B21"/>
    <w:rsid w:val="000665A2"/>
    <w:rsid w:val="00066747"/>
    <w:rsid w:val="00071428"/>
    <w:rsid w:val="000740E0"/>
    <w:rsid w:val="00074538"/>
    <w:rsid w:val="00077737"/>
    <w:rsid w:val="00081788"/>
    <w:rsid w:val="00081D0A"/>
    <w:rsid w:val="000832DB"/>
    <w:rsid w:val="000858F8"/>
    <w:rsid w:val="00086AEE"/>
    <w:rsid w:val="000875A1"/>
    <w:rsid w:val="000877AB"/>
    <w:rsid w:val="00090880"/>
    <w:rsid w:val="000956CF"/>
    <w:rsid w:val="00095D4A"/>
    <w:rsid w:val="000B0D1E"/>
    <w:rsid w:val="000B338E"/>
    <w:rsid w:val="000B42BC"/>
    <w:rsid w:val="000B7B0E"/>
    <w:rsid w:val="000B7C08"/>
    <w:rsid w:val="000C508E"/>
    <w:rsid w:val="000C7A18"/>
    <w:rsid w:val="000D030C"/>
    <w:rsid w:val="000D12CF"/>
    <w:rsid w:val="000D2D88"/>
    <w:rsid w:val="000D698C"/>
    <w:rsid w:val="000E2987"/>
    <w:rsid w:val="000E3494"/>
    <w:rsid w:val="000E4727"/>
    <w:rsid w:val="000E4B20"/>
    <w:rsid w:val="000F1218"/>
    <w:rsid w:val="000F1BEA"/>
    <w:rsid w:val="0010350E"/>
    <w:rsid w:val="001121CF"/>
    <w:rsid w:val="0011418F"/>
    <w:rsid w:val="00115140"/>
    <w:rsid w:val="00115AF8"/>
    <w:rsid w:val="0011697D"/>
    <w:rsid w:val="00124D50"/>
    <w:rsid w:val="0012772E"/>
    <w:rsid w:val="00131F53"/>
    <w:rsid w:val="001427DB"/>
    <w:rsid w:val="0014480A"/>
    <w:rsid w:val="00147142"/>
    <w:rsid w:val="001471B0"/>
    <w:rsid w:val="001478A5"/>
    <w:rsid w:val="00164ED9"/>
    <w:rsid w:val="00172C24"/>
    <w:rsid w:val="0018054D"/>
    <w:rsid w:val="00181D21"/>
    <w:rsid w:val="0018266A"/>
    <w:rsid w:val="001870D3"/>
    <w:rsid w:val="001950F8"/>
    <w:rsid w:val="001A4374"/>
    <w:rsid w:val="001A6E4B"/>
    <w:rsid w:val="001B2399"/>
    <w:rsid w:val="001C4C05"/>
    <w:rsid w:val="001C7401"/>
    <w:rsid w:val="001D0226"/>
    <w:rsid w:val="001D4710"/>
    <w:rsid w:val="001D6332"/>
    <w:rsid w:val="001D6A66"/>
    <w:rsid w:val="001D7F84"/>
    <w:rsid w:val="001E1B46"/>
    <w:rsid w:val="001E59D1"/>
    <w:rsid w:val="001E5EA4"/>
    <w:rsid w:val="001F6F6C"/>
    <w:rsid w:val="00202870"/>
    <w:rsid w:val="00202BB9"/>
    <w:rsid w:val="002042A7"/>
    <w:rsid w:val="00204355"/>
    <w:rsid w:val="00204A6B"/>
    <w:rsid w:val="00204FB5"/>
    <w:rsid w:val="00205911"/>
    <w:rsid w:val="00206C3F"/>
    <w:rsid w:val="002110FC"/>
    <w:rsid w:val="002115A3"/>
    <w:rsid w:val="0021297D"/>
    <w:rsid w:val="002146AD"/>
    <w:rsid w:val="002146CE"/>
    <w:rsid w:val="00215F2C"/>
    <w:rsid w:val="00222805"/>
    <w:rsid w:val="00226FFF"/>
    <w:rsid w:val="00245F4F"/>
    <w:rsid w:val="0024609A"/>
    <w:rsid w:val="0024793D"/>
    <w:rsid w:val="00265B9A"/>
    <w:rsid w:val="00274E26"/>
    <w:rsid w:val="00275CB6"/>
    <w:rsid w:val="002800B5"/>
    <w:rsid w:val="002800BB"/>
    <w:rsid w:val="002822C3"/>
    <w:rsid w:val="00282EE9"/>
    <w:rsid w:val="002842C2"/>
    <w:rsid w:val="0029091A"/>
    <w:rsid w:val="00291946"/>
    <w:rsid w:val="00295B29"/>
    <w:rsid w:val="00297984"/>
    <w:rsid w:val="002A241A"/>
    <w:rsid w:val="002A62FA"/>
    <w:rsid w:val="002B243E"/>
    <w:rsid w:val="002B692B"/>
    <w:rsid w:val="002C1DF2"/>
    <w:rsid w:val="002D0415"/>
    <w:rsid w:val="002D4073"/>
    <w:rsid w:val="002D5475"/>
    <w:rsid w:val="002D5CF0"/>
    <w:rsid w:val="002D70E2"/>
    <w:rsid w:val="002D7C7A"/>
    <w:rsid w:val="002E07C5"/>
    <w:rsid w:val="002E1F34"/>
    <w:rsid w:val="002E3ED8"/>
    <w:rsid w:val="002E7098"/>
    <w:rsid w:val="002F06AC"/>
    <w:rsid w:val="002F4FE8"/>
    <w:rsid w:val="002F5CD0"/>
    <w:rsid w:val="002F75BA"/>
    <w:rsid w:val="00301D32"/>
    <w:rsid w:val="00302DEA"/>
    <w:rsid w:val="0031237C"/>
    <w:rsid w:val="0031294E"/>
    <w:rsid w:val="00322A65"/>
    <w:rsid w:val="00330F0C"/>
    <w:rsid w:val="00331F2D"/>
    <w:rsid w:val="00334B60"/>
    <w:rsid w:val="00337C9D"/>
    <w:rsid w:val="0034455B"/>
    <w:rsid w:val="003602C0"/>
    <w:rsid w:val="0036051C"/>
    <w:rsid w:val="003613E9"/>
    <w:rsid w:val="00366FAD"/>
    <w:rsid w:val="00367177"/>
    <w:rsid w:val="0037105B"/>
    <w:rsid w:val="003721AE"/>
    <w:rsid w:val="00392043"/>
    <w:rsid w:val="003975BA"/>
    <w:rsid w:val="003A51E5"/>
    <w:rsid w:val="003A5D83"/>
    <w:rsid w:val="003A74E6"/>
    <w:rsid w:val="003A7EE2"/>
    <w:rsid w:val="003B73DD"/>
    <w:rsid w:val="003C3819"/>
    <w:rsid w:val="003C61C2"/>
    <w:rsid w:val="003C6D15"/>
    <w:rsid w:val="003D011C"/>
    <w:rsid w:val="003E0403"/>
    <w:rsid w:val="003E303A"/>
    <w:rsid w:val="003E429A"/>
    <w:rsid w:val="003E4B3C"/>
    <w:rsid w:val="003E5E8A"/>
    <w:rsid w:val="003F7D72"/>
    <w:rsid w:val="00404070"/>
    <w:rsid w:val="00406F84"/>
    <w:rsid w:val="004108C7"/>
    <w:rsid w:val="00412DC2"/>
    <w:rsid w:val="00413FEF"/>
    <w:rsid w:val="004142C9"/>
    <w:rsid w:val="0041457D"/>
    <w:rsid w:val="00417963"/>
    <w:rsid w:val="004207F5"/>
    <w:rsid w:val="004277C9"/>
    <w:rsid w:val="00432369"/>
    <w:rsid w:val="00440041"/>
    <w:rsid w:val="00451268"/>
    <w:rsid w:val="004515AD"/>
    <w:rsid w:val="00451857"/>
    <w:rsid w:val="00453516"/>
    <w:rsid w:val="00455619"/>
    <w:rsid w:val="00457548"/>
    <w:rsid w:val="0045756F"/>
    <w:rsid w:val="00470DB2"/>
    <w:rsid w:val="00476ED4"/>
    <w:rsid w:val="004925E7"/>
    <w:rsid w:val="00495B11"/>
    <w:rsid w:val="004A54A9"/>
    <w:rsid w:val="004B3F3A"/>
    <w:rsid w:val="004B43D1"/>
    <w:rsid w:val="004C1585"/>
    <w:rsid w:val="004C1DB9"/>
    <w:rsid w:val="004C25D7"/>
    <w:rsid w:val="004C6913"/>
    <w:rsid w:val="004C71AA"/>
    <w:rsid w:val="004E6101"/>
    <w:rsid w:val="004F37B5"/>
    <w:rsid w:val="004F4864"/>
    <w:rsid w:val="004F6FF3"/>
    <w:rsid w:val="00505B18"/>
    <w:rsid w:val="00505C83"/>
    <w:rsid w:val="00506F33"/>
    <w:rsid w:val="00507547"/>
    <w:rsid w:val="00511D22"/>
    <w:rsid w:val="005257FF"/>
    <w:rsid w:val="00526167"/>
    <w:rsid w:val="005278A5"/>
    <w:rsid w:val="0053459F"/>
    <w:rsid w:val="00540F12"/>
    <w:rsid w:val="00541098"/>
    <w:rsid w:val="005430FE"/>
    <w:rsid w:val="00544AFB"/>
    <w:rsid w:val="005557EF"/>
    <w:rsid w:val="00564CDA"/>
    <w:rsid w:val="00571B49"/>
    <w:rsid w:val="005743AE"/>
    <w:rsid w:val="00576BCE"/>
    <w:rsid w:val="00577F53"/>
    <w:rsid w:val="0058090A"/>
    <w:rsid w:val="0058701E"/>
    <w:rsid w:val="00587496"/>
    <w:rsid w:val="00587815"/>
    <w:rsid w:val="005904BC"/>
    <w:rsid w:val="005916EE"/>
    <w:rsid w:val="00591B2C"/>
    <w:rsid w:val="005A2653"/>
    <w:rsid w:val="005B4EA3"/>
    <w:rsid w:val="005C40FA"/>
    <w:rsid w:val="005D4708"/>
    <w:rsid w:val="005D64CA"/>
    <w:rsid w:val="005E0E8D"/>
    <w:rsid w:val="005E306F"/>
    <w:rsid w:val="005E5717"/>
    <w:rsid w:val="005E6DB2"/>
    <w:rsid w:val="005F2117"/>
    <w:rsid w:val="005F3B1C"/>
    <w:rsid w:val="005F5D85"/>
    <w:rsid w:val="00604178"/>
    <w:rsid w:val="00606941"/>
    <w:rsid w:val="00613251"/>
    <w:rsid w:val="00613B9A"/>
    <w:rsid w:val="0061433E"/>
    <w:rsid w:val="00616401"/>
    <w:rsid w:val="00622D13"/>
    <w:rsid w:val="0062751D"/>
    <w:rsid w:val="006354AA"/>
    <w:rsid w:val="00643B9B"/>
    <w:rsid w:val="00643DDF"/>
    <w:rsid w:val="006501D5"/>
    <w:rsid w:val="00651A24"/>
    <w:rsid w:val="00652858"/>
    <w:rsid w:val="006534F8"/>
    <w:rsid w:val="00661AFA"/>
    <w:rsid w:val="00662918"/>
    <w:rsid w:val="00662997"/>
    <w:rsid w:val="00662F4E"/>
    <w:rsid w:val="006726BF"/>
    <w:rsid w:val="00677B77"/>
    <w:rsid w:val="006801DA"/>
    <w:rsid w:val="00680AD9"/>
    <w:rsid w:val="00680B3C"/>
    <w:rsid w:val="006860CB"/>
    <w:rsid w:val="0068718A"/>
    <w:rsid w:val="006978B6"/>
    <w:rsid w:val="006A2739"/>
    <w:rsid w:val="006A3565"/>
    <w:rsid w:val="006A7024"/>
    <w:rsid w:val="006B2EBF"/>
    <w:rsid w:val="006B4C95"/>
    <w:rsid w:val="006B5C95"/>
    <w:rsid w:val="006C154A"/>
    <w:rsid w:val="006D2DDB"/>
    <w:rsid w:val="006D41D1"/>
    <w:rsid w:val="006E14B0"/>
    <w:rsid w:val="006E3E95"/>
    <w:rsid w:val="006E7AAA"/>
    <w:rsid w:val="006F0108"/>
    <w:rsid w:val="006F0FA6"/>
    <w:rsid w:val="006F3F5A"/>
    <w:rsid w:val="006F5B8E"/>
    <w:rsid w:val="006F66DB"/>
    <w:rsid w:val="006F78E7"/>
    <w:rsid w:val="00700FD6"/>
    <w:rsid w:val="00703C9C"/>
    <w:rsid w:val="00704AE6"/>
    <w:rsid w:val="007062CF"/>
    <w:rsid w:val="00706E51"/>
    <w:rsid w:val="007106DB"/>
    <w:rsid w:val="007112BB"/>
    <w:rsid w:val="007153A2"/>
    <w:rsid w:val="00715A56"/>
    <w:rsid w:val="007170DA"/>
    <w:rsid w:val="00720A1E"/>
    <w:rsid w:val="007236E3"/>
    <w:rsid w:val="00724A68"/>
    <w:rsid w:val="007271BF"/>
    <w:rsid w:val="00730DD3"/>
    <w:rsid w:val="00731624"/>
    <w:rsid w:val="00732B5D"/>
    <w:rsid w:val="00733224"/>
    <w:rsid w:val="00735A34"/>
    <w:rsid w:val="00742A49"/>
    <w:rsid w:val="0074391E"/>
    <w:rsid w:val="00745ED1"/>
    <w:rsid w:val="007511ED"/>
    <w:rsid w:val="00755F11"/>
    <w:rsid w:val="007574B6"/>
    <w:rsid w:val="007576B9"/>
    <w:rsid w:val="00764128"/>
    <w:rsid w:val="007661A1"/>
    <w:rsid w:val="00770BC5"/>
    <w:rsid w:val="00771F48"/>
    <w:rsid w:val="007738AA"/>
    <w:rsid w:val="007808BD"/>
    <w:rsid w:val="007824B8"/>
    <w:rsid w:val="007910DD"/>
    <w:rsid w:val="0079114A"/>
    <w:rsid w:val="00791AFE"/>
    <w:rsid w:val="007A1BC3"/>
    <w:rsid w:val="007A3EC1"/>
    <w:rsid w:val="007A79C6"/>
    <w:rsid w:val="007B3368"/>
    <w:rsid w:val="007B4A7D"/>
    <w:rsid w:val="007C5C56"/>
    <w:rsid w:val="007D0A69"/>
    <w:rsid w:val="007D1643"/>
    <w:rsid w:val="007D3CA9"/>
    <w:rsid w:val="007D40D2"/>
    <w:rsid w:val="007D6DC4"/>
    <w:rsid w:val="007E2FC0"/>
    <w:rsid w:val="007E68FE"/>
    <w:rsid w:val="007E7215"/>
    <w:rsid w:val="007F1959"/>
    <w:rsid w:val="007F2324"/>
    <w:rsid w:val="007F3E0C"/>
    <w:rsid w:val="007F56D4"/>
    <w:rsid w:val="00804D9A"/>
    <w:rsid w:val="00805C1B"/>
    <w:rsid w:val="00812387"/>
    <w:rsid w:val="008143D3"/>
    <w:rsid w:val="00821B04"/>
    <w:rsid w:val="0082774C"/>
    <w:rsid w:val="00831E2C"/>
    <w:rsid w:val="0083426D"/>
    <w:rsid w:val="00836D1E"/>
    <w:rsid w:val="00840420"/>
    <w:rsid w:val="00844C9A"/>
    <w:rsid w:val="00845AE5"/>
    <w:rsid w:val="00847813"/>
    <w:rsid w:val="008523BE"/>
    <w:rsid w:val="00853463"/>
    <w:rsid w:val="008538CE"/>
    <w:rsid w:val="00855593"/>
    <w:rsid w:val="008679F9"/>
    <w:rsid w:val="00870483"/>
    <w:rsid w:val="00873681"/>
    <w:rsid w:val="008756F1"/>
    <w:rsid w:val="008773B2"/>
    <w:rsid w:val="00884B05"/>
    <w:rsid w:val="008875E5"/>
    <w:rsid w:val="00887878"/>
    <w:rsid w:val="008912FF"/>
    <w:rsid w:val="0089130A"/>
    <w:rsid w:val="00893F25"/>
    <w:rsid w:val="00895035"/>
    <w:rsid w:val="008A2643"/>
    <w:rsid w:val="008A2AFC"/>
    <w:rsid w:val="008A5700"/>
    <w:rsid w:val="008B0B04"/>
    <w:rsid w:val="008B1D79"/>
    <w:rsid w:val="008B2617"/>
    <w:rsid w:val="008B2B14"/>
    <w:rsid w:val="008B6C0E"/>
    <w:rsid w:val="008B7313"/>
    <w:rsid w:val="008B7D67"/>
    <w:rsid w:val="008C3175"/>
    <w:rsid w:val="008C6AED"/>
    <w:rsid w:val="008C7604"/>
    <w:rsid w:val="008D1944"/>
    <w:rsid w:val="008E1B27"/>
    <w:rsid w:val="008E76D7"/>
    <w:rsid w:val="008F553E"/>
    <w:rsid w:val="00900828"/>
    <w:rsid w:val="0090302A"/>
    <w:rsid w:val="00903379"/>
    <w:rsid w:val="00904C48"/>
    <w:rsid w:val="00906975"/>
    <w:rsid w:val="009069DA"/>
    <w:rsid w:val="00911BEC"/>
    <w:rsid w:val="009133A8"/>
    <w:rsid w:val="009154EF"/>
    <w:rsid w:val="00915F51"/>
    <w:rsid w:val="00917089"/>
    <w:rsid w:val="00917F0B"/>
    <w:rsid w:val="00917F8B"/>
    <w:rsid w:val="00920891"/>
    <w:rsid w:val="0092416A"/>
    <w:rsid w:val="0094067C"/>
    <w:rsid w:val="00941790"/>
    <w:rsid w:val="0094414F"/>
    <w:rsid w:val="00944A0D"/>
    <w:rsid w:val="00946A69"/>
    <w:rsid w:val="0094760C"/>
    <w:rsid w:val="00952569"/>
    <w:rsid w:val="009565C6"/>
    <w:rsid w:val="00960257"/>
    <w:rsid w:val="00960964"/>
    <w:rsid w:val="00960E50"/>
    <w:rsid w:val="00961241"/>
    <w:rsid w:val="00965E4D"/>
    <w:rsid w:val="00973B58"/>
    <w:rsid w:val="00981E78"/>
    <w:rsid w:val="0099075E"/>
    <w:rsid w:val="009A11A9"/>
    <w:rsid w:val="009A3847"/>
    <w:rsid w:val="009A53E0"/>
    <w:rsid w:val="009B1D5C"/>
    <w:rsid w:val="009C2D3A"/>
    <w:rsid w:val="009C2E31"/>
    <w:rsid w:val="009C5368"/>
    <w:rsid w:val="009D3ACD"/>
    <w:rsid w:val="009D5EFA"/>
    <w:rsid w:val="009D6C8D"/>
    <w:rsid w:val="009E1955"/>
    <w:rsid w:val="009E20F7"/>
    <w:rsid w:val="009E32DC"/>
    <w:rsid w:val="009E47B2"/>
    <w:rsid w:val="009F0CB7"/>
    <w:rsid w:val="009F3A19"/>
    <w:rsid w:val="009F466A"/>
    <w:rsid w:val="00A02F79"/>
    <w:rsid w:val="00A04A30"/>
    <w:rsid w:val="00A0533D"/>
    <w:rsid w:val="00A05674"/>
    <w:rsid w:val="00A11BBC"/>
    <w:rsid w:val="00A1722E"/>
    <w:rsid w:val="00A2412C"/>
    <w:rsid w:val="00A2474D"/>
    <w:rsid w:val="00A27639"/>
    <w:rsid w:val="00A30A6F"/>
    <w:rsid w:val="00A31BA9"/>
    <w:rsid w:val="00A31F0C"/>
    <w:rsid w:val="00A36A7C"/>
    <w:rsid w:val="00A46014"/>
    <w:rsid w:val="00A47934"/>
    <w:rsid w:val="00A50379"/>
    <w:rsid w:val="00A51EC4"/>
    <w:rsid w:val="00A527AA"/>
    <w:rsid w:val="00A52A93"/>
    <w:rsid w:val="00A5684D"/>
    <w:rsid w:val="00A570CF"/>
    <w:rsid w:val="00A57C6D"/>
    <w:rsid w:val="00A60056"/>
    <w:rsid w:val="00A602F2"/>
    <w:rsid w:val="00A61028"/>
    <w:rsid w:val="00A62D1C"/>
    <w:rsid w:val="00A65369"/>
    <w:rsid w:val="00A66ED9"/>
    <w:rsid w:val="00A67B60"/>
    <w:rsid w:val="00A67D82"/>
    <w:rsid w:val="00A67FC0"/>
    <w:rsid w:val="00A707B2"/>
    <w:rsid w:val="00A70D82"/>
    <w:rsid w:val="00A712B7"/>
    <w:rsid w:val="00A715A6"/>
    <w:rsid w:val="00A75C61"/>
    <w:rsid w:val="00A7774D"/>
    <w:rsid w:val="00A804C7"/>
    <w:rsid w:val="00A834BB"/>
    <w:rsid w:val="00A8560F"/>
    <w:rsid w:val="00A95724"/>
    <w:rsid w:val="00A9601B"/>
    <w:rsid w:val="00A96F8F"/>
    <w:rsid w:val="00AA0AFF"/>
    <w:rsid w:val="00AA4A2A"/>
    <w:rsid w:val="00AA4D89"/>
    <w:rsid w:val="00AB5CEE"/>
    <w:rsid w:val="00AB7779"/>
    <w:rsid w:val="00AB7F5A"/>
    <w:rsid w:val="00AC4287"/>
    <w:rsid w:val="00AC4CAB"/>
    <w:rsid w:val="00AC7569"/>
    <w:rsid w:val="00AD100E"/>
    <w:rsid w:val="00AD6876"/>
    <w:rsid w:val="00AD7E31"/>
    <w:rsid w:val="00AD7FB5"/>
    <w:rsid w:val="00AE1E36"/>
    <w:rsid w:val="00AE3A9D"/>
    <w:rsid w:val="00AE6FF9"/>
    <w:rsid w:val="00AF0B88"/>
    <w:rsid w:val="00AF1DCF"/>
    <w:rsid w:val="00AF62E5"/>
    <w:rsid w:val="00AF6D12"/>
    <w:rsid w:val="00AF74AA"/>
    <w:rsid w:val="00B01424"/>
    <w:rsid w:val="00B03C2F"/>
    <w:rsid w:val="00B05630"/>
    <w:rsid w:val="00B0589B"/>
    <w:rsid w:val="00B10290"/>
    <w:rsid w:val="00B15064"/>
    <w:rsid w:val="00B24E41"/>
    <w:rsid w:val="00B25340"/>
    <w:rsid w:val="00B262DC"/>
    <w:rsid w:val="00B31331"/>
    <w:rsid w:val="00B340A3"/>
    <w:rsid w:val="00B410F5"/>
    <w:rsid w:val="00B421DF"/>
    <w:rsid w:val="00B43AE6"/>
    <w:rsid w:val="00B47B4F"/>
    <w:rsid w:val="00B52F53"/>
    <w:rsid w:val="00B54111"/>
    <w:rsid w:val="00B5754C"/>
    <w:rsid w:val="00B57C18"/>
    <w:rsid w:val="00B6201C"/>
    <w:rsid w:val="00B6280C"/>
    <w:rsid w:val="00B671A4"/>
    <w:rsid w:val="00B71F4D"/>
    <w:rsid w:val="00B72CD4"/>
    <w:rsid w:val="00B74E52"/>
    <w:rsid w:val="00B80577"/>
    <w:rsid w:val="00B80BAD"/>
    <w:rsid w:val="00B85B00"/>
    <w:rsid w:val="00B860F6"/>
    <w:rsid w:val="00B934AF"/>
    <w:rsid w:val="00B95E3B"/>
    <w:rsid w:val="00B96A7D"/>
    <w:rsid w:val="00BA03E4"/>
    <w:rsid w:val="00BA6D9B"/>
    <w:rsid w:val="00BB0E14"/>
    <w:rsid w:val="00BB46AC"/>
    <w:rsid w:val="00BB50A5"/>
    <w:rsid w:val="00BD376C"/>
    <w:rsid w:val="00BD537E"/>
    <w:rsid w:val="00BE156F"/>
    <w:rsid w:val="00BE15C3"/>
    <w:rsid w:val="00BE16C5"/>
    <w:rsid w:val="00BE2777"/>
    <w:rsid w:val="00BE6F46"/>
    <w:rsid w:val="00BE71A7"/>
    <w:rsid w:val="00BF0508"/>
    <w:rsid w:val="00BF0D9D"/>
    <w:rsid w:val="00BF132F"/>
    <w:rsid w:val="00C075E1"/>
    <w:rsid w:val="00C13878"/>
    <w:rsid w:val="00C20286"/>
    <w:rsid w:val="00C32DCE"/>
    <w:rsid w:val="00C3503B"/>
    <w:rsid w:val="00C4248E"/>
    <w:rsid w:val="00C56243"/>
    <w:rsid w:val="00C6466C"/>
    <w:rsid w:val="00C71BC6"/>
    <w:rsid w:val="00C73D31"/>
    <w:rsid w:val="00C7670C"/>
    <w:rsid w:val="00C818DE"/>
    <w:rsid w:val="00C8455F"/>
    <w:rsid w:val="00C84EAB"/>
    <w:rsid w:val="00C85001"/>
    <w:rsid w:val="00C85102"/>
    <w:rsid w:val="00C854AA"/>
    <w:rsid w:val="00C86D8F"/>
    <w:rsid w:val="00C915CB"/>
    <w:rsid w:val="00C9750E"/>
    <w:rsid w:val="00CA1705"/>
    <w:rsid w:val="00CA28CE"/>
    <w:rsid w:val="00CA5257"/>
    <w:rsid w:val="00CA7409"/>
    <w:rsid w:val="00CB0AC9"/>
    <w:rsid w:val="00CB2264"/>
    <w:rsid w:val="00CB44E7"/>
    <w:rsid w:val="00CB4F01"/>
    <w:rsid w:val="00CC2417"/>
    <w:rsid w:val="00CC2AA7"/>
    <w:rsid w:val="00CD35A9"/>
    <w:rsid w:val="00CE04AA"/>
    <w:rsid w:val="00CE1A54"/>
    <w:rsid w:val="00CE286D"/>
    <w:rsid w:val="00CE7659"/>
    <w:rsid w:val="00CF00AF"/>
    <w:rsid w:val="00CF032D"/>
    <w:rsid w:val="00CF5301"/>
    <w:rsid w:val="00CF59D4"/>
    <w:rsid w:val="00CF5FB6"/>
    <w:rsid w:val="00CF7235"/>
    <w:rsid w:val="00D00782"/>
    <w:rsid w:val="00D0137F"/>
    <w:rsid w:val="00D02518"/>
    <w:rsid w:val="00D03F45"/>
    <w:rsid w:val="00D049C1"/>
    <w:rsid w:val="00D07713"/>
    <w:rsid w:val="00D127C1"/>
    <w:rsid w:val="00D12C33"/>
    <w:rsid w:val="00D1314A"/>
    <w:rsid w:val="00D1342E"/>
    <w:rsid w:val="00D1473F"/>
    <w:rsid w:val="00D17454"/>
    <w:rsid w:val="00D27A31"/>
    <w:rsid w:val="00D33FBC"/>
    <w:rsid w:val="00D34D9E"/>
    <w:rsid w:val="00D35FC2"/>
    <w:rsid w:val="00D40529"/>
    <w:rsid w:val="00D43F81"/>
    <w:rsid w:val="00D44426"/>
    <w:rsid w:val="00D44B56"/>
    <w:rsid w:val="00D479F2"/>
    <w:rsid w:val="00D56589"/>
    <w:rsid w:val="00D62AD6"/>
    <w:rsid w:val="00D7299B"/>
    <w:rsid w:val="00D7535C"/>
    <w:rsid w:val="00D76302"/>
    <w:rsid w:val="00D778BA"/>
    <w:rsid w:val="00D77D7F"/>
    <w:rsid w:val="00D82A34"/>
    <w:rsid w:val="00D87059"/>
    <w:rsid w:val="00D87298"/>
    <w:rsid w:val="00D95020"/>
    <w:rsid w:val="00D95051"/>
    <w:rsid w:val="00DA5A6E"/>
    <w:rsid w:val="00DA5CE2"/>
    <w:rsid w:val="00DB6035"/>
    <w:rsid w:val="00DC0267"/>
    <w:rsid w:val="00DC5AE1"/>
    <w:rsid w:val="00DD3E82"/>
    <w:rsid w:val="00DD6739"/>
    <w:rsid w:val="00DE10E8"/>
    <w:rsid w:val="00DE36E9"/>
    <w:rsid w:val="00DE7711"/>
    <w:rsid w:val="00DF0238"/>
    <w:rsid w:val="00DF1664"/>
    <w:rsid w:val="00DF3A06"/>
    <w:rsid w:val="00E030FD"/>
    <w:rsid w:val="00E07A03"/>
    <w:rsid w:val="00E13662"/>
    <w:rsid w:val="00E13C17"/>
    <w:rsid w:val="00E16FDA"/>
    <w:rsid w:val="00E20E7B"/>
    <w:rsid w:val="00E25FDE"/>
    <w:rsid w:val="00E30937"/>
    <w:rsid w:val="00E334DD"/>
    <w:rsid w:val="00E354BA"/>
    <w:rsid w:val="00E3581F"/>
    <w:rsid w:val="00E35F58"/>
    <w:rsid w:val="00E375F4"/>
    <w:rsid w:val="00E408AD"/>
    <w:rsid w:val="00E41441"/>
    <w:rsid w:val="00E42619"/>
    <w:rsid w:val="00E45BD9"/>
    <w:rsid w:val="00E467E2"/>
    <w:rsid w:val="00E47997"/>
    <w:rsid w:val="00E51D10"/>
    <w:rsid w:val="00E524D4"/>
    <w:rsid w:val="00E66FFC"/>
    <w:rsid w:val="00E73238"/>
    <w:rsid w:val="00E7430E"/>
    <w:rsid w:val="00E759D6"/>
    <w:rsid w:val="00E84A8C"/>
    <w:rsid w:val="00E85A13"/>
    <w:rsid w:val="00E85A3A"/>
    <w:rsid w:val="00E866D1"/>
    <w:rsid w:val="00E86F27"/>
    <w:rsid w:val="00E91A09"/>
    <w:rsid w:val="00E94DAA"/>
    <w:rsid w:val="00E976DE"/>
    <w:rsid w:val="00EA7537"/>
    <w:rsid w:val="00EB0B55"/>
    <w:rsid w:val="00EB1D29"/>
    <w:rsid w:val="00EB3DC2"/>
    <w:rsid w:val="00EB4A4A"/>
    <w:rsid w:val="00EB5DB7"/>
    <w:rsid w:val="00EC0F83"/>
    <w:rsid w:val="00EC5C62"/>
    <w:rsid w:val="00ED33D4"/>
    <w:rsid w:val="00ED3F84"/>
    <w:rsid w:val="00ED51D9"/>
    <w:rsid w:val="00EE3187"/>
    <w:rsid w:val="00EE7E40"/>
    <w:rsid w:val="00EF242D"/>
    <w:rsid w:val="00EF499B"/>
    <w:rsid w:val="00F03746"/>
    <w:rsid w:val="00F118C3"/>
    <w:rsid w:val="00F12D66"/>
    <w:rsid w:val="00F14977"/>
    <w:rsid w:val="00F20D61"/>
    <w:rsid w:val="00F21858"/>
    <w:rsid w:val="00F22D93"/>
    <w:rsid w:val="00F247CC"/>
    <w:rsid w:val="00F263BB"/>
    <w:rsid w:val="00F2791E"/>
    <w:rsid w:val="00F31F30"/>
    <w:rsid w:val="00F405AD"/>
    <w:rsid w:val="00F44BFB"/>
    <w:rsid w:val="00F47502"/>
    <w:rsid w:val="00F51D4B"/>
    <w:rsid w:val="00F551FD"/>
    <w:rsid w:val="00F637D4"/>
    <w:rsid w:val="00F64A89"/>
    <w:rsid w:val="00F7072B"/>
    <w:rsid w:val="00F72752"/>
    <w:rsid w:val="00F752B3"/>
    <w:rsid w:val="00F87A74"/>
    <w:rsid w:val="00F96282"/>
    <w:rsid w:val="00FA1BB5"/>
    <w:rsid w:val="00FB0610"/>
    <w:rsid w:val="00FB160A"/>
    <w:rsid w:val="00FB39D4"/>
    <w:rsid w:val="00FB3D38"/>
    <w:rsid w:val="00FB4A08"/>
    <w:rsid w:val="00FB4FE6"/>
    <w:rsid w:val="00FB60B5"/>
    <w:rsid w:val="00FB72DF"/>
    <w:rsid w:val="00FC0C2A"/>
    <w:rsid w:val="00FD569C"/>
    <w:rsid w:val="00FD6C71"/>
    <w:rsid w:val="00FD7F8E"/>
    <w:rsid w:val="00FE1B41"/>
    <w:rsid w:val="00FE1EB0"/>
    <w:rsid w:val="00FE3C31"/>
    <w:rsid w:val="00FF11E4"/>
    <w:rsid w:val="02A0095B"/>
    <w:rsid w:val="04B072D4"/>
    <w:rsid w:val="05F575D4"/>
    <w:rsid w:val="064249C6"/>
    <w:rsid w:val="08641132"/>
    <w:rsid w:val="08AE084F"/>
    <w:rsid w:val="09186774"/>
    <w:rsid w:val="0945438F"/>
    <w:rsid w:val="09A137B2"/>
    <w:rsid w:val="0A71587A"/>
    <w:rsid w:val="0B792C38"/>
    <w:rsid w:val="0C28640C"/>
    <w:rsid w:val="0C34090D"/>
    <w:rsid w:val="0DC54EF5"/>
    <w:rsid w:val="0DC74A35"/>
    <w:rsid w:val="0E90599A"/>
    <w:rsid w:val="0ED720CD"/>
    <w:rsid w:val="119C142F"/>
    <w:rsid w:val="12070CAE"/>
    <w:rsid w:val="145F688C"/>
    <w:rsid w:val="15DD2205"/>
    <w:rsid w:val="17072842"/>
    <w:rsid w:val="17A67110"/>
    <w:rsid w:val="1864189B"/>
    <w:rsid w:val="18D73A7D"/>
    <w:rsid w:val="19557370"/>
    <w:rsid w:val="1AFA0F74"/>
    <w:rsid w:val="1BD06B6A"/>
    <w:rsid w:val="1C625023"/>
    <w:rsid w:val="1CE617B0"/>
    <w:rsid w:val="1DF779ED"/>
    <w:rsid w:val="1F171A10"/>
    <w:rsid w:val="1F435D1C"/>
    <w:rsid w:val="1F782BDE"/>
    <w:rsid w:val="1FC66C10"/>
    <w:rsid w:val="204A6A53"/>
    <w:rsid w:val="204D7D98"/>
    <w:rsid w:val="21D50045"/>
    <w:rsid w:val="22794E74"/>
    <w:rsid w:val="23317869"/>
    <w:rsid w:val="24816262"/>
    <w:rsid w:val="25650CAE"/>
    <w:rsid w:val="257A162F"/>
    <w:rsid w:val="26406598"/>
    <w:rsid w:val="28080056"/>
    <w:rsid w:val="28414686"/>
    <w:rsid w:val="28734C1A"/>
    <w:rsid w:val="28885E11"/>
    <w:rsid w:val="28C72DDD"/>
    <w:rsid w:val="28CE3D8E"/>
    <w:rsid w:val="291E0523"/>
    <w:rsid w:val="29EE0E64"/>
    <w:rsid w:val="2BC4020A"/>
    <w:rsid w:val="2C4B6AFC"/>
    <w:rsid w:val="2EF90F16"/>
    <w:rsid w:val="2F125C63"/>
    <w:rsid w:val="302C3D0A"/>
    <w:rsid w:val="3104598F"/>
    <w:rsid w:val="33DE31BB"/>
    <w:rsid w:val="37873738"/>
    <w:rsid w:val="389C49C0"/>
    <w:rsid w:val="39BC78F4"/>
    <w:rsid w:val="3B35486F"/>
    <w:rsid w:val="3EF1250A"/>
    <w:rsid w:val="40567DB0"/>
    <w:rsid w:val="40E35E83"/>
    <w:rsid w:val="40FF5CD2"/>
    <w:rsid w:val="42DB40B0"/>
    <w:rsid w:val="43236A0A"/>
    <w:rsid w:val="43B71B0A"/>
    <w:rsid w:val="44B92BB7"/>
    <w:rsid w:val="44FA0589"/>
    <w:rsid w:val="45A656D1"/>
    <w:rsid w:val="45A663E3"/>
    <w:rsid w:val="46236D21"/>
    <w:rsid w:val="469F09AF"/>
    <w:rsid w:val="489075D7"/>
    <w:rsid w:val="49494CF1"/>
    <w:rsid w:val="49F904C5"/>
    <w:rsid w:val="4AF869CF"/>
    <w:rsid w:val="4B756271"/>
    <w:rsid w:val="4BD50ABE"/>
    <w:rsid w:val="4BF70A34"/>
    <w:rsid w:val="4C8E1CA8"/>
    <w:rsid w:val="4D385BFD"/>
    <w:rsid w:val="4D6D36A4"/>
    <w:rsid w:val="4DDC4386"/>
    <w:rsid w:val="4F381582"/>
    <w:rsid w:val="4F7A5C04"/>
    <w:rsid w:val="510903EF"/>
    <w:rsid w:val="511F25B1"/>
    <w:rsid w:val="53F137F4"/>
    <w:rsid w:val="543A6906"/>
    <w:rsid w:val="55A0213D"/>
    <w:rsid w:val="56850CBB"/>
    <w:rsid w:val="59D8738A"/>
    <w:rsid w:val="5A666D76"/>
    <w:rsid w:val="5B2253C2"/>
    <w:rsid w:val="5C1B076F"/>
    <w:rsid w:val="5CD34BA6"/>
    <w:rsid w:val="5CF02E0F"/>
    <w:rsid w:val="5F3A0F0C"/>
    <w:rsid w:val="60196D73"/>
    <w:rsid w:val="603269D2"/>
    <w:rsid w:val="60BB7E2A"/>
    <w:rsid w:val="612571F9"/>
    <w:rsid w:val="614C4F26"/>
    <w:rsid w:val="61A52BCA"/>
    <w:rsid w:val="61F034F0"/>
    <w:rsid w:val="62DC1F40"/>
    <w:rsid w:val="66682803"/>
    <w:rsid w:val="67095496"/>
    <w:rsid w:val="670D5158"/>
    <w:rsid w:val="67EC2FBF"/>
    <w:rsid w:val="67ED7463"/>
    <w:rsid w:val="681A546A"/>
    <w:rsid w:val="68831B76"/>
    <w:rsid w:val="68FE0743"/>
    <w:rsid w:val="69CB37D4"/>
    <w:rsid w:val="6A0D5B9B"/>
    <w:rsid w:val="6A3B23B1"/>
    <w:rsid w:val="6AEA32DC"/>
    <w:rsid w:val="6C335661"/>
    <w:rsid w:val="6CC24AB5"/>
    <w:rsid w:val="6D9271B2"/>
    <w:rsid w:val="6EAC5256"/>
    <w:rsid w:val="6ED924EF"/>
    <w:rsid w:val="6F134790"/>
    <w:rsid w:val="6FE81F5F"/>
    <w:rsid w:val="703B252A"/>
    <w:rsid w:val="721D26F3"/>
    <w:rsid w:val="72446028"/>
    <w:rsid w:val="72671BC0"/>
    <w:rsid w:val="73076EC0"/>
    <w:rsid w:val="74210CA6"/>
    <w:rsid w:val="746F4E76"/>
    <w:rsid w:val="788C25F5"/>
    <w:rsid w:val="79484EF1"/>
    <w:rsid w:val="79F72AA9"/>
    <w:rsid w:val="7A144529"/>
    <w:rsid w:val="7B2F7F72"/>
    <w:rsid w:val="7C06244A"/>
    <w:rsid w:val="7C7B5969"/>
    <w:rsid w:val="7DB61C4E"/>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233BE2"/>
  <w15:docId w15:val="{0DA22D10-A3B9-4690-9C90-7E844D1C8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uiPriority w:val="9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uiPriority w:val="99"/>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44049599-3e4f-4d21-8687-4e10b283433c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1D487FBD</paraID>
      <start>10</start>
      <end>11</end>
      <status>ignored</status>
      <modifiedWord/>
      <trackRevisions>false</trackRevisions>
    </reviewItem>
    <reviewItem>
      <errorID>884878aa-7933-4039-8435-ff6196727882</errorID>
      <errorWord>情况做简要</errorWord>
      <group>L1_Word</group>
      <groupName>字词问题</groupName>
      <ability>L2_Typo</ability>
      <abilityName>字词错误</abilityName>
      <candidateList>
        <item>情况作简要</item>
      </candidateList>
      <explain/>
      <paraID>198B7EFB</paraID>
      <start>16</start>
      <end>21</end>
      <status>modified</status>
      <modifiedWord>情况作简要</modifiedWord>
      <trackRevisions>false</trackRevisions>
    </reviewItem>
    <reviewItem>
      <errorID>2ee3e3ca-7f58-418f-a867-2727d52565d6</errorID>
      <errorWord>但是</errorWord>
      <group>L1_Word</group>
      <groupName>字词问题</groupName>
      <ability>L2_Typo</ability>
      <abilityName>字词错误</abilityName>
      <candidateList>
        <item>但</item>
      </candidateList>
      <explain/>
      <paraID>177340C8</paraID>
      <start>137</start>
      <end>139</end>
      <status>ignored</status>
      <modifiedWord/>
      <trackRevisions>false</trackRevisions>
    </reviewItem>
  </reviewItems>
  <config/>
</contractReview>
</file>

<file path=customXml/itemProps1.xml><?xml version="1.0" encoding="utf-8"?>
<ds:datastoreItem xmlns:ds="http://schemas.openxmlformats.org/officeDocument/2006/customXml" ds:itemID="{D8940553-8FFF-4980-A4A2-94B5E0999A29}">
  <ds:schemaRefs>
    <ds:schemaRef ds:uri="http://schemas.openxmlformats.org/officeDocument/2006/bibliography"/>
  </ds:schemaRefs>
</ds:datastoreItem>
</file>

<file path=customXml/itemProps2.xml><?xml version="1.0" encoding="utf-8"?>
<ds:datastoreItem xmlns:ds="http://schemas.openxmlformats.org/officeDocument/2006/customXml" ds:itemID="{C91D03F8-083E-43D1-858A-25C5ADCFB526}">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7</Pages>
  <Words>735</Words>
  <Characters>4196</Characters>
  <Application>Microsoft Office Word</Application>
  <DocSecurity>0</DocSecurity>
  <Lines>34</Lines>
  <Paragraphs>9</Paragraphs>
  <ScaleCrop>false</ScaleCrop>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Administrator</cp:lastModifiedBy>
  <cp:revision>3137</cp:revision>
  <dcterms:created xsi:type="dcterms:W3CDTF">2023-05-04T08:25:00Z</dcterms:created>
  <dcterms:modified xsi:type="dcterms:W3CDTF">2026-08-28T07:32:00Z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036DED5CCD3D4CE0B42EED8ABEBD242F_13</vt:lpwstr>
  </property>
  <property fmtid="{D5CDD505-2E9C-101B-9397-08002B2CF9AE}" pid="4" name="KSOTemplateDocerSaveRecord">
    <vt:lpwstr>eyJoZGlkIjoiODAyZmFjOGU4ZGI1N2JiOTFkYjdiODRlZDUxYTcyZTgiLCJ1c2VySWQiOiI0MjQ0NzUyODEifQ==</vt:lpwstr>
  </property>
</Properties>
</file>