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4A53C6">
      <w:pPr>
        <w:spacing w:after="156" w:afterLines="50" w:line="400" w:lineRule="exact"/>
        <w:jc w:val="center"/>
        <w:rPr>
          <w:rFonts w:ascii="宋体" w:hAnsi="宋体"/>
          <w:bCs/>
          <w:iCs/>
          <w:color w:val="000000"/>
          <w:sz w:val="24"/>
        </w:rPr>
      </w:pPr>
      <w:r>
        <w:rPr>
          <w:rFonts w:hint="eastAsia" w:ascii="宋体" w:hAnsi="宋体"/>
          <w:bCs/>
          <w:iCs/>
          <w:color w:val="000000"/>
          <w:sz w:val="24"/>
        </w:rPr>
        <w:t xml:space="preserve">证券代码： </w:t>
      </w:r>
      <w:r>
        <w:rPr>
          <w:bCs/>
          <w:iCs/>
          <w:color w:val="000000"/>
          <w:sz w:val="24"/>
        </w:rPr>
        <w:t>688277</w:t>
      </w:r>
      <w:r>
        <w:rPr>
          <w:rFonts w:hint="eastAsia" w:ascii="宋体" w:hAnsi="宋体"/>
          <w:bCs/>
          <w:iCs/>
          <w:color w:val="000000"/>
          <w:sz w:val="24"/>
        </w:rPr>
        <w:t xml:space="preserve">        </w:t>
      </w:r>
      <w:r>
        <w:rPr>
          <w:rFonts w:ascii="宋体" w:hAnsi="宋体"/>
          <w:bCs/>
          <w:iCs/>
          <w:color w:val="000000"/>
          <w:sz w:val="24"/>
        </w:rPr>
        <w:t xml:space="preserve">   </w:t>
      </w:r>
      <w:r>
        <w:rPr>
          <w:rFonts w:hint="eastAsia" w:ascii="宋体" w:hAnsi="宋体"/>
          <w:bCs/>
          <w:iCs/>
          <w:color w:val="000000"/>
          <w:sz w:val="24"/>
        </w:rPr>
        <w:t xml:space="preserve">     </w:t>
      </w:r>
      <w:r>
        <w:rPr>
          <w:rFonts w:ascii="宋体" w:hAnsi="宋体"/>
          <w:bCs/>
          <w:iCs/>
          <w:color w:val="000000"/>
          <w:sz w:val="24"/>
        </w:rPr>
        <w:t xml:space="preserve">          </w:t>
      </w:r>
      <w:r>
        <w:rPr>
          <w:rFonts w:hint="eastAsia" w:ascii="宋体" w:hAnsi="宋体"/>
          <w:bCs/>
          <w:iCs/>
          <w:color w:val="000000"/>
          <w:sz w:val="24"/>
        </w:rPr>
        <w:t xml:space="preserve">        证券简称：天智航 </w:t>
      </w:r>
    </w:p>
    <w:p w14:paraId="427217A7">
      <w:pPr>
        <w:spacing w:before="624" w:beforeLines="200" w:after="156" w:afterLines="50" w:line="400" w:lineRule="exact"/>
        <w:jc w:val="center"/>
        <w:rPr>
          <w:rFonts w:ascii="宋体" w:hAnsi="宋体"/>
          <w:b/>
          <w:bCs/>
          <w:iCs/>
          <w:color w:val="000000"/>
          <w:sz w:val="32"/>
          <w:szCs w:val="32"/>
        </w:rPr>
      </w:pPr>
      <w:r>
        <w:rPr>
          <w:rFonts w:hint="eastAsia" w:ascii="宋体" w:hAnsi="宋体"/>
          <w:b/>
          <w:bCs/>
          <w:iCs/>
          <w:color w:val="000000"/>
          <w:sz w:val="32"/>
          <w:szCs w:val="32"/>
        </w:rPr>
        <w:t>北京天智航医疗科技股份有限公司</w:t>
      </w:r>
    </w:p>
    <w:p w14:paraId="7C1313D2">
      <w:pPr>
        <w:spacing w:before="156" w:beforeLines="50" w:after="312" w:afterLines="100" w:line="400" w:lineRule="exact"/>
        <w:jc w:val="center"/>
        <w:rPr>
          <w:rFonts w:ascii="宋体" w:hAnsi="宋体"/>
          <w:b/>
          <w:bCs/>
          <w:iCs/>
          <w:color w:val="000000"/>
          <w:sz w:val="32"/>
          <w:szCs w:val="32"/>
        </w:rPr>
      </w:pPr>
      <w:r>
        <w:rPr>
          <w:rFonts w:hint="eastAsia" w:ascii="宋体" w:hAnsi="宋体"/>
          <w:b/>
          <w:bCs/>
          <w:iCs/>
          <w:color w:val="000000"/>
          <w:sz w:val="32"/>
          <w:szCs w:val="32"/>
        </w:rPr>
        <w:t>投资者关系活动记录表</w:t>
      </w:r>
    </w:p>
    <w:p w14:paraId="6045F6B8">
      <w:pPr>
        <w:spacing w:line="400" w:lineRule="exact"/>
        <w:rPr>
          <w:bCs/>
          <w:iCs/>
          <w:color w:val="000000"/>
          <w:sz w:val="24"/>
        </w:rPr>
      </w:pPr>
      <w:r>
        <w:rPr>
          <w:rFonts w:hint="eastAsia" w:ascii="宋体" w:hAnsi="宋体"/>
          <w:bCs/>
          <w:iCs/>
          <w:color w:val="000000"/>
          <w:sz w:val="24"/>
        </w:rPr>
        <w:t xml:space="preserve">                                                        编号：</w:t>
      </w:r>
      <w:r>
        <w:rPr>
          <w:bCs/>
          <w:iCs/>
          <w:color w:val="000000"/>
          <w:sz w:val="24"/>
        </w:rPr>
        <w:t>2026-00</w:t>
      </w:r>
      <w:r>
        <w:rPr>
          <w:rFonts w:hint="eastAsia"/>
          <w:bCs/>
          <w:iCs/>
          <w:color w:val="000000"/>
          <w:sz w:val="24"/>
        </w:rPr>
        <w:t>3</w:t>
      </w:r>
    </w:p>
    <w:tbl>
      <w:tblPr>
        <w:tblStyle w:val="9"/>
        <w:tblW w:w="86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16"/>
        <w:gridCol w:w="6720"/>
      </w:tblGrid>
      <w:tr w14:paraId="109468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16" w:type="dxa"/>
            <w:vAlign w:val="center"/>
          </w:tcPr>
          <w:p w14:paraId="1706E46C">
            <w:pPr>
              <w:spacing w:line="480" w:lineRule="atLeast"/>
              <w:jc w:val="center"/>
              <w:rPr>
                <w:b/>
                <w:bCs/>
                <w:iCs/>
                <w:color w:val="000000"/>
                <w:sz w:val="24"/>
              </w:rPr>
            </w:pPr>
            <w:r>
              <w:rPr>
                <w:b/>
                <w:bCs/>
                <w:iCs/>
                <w:color w:val="000000"/>
                <w:sz w:val="24"/>
              </w:rPr>
              <w:t>投资者关系活动类别</w:t>
            </w:r>
          </w:p>
        </w:tc>
        <w:tc>
          <w:tcPr>
            <w:tcW w:w="6720" w:type="dxa"/>
          </w:tcPr>
          <w:p w14:paraId="0DB87849">
            <w:pPr>
              <w:spacing w:line="480" w:lineRule="atLeast"/>
              <w:rPr>
                <w:bCs/>
                <w:iCs/>
                <w:color w:val="000000"/>
                <w:sz w:val="24"/>
              </w:rPr>
            </w:pPr>
            <w:r>
              <w:rPr>
                <w:bCs/>
                <w:iCs/>
                <w:color w:val="000000"/>
                <w:sz w:val="24"/>
              </w:rPr>
              <w:t>□特定对象调研        □分析师会议</w:t>
            </w:r>
          </w:p>
          <w:p w14:paraId="3A153F74">
            <w:pPr>
              <w:spacing w:line="480" w:lineRule="atLeast"/>
              <w:rPr>
                <w:bCs/>
                <w:iCs/>
                <w:color w:val="000000"/>
                <w:sz w:val="24"/>
              </w:rPr>
            </w:pPr>
            <w:r>
              <w:rPr>
                <w:bCs/>
                <w:iCs/>
                <w:color w:val="000000"/>
                <w:sz w:val="24"/>
              </w:rPr>
              <w:t xml:space="preserve">□媒体采访            </w:t>
            </w:r>
            <w:r>
              <w:rPr>
                <w:bCs/>
                <w:iCs/>
                <w:color w:val="000000"/>
                <w:sz w:val="24"/>
              </w:rPr>
              <w:sym w:font="Wingdings 2" w:char="0052"/>
            </w:r>
            <w:r>
              <w:rPr>
                <w:bCs/>
                <w:iCs/>
                <w:color w:val="000000"/>
                <w:sz w:val="24"/>
              </w:rPr>
              <w:t>业绩说明会</w:t>
            </w:r>
          </w:p>
          <w:p w14:paraId="0686C423">
            <w:pPr>
              <w:spacing w:line="480" w:lineRule="atLeast"/>
              <w:rPr>
                <w:bCs/>
                <w:iCs/>
                <w:color w:val="000000"/>
                <w:sz w:val="24"/>
              </w:rPr>
            </w:pPr>
            <w:r>
              <w:rPr>
                <w:bCs/>
                <w:iCs/>
                <w:color w:val="000000"/>
                <w:sz w:val="24"/>
              </w:rPr>
              <w:t xml:space="preserve">□新闻发布会         </w:t>
            </w:r>
            <w:r>
              <w:rPr>
                <w:rFonts w:ascii="宋体" w:hAnsi="宋体"/>
                <w:bCs/>
                <w:iCs/>
                <w:color w:val="000000"/>
                <w:sz w:val="24"/>
              </w:rPr>
              <w:t xml:space="preserve"> </w:t>
            </w:r>
            <w:r>
              <w:rPr>
                <w:bCs/>
                <w:iCs/>
                <w:color w:val="000000"/>
                <w:sz w:val="24"/>
              </w:rPr>
              <w:t>□</w:t>
            </w:r>
            <w:r>
              <w:rPr>
                <w:rFonts w:ascii="宋体" w:hAnsi="宋体"/>
                <w:bCs/>
                <w:iCs/>
                <w:color w:val="000000"/>
                <w:sz w:val="24"/>
              </w:rPr>
              <w:t>路演活动</w:t>
            </w:r>
          </w:p>
          <w:p w14:paraId="019ACE47">
            <w:pPr>
              <w:tabs>
                <w:tab w:val="left" w:pos="3045"/>
                <w:tab w:val="center" w:pos="3199"/>
              </w:tabs>
              <w:spacing w:line="480" w:lineRule="atLeast"/>
              <w:rPr>
                <w:bCs/>
                <w:iCs/>
                <w:color w:val="000000"/>
                <w:sz w:val="24"/>
              </w:rPr>
            </w:pPr>
            <w:r>
              <w:rPr>
                <w:bCs/>
                <w:iCs/>
                <w:color w:val="000000"/>
                <w:sz w:val="24"/>
              </w:rPr>
              <w:t>□</w:t>
            </w:r>
            <w:r>
              <w:rPr>
                <w:iCs/>
                <w:color w:val="000000"/>
                <w:sz w:val="24"/>
              </w:rPr>
              <w:t>现场</w:t>
            </w:r>
            <w:r>
              <w:rPr>
                <w:rFonts w:hint="eastAsia"/>
                <w:iCs/>
                <w:color w:val="000000"/>
                <w:sz w:val="24"/>
              </w:rPr>
              <w:t>交流</w:t>
            </w:r>
            <w:r>
              <w:rPr>
                <w:iCs/>
                <w:color w:val="000000"/>
                <w:sz w:val="24"/>
              </w:rPr>
              <w:t xml:space="preserve"> </w:t>
            </w:r>
            <w:r>
              <w:rPr>
                <w:b/>
                <w:iCs/>
                <w:color w:val="000000"/>
                <w:sz w:val="24"/>
              </w:rPr>
              <w:t xml:space="preserve"> </w:t>
            </w:r>
            <w:r>
              <w:rPr>
                <w:bCs/>
                <w:iCs/>
                <w:color w:val="000000"/>
                <w:sz w:val="24"/>
              </w:rPr>
              <w:t xml:space="preserve">        </w:t>
            </w:r>
            <w:r>
              <w:rPr>
                <w:rFonts w:hint="eastAsia"/>
                <w:b/>
                <w:iCs/>
                <w:color w:val="000000"/>
                <w:sz w:val="24"/>
              </w:rPr>
              <w:t xml:space="preserve">  </w:t>
            </w:r>
            <w:r>
              <w:rPr>
                <w:bCs/>
                <w:iCs/>
                <w:color w:val="000000"/>
                <w:sz w:val="24"/>
              </w:rPr>
              <w:t>□其他</w:t>
            </w:r>
          </w:p>
        </w:tc>
      </w:tr>
      <w:tr w14:paraId="4316AA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916" w:type="dxa"/>
            <w:vAlign w:val="center"/>
          </w:tcPr>
          <w:p w14:paraId="15E4C8C5">
            <w:pPr>
              <w:spacing w:line="480" w:lineRule="atLeast"/>
              <w:jc w:val="center"/>
              <w:rPr>
                <w:b/>
                <w:bCs/>
                <w:iCs/>
                <w:color w:val="000000"/>
                <w:sz w:val="24"/>
              </w:rPr>
            </w:pPr>
            <w:r>
              <w:rPr>
                <w:b/>
                <w:bCs/>
                <w:iCs/>
                <w:color w:val="000000"/>
                <w:sz w:val="24"/>
              </w:rPr>
              <w:t>参与单位名称</w:t>
            </w:r>
          </w:p>
        </w:tc>
        <w:tc>
          <w:tcPr>
            <w:tcW w:w="6720" w:type="dxa"/>
          </w:tcPr>
          <w:p w14:paraId="17640F54">
            <w:pPr>
              <w:spacing w:line="500" w:lineRule="exact"/>
              <w:rPr>
                <w:bCs/>
                <w:iCs/>
                <w:color w:val="000000"/>
                <w:sz w:val="24"/>
              </w:rPr>
            </w:pPr>
            <w:r>
              <w:rPr>
                <w:rFonts w:hint="eastAsia"/>
                <w:bCs/>
                <w:iCs/>
                <w:color w:val="000000"/>
                <w:sz w:val="24"/>
              </w:rPr>
              <w:t>华创证券、中邮证券、中信证券、中信建投、中金公司、中国人寿养老保险股份有限公司、浙江浙商证券资产管理有限公司、长城基金管理有限公司、永赢基金、银河基金管理有限公司、天治基金、天津易鑫安资产管理有限公司、深圳市前海海运通资产管理有限公司、申万菱信基金管理有限公司、申万宏源、上海宽投资产管理有限公司、上海冲积资产管理中心（有限合伙）、山西证券股份有限公司、谦璞投资、千合资本管理有限公司、平安医药、平安基金管理有限公司、宁银理财有限责任公司、宁波莲盛投资管理有限公司、开源证券、金鹰基金管理有限公司、建信理财有限责任公司、建投医药、汇丰前海证券、汇丰晋信基金管理有限公司、华夏理财有限责任公司、华宝基金管理有限公司、红塔红土基金管理有限公司、合煦智远基金管理有限公司、杭州中兰投资管理有限公司、海富通基金管理有限公司、国信证券、国投证券资产管理有限公司、国联民生、国金证券、广州鸣海投资有限公司、广发证券、光大证券、荷荷(北京)私募基金管理有限公司、方正医药、东方财富证券、东北证券、创金合信管理有限公司、财信证券有限责任公司、HSZ (Hong Kong) Limited、Beijing FY Private Fund</w:t>
            </w:r>
          </w:p>
        </w:tc>
      </w:tr>
      <w:tr w14:paraId="6BC38D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16" w:type="dxa"/>
          </w:tcPr>
          <w:p w14:paraId="4FC838AC">
            <w:pPr>
              <w:spacing w:line="480" w:lineRule="atLeast"/>
              <w:jc w:val="center"/>
              <w:rPr>
                <w:b/>
                <w:bCs/>
                <w:iCs/>
                <w:color w:val="000000"/>
                <w:sz w:val="24"/>
              </w:rPr>
            </w:pPr>
            <w:r>
              <w:rPr>
                <w:b/>
                <w:bCs/>
                <w:iCs/>
                <w:color w:val="000000"/>
                <w:sz w:val="24"/>
              </w:rPr>
              <w:t>时间</w:t>
            </w:r>
          </w:p>
        </w:tc>
        <w:tc>
          <w:tcPr>
            <w:tcW w:w="6720" w:type="dxa"/>
            <w:vAlign w:val="center"/>
          </w:tcPr>
          <w:p w14:paraId="606B49C9">
            <w:pPr>
              <w:spacing w:line="360" w:lineRule="auto"/>
              <w:rPr>
                <w:bCs/>
                <w:iCs/>
                <w:color w:val="000000"/>
                <w:sz w:val="24"/>
              </w:rPr>
            </w:pPr>
            <w:r>
              <w:rPr>
                <w:bCs/>
                <w:iCs/>
                <w:color w:val="000000"/>
                <w:sz w:val="24"/>
              </w:rPr>
              <w:t>2026年8</w:t>
            </w:r>
            <w:r>
              <w:rPr>
                <w:rFonts w:hint="eastAsia"/>
                <w:bCs/>
                <w:iCs/>
                <w:color w:val="000000"/>
                <w:sz w:val="24"/>
              </w:rPr>
              <w:t>月</w:t>
            </w:r>
            <w:r>
              <w:rPr>
                <w:bCs/>
                <w:iCs/>
                <w:color w:val="000000"/>
                <w:sz w:val="24"/>
              </w:rPr>
              <w:t>26</w:t>
            </w:r>
            <w:r>
              <w:rPr>
                <w:rFonts w:hint="eastAsia"/>
                <w:bCs/>
                <w:iCs/>
                <w:color w:val="000000"/>
                <w:sz w:val="24"/>
              </w:rPr>
              <w:t>日</w:t>
            </w:r>
          </w:p>
        </w:tc>
      </w:tr>
      <w:tr w14:paraId="118534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916" w:type="dxa"/>
          </w:tcPr>
          <w:p w14:paraId="7890A635">
            <w:pPr>
              <w:spacing w:line="480" w:lineRule="atLeast"/>
              <w:jc w:val="center"/>
              <w:rPr>
                <w:b/>
                <w:bCs/>
                <w:iCs/>
                <w:color w:val="000000"/>
                <w:sz w:val="24"/>
              </w:rPr>
            </w:pPr>
            <w:r>
              <w:rPr>
                <w:b/>
                <w:bCs/>
                <w:iCs/>
                <w:color w:val="000000"/>
                <w:sz w:val="24"/>
              </w:rPr>
              <w:t>地点</w:t>
            </w:r>
          </w:p>
        </w:tc>
        <w:tc>
          <w:tcPr>
            <w:tcW w:w="6720" w:type="dxa"/>
            <w:vAlign w:val="center"/>
          </w:tcPr>
          <w:p w14:paraId="3489F14E">
            <w:pPr>
              <w:spacing w:line="360" w:lineRule="auto"/>
              <w:rPr>
                <w:bCs/>
                <w:iCs/>
                <w:color w:val="000000"/>
                <w:sz w:val="24"/>
              </w:rPr>
            </w:pPr>
            <w:r>
              <w:rPr>
                <w:rFonts w:hint="eastAsia"/>
                <w:bCs/>
                <w:iCs/>
                <w:color w:val="000000"/>
                <w:sz w:val="24"/>
              </w:rPr>
              <w:t>线上</w:t>
            </w:r>
          </w:p>
        </w:tc>
      </w:tr>
      <w:tr w14:paraId="09F8EC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16" w:type="dxa"/>
            <w:vAlign w:val="center"/>
          </w:tcPr>
          <w:p w14:paraId="49605E76">
            <w:pPr>
              <w:spacing w:line="480" w:lineRule="atLeast"/>
              <w:jc w:val="center"/>
              <w:rPr>
                <w:b/>
                <w:bCs/>
                <w:iCs/>
                <w:color w:val="000000"/>
                <w:sz w:val="24"/>
              </w:rPr>
            </w:pPr>
            <w:r>
              <w:rPr>
                <w:b/>
                <w:bCs/>
                <w:iCs/>
                <w:color w:val="000000"/>
                <w:sz w:val="24"/>
              </w:rPr>
              <w:t>上市公司</w:t>
            </w:r>
          </w:p>
          <w:p w14:paraId="73E53373">
            <w:pPr>
              <w:spacing w:line="480" w:lineRule="atLeast"/>
              <w:jc w:val="center"/>
              <w:rPr>
                <w:b/>
                <w:bCs/>
                <w:iCs/>
                <w:color w:val="000000"/>
                <w:sz w:val="24"/>
              </w:rPr>
            </w:pPr>
            <w:r>
              <w:rPr>
                <w:b/>
                <w:bCs/>
                <w:iCs/>
                <w:color w:val="000000"/>
                <w:sz w:val="24"/>
              </w:rPr>
              <w:t>接待人员姓名</w:t>
            </w:r>
          </w:p>
        </w:tc>
        <w:tc>
          <w:tcPr>
            <w:tcW w:w="6720" w:type="dxa"/>
            <w:vAlign w:val="center"/>
          </w:tcPr>
          <w:p w14:paraId="71E361B7">
            <w:pPr>
              <w:rPr>
                <w:bCs/>
                <w:iCs/>
                <w:color w:val="000000"/>
                <w:sz w:val="24"/>
              </w:rPr>
            </w:pPr>
            <w:r>
              <w:rPr>
                <w:bCs/>
                <w:iCs/>
                <w:color w:val="000000"/>
                <w:sz w:val="24"/>
              </w:rPr>
              <w:t>公司董事</w:t>
            </w:r>
            <w:r>
              <w:rPr>
                <w:rFonts w:hint="eastAsia"/>
                <w:bCs/>
                <w:iCs/>
                <w:color w:val="000000"/>
                <w:sz w:val="24"/>
              </w:rPr>
              <w:t>&amp;总经理 徐进、</w:t>
            </w:r>
            <w:r>
              <w:rPr>
                <w:bCs/>
                <w:iCs/>
                <w:color w:val="000000"/>
                <w:sz w:val="24"/>
              </w:rPr>
              <w:t>公司董事会秘书</w:t>
            </w:r>
            <w:r>
              <w:rPr>
                <w:rFonts w:hint="eastAsia"/>
                <w:bCs/>
                <w:iCs/>
                <w:color w:val="000000"/>
                <w:sz w:val="24"/>
              </w:rPr>
              <w:t xml:space="preserve"> </w:t>
            </w:r>
            <w:r>
              <w:rPr>
                <w:bCs/>
                <w:iCs/>
                <w:color w:val="000000"/>
                <w:sz w:val="24"/>
              </w:rPr>
              <w:t>黄军辉</w:t>
            </w:r>
            <w:r>
              <w:rPr>
                <w:rFonts w:hint="eastAsia"/>
                <w:bCs/>
                <w:iCs/>
                <w:color w:val="000000"/>
                <w:sz w:val="24"/>
              </w:rPr>
              <w:t>、财务总监 齐敏、投资者关系总监 薛妍</w:t>
            </w:r>
          </w:p>
        </w:tc>
      </w:tr>
      <w:tr w14:paraId="22CBAC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916" w:type="dxa"/>
            <w:vAlign w:val="center"/>
          </w:tcPr>
          <w:p w14:paraId="2C93A5EB">
            <w:pPr>
              <w:spacing w:line="480" w:lineRule="atLeast"/>
              <w:rPr>
                <w:b/>
                <w:bCs/>
                <w:iCs/>
                <w:color w:val="000000"/>
                <w:sz w:val="24"/>
              </w:rPr>
            </w:pPr>
            <w:r>
              <w:rPr>
                <w:b/>
                <w:bCs/>
                <w:iCs/>
                <w:color w:val="000000"/>
                <w:sz w:val="24"/>
              </w:rPr>
              <w:t>投资者关系活动主要内容介绍</w:t>
            </w:r>
          </w:p>
          <w:p w14:paraId="2FEE8B52">
            <w:pPr>
              <w:spacing w:line="480" w:lineRule="atLeast"/>
              <w:rPr>
                <w:b/>
                <w:bCs/>
                <w:iCs/>
                <w:color w:val="000000"/>
                <w:sz w:val="24"/>
              </w:rPr>
            </w:pPr>
          </w:p>
        </w:tc>
        <w:tc>
          <w:tcPr>
            <w:tcW w:w="6720" w:type="dxa"/>
          </w:tcPr>
          <w:p w14:paraId="297D6C46">
            <w:pPr>
              <w:pStyle w:val="22"/>
              <w:numPr>
                <w:ilvl w:val="0"/>
                <w:numId w:val="1"/>
              </w:numPr>
              <w:tabs>
                <w:tab w:val="left" w:pos="312"/>
              </w:tabs>
              <w:spacing w:before="156" w:beforeLines="50" w:line="440" w:lineRule="exact"/>
              <w:ind w:firstLineChars="0"/>
              <w:jc w:val="left"/>
              <w:rPr>
                <w:b/>
                <w:i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公司</w:t>
            </w:r>
            <w:r>
              <w:rPr>
                <w:rFonts w:ascii="Times New Roman" w:hAnsi="Times New Roman" w:eastAsia="宋体" w:cs="Times New Roman"/>
                <w:b/>
                <w:bCs/>
                <w:sz w:val="24"/>
                <w:szCs w:val="24"/>
              </w:rPr>
              <w:t>2026</w:t>
            </w: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上半年业绩情况？</w:t>
            </w:r>
          </w:p>
          <w:p w14:paraId="06621729">
            <w:pPr>
              <w:pStyle w:val="26"/>
              <w:widowControl/>
              <w:spacing w:before="156" w:beforeLines="50" w:after="156" w:afterLines="50"/>
              <w:ind w:firstLine="480" w:firstLineChars="200"/>
              <w:jc w:val="both"/>
              <w:rPr>
                <w:rFonts w:ascii="宋体" w:hAnsi="宋体" w:eastAsia="宋体" w:cs="微软雅黑"/>
              </w:rPr>
            </w:pPr>
            <w:r>
              <w:rPr>
                <w:rFonts w:ascii="Times New Roman" w:hAnsi="Times New Roman" w:eastAsia="宋体"/>
              </w:rPr>
              <w:t>2026</w:t>
            </w:r>
            <w:r>
              <w:rPr>
                <w:rFonts w:hint="eastAsia" w:ascii="宋体" w:hAnsi="宋体" w:eastAsia="宋体" w:cs="微软雅黑"/>
              </w:rPr>
              <w:t>年上半年，公司实现营业收入约</w:t>
            </w:r>
            <w:r>
              <w:rPr>
                <w:rFonts w:ascii="Times New Roman" w:hAnsi="Times New Roman" w:eastAsia="宋体"/>
              </w:rPr>
              <w:t>1.05</w:t>
            </w:r>
            <w:r>
              <w:rPr>
                <w:rFonts w:hint="eastAsia" w:ascii="宋体" w:hAnsi="宋体" w:eastAsia="宋体" w:cs="微软雅黑"/>
              </w:rPr>
              <w:t>亿元，受行业竞争加剧、整机订单落地放缓等因素影响，较上年同期有所下降。随着手术量的持续稳步增长，公司上半年配套设备及耗材收入同比增长超</w:t>
            </w:r>
            <w:r>
              <w:rPr>
                <w:rFonts w:ascii="Times New Roman" w:hAnsi="Times New Roman" w:eastAsia="宋体"/>
              </w:rPr>
              <w:t>10%</w:t>
            </w:r>
            <w:r>
              <w:rPr>
                <w:rFonts w:hint="eastAsia" w:ascii="宋体" w:hAnsi="宋体" w:eastAsia="宋体" w:cs="微软雅黑"/>
              </w:rPr>
              <w:t>，收入结构持续优化。</w:t>
            </w:r>
          </w:p>
          <w:p w14:paraId="3C5BF0D6">
            <w:pPr>
              <w:pStyle w:val="26"/>
              <w:widowControl/>
              <w:spacing w:before="156" w:beforeLines="50" w:after="156" w:afterLines="50"/>
              <w:ind w:firstLine="480" w:firstLineChars="200"/>
              <w:jc w:val="both"/>
              <w:rPr>
                <w:rFonts w:ascii="宋体" w:hAnsi="宋体" w:eastAsia="宋体" w:cs="微软雅黑"/>
                <w:sz w:val="21"/>
                <w:szCs w:val="21"/>
              </w:rPr>
            </w:pPr>
            <w:r>
              <w:rPr>
                <w:rFonts w:hint="eastAsia" w:ascii="宋体" w:hAnsi="宋体" w:eastAsia="宋体" w:cs="微软雅黑"/>
              </w:rPr>
              <w:t>面对行业竞争加剧，公司坚持长期投入，持续聚焦骨科手术机器人核心产品迭代创新，持续加大骨科机器人新一代产品、配套耗材及设备等研发投入，持续构建技术与应用的护城河。</w:t>
            </w:r>
          </w:p>
          <w:p w14:paraId="01B6FA2C">
            <w:pPr>
              <w:pStyle w:val="22"/>
              <w:numPr>
                <w:ilvl w:val="0"/>
                <w:numId w:val="1"/>
              </w:numPr>
              <w:tabs>
                <w:tab w:val="left" w:pos="312"/>
              </w:tabs>
              <w:spacing w:before="156" w:beforeLines="50" w:line="440" w:lineRule="exact"/>
              <w:ind w:firstLineChars="0"/>
              <w:jc w:val="left"/>
              <w:rPr>
                <w:b/>
                <w:i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i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公司</w:t>
            </w: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报告期内产品应用及手术量情况</w:t>
            </w:r>
            <w:r>
              <w:rPr>
                <w:rFonts w:hint="eastAsia"/>
                <w:b/>
                <w:i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？</w:t>
            </w:r>
          </w:p>
          <w:p w14:paraId="490995E1">
            <w:pPr>
              <w:pStyle w:val="26"/>
              <w:widowControl/>
              <w:spacing w:before="156" w:beforeLines="50" w:after="156" w:afterLines="50"/>
              <w:ind w:firstLine="480" w:firstLineChars="200"/>
              <w:jc w:val="both"/>
              <w:rPr>
                <w:rFonts w:ascii="宋体" w:hAnsi="宋体" w:eastAsia="宋体" w:cs="微软雅黑"/>
              </w:rPr>
            </w:pPr>
            <w:r>
              <w:rPr>
                <w:rFonts w:ascii="Times New Roman" w:hAnsi="Times New Roman" w:eastAsia="宋体"/>
              </w:rPr>
              <w:t>2026</w:t>
            </w:r>
            <w:r>
              <w:rPr>
                <w:rFonts w:hint="eastAsia" w:ascii="宋体" w:hAnsi="宋体" w:eastAsia="宋体" w:cs="微软雅黑"/>
              </w:rPr>
              <w:t>年上半年，公司核心产品天玑骨科手术机器人开展手术数量超过</w:t>
            </w:r>
            <w:r>
              <w:rPr>
                <w:rFonts w:ascii="Times New Roman" w:hAnsi="Times New Roman" w:eastAsia="宋体"/>
              </w:rPr>
              <w:t>2.8</w:t>
            </w:r>
            <w:r>
              <w:rPr>
                <w:rFonts w:hint="eastAsia" w:ascii="宋体" w:hAnsi="宋体" w:eastAsia="宋体" w:cs="微软雅黑"/>
              </w:rPr>
              <w:t>万例，较去年同期的超</w:t>
            </w:r>
            <w:r>
              <w:rPr>
                <w:rFonts w:ascii="Times New Roman" w:hAnsi="Times New Roman" w:eastAsia="宋体"/>
              </w:rPr>
              <w:t>2.2</w:t>
            </w:r>
            <w:r>
              <w:rPr>
                <w:rFonts w:hint="eastAsia" w:ascii="宋体" w:hAnsi="宋体" w:eastAsia="宋体" w:cs="微软雅黑"/>
              </w:rPr>
              <w:t>万例实现稳步增长；截至</w:t>
            </w:r>
            <w:r>
              <w:rPr>
                <w:rFonts w:ascii="Times New Roman" w:hAnsi="Times New Roman" w:eastAsia="宋体"/>
              </w:rPr>
              <w:t>2026</w:t>
            </w:r>
            <w:r>
              <w:rPr>
                <w:rFonts w:hint="eastAsia" w:ascii="宋体" w:hAnsi="宋体" w:eastAsia="宋体" w:cs="微软雅黑"/>
              </w:rPr>
              <w:t>年</w:t>
            </w:r>
            <w:r>
              <w:rPr>
                <w:rFonts w:ascii="Times New Roman" w:hAnsi="Times New Roman" w:eastAsia="宋体"/>
              </w:rPr>
              <w:t>6</w:t>
            </w:r>
            <w:r>
              <w:rPr>
                <w:rFonts w:hint="eastAsia" w:ascii="宋体" w:hAnsi="宋体" w:eastAsia="宋体" w:cs="微软雅黑"/>
              </w:rPr>
              <w:t>月</w:t>
            </w:r>
            <w:r>
              <w:rPr>
                <w:rFonts w:ascii="Times New Roman" w:hAnsi="Times New Roman" w:eastAsia="宋体"/>
              </w:rPr>
              <w:t>30</w:t>
            </w:r>
            <w:r>
              <w:rPr>
                <w:rFonts w:hint="eastAsia" w:ascii="宋体" w:hAnsi="宋体" w:eastAsia="宋体" w:cs="微软雅黑"/>
              </w:rPr>
              <w:t>日，累计开展手术数量已超过</w:t>
            </w:r>
            <w:r>
              <w:rPr>
                <w:rFonts w:ascii="Times New Roman" w:hAnsi="Times New Roman" w:eastAsia="宋体"/>
              </w:rPr>
              <w:t>18</w:t>
            </w:r>
            <w:r>
              <w:rPr>
                <w:rFonts w:hint="eastAsia" w:ascii="宋体" w:hAnsi="宋体" w:eastAsia="宋体" w:cs="微软雅黑"/>
              </w:rPr>
              <w:t>万例，在行业内大幅领先。</w:t>
            </w:r>
          </w:p>
          <w:p w14:paraId="0FC7A4CB">
            <w:pPr>
              <w:pStyle w:val="26"/>
              <w:widowControl/>
              <w:spacing w:before="156" w:beforeLines="50" w:after="156" w:afterLines="50"/>
              <w:ind w:firstLine="480" w:firstLineChars="200"/>
              <w:jc w:val="both"/>
              <w:rPr>
                <w:rFonts w:ascii="宋体" w:hAnsi="宋体" w:eastAsia="宋体" w:cs="微软雅黑"/>
                <w:sz w:val="21"/>
                <w:szCs w:val="21"/>
              </w:rPr>
            </w:pPr>
            <w:r>
              <w:rPr>
                <w:rFonts w:hint="eastAsia" w:ascii="宋体" w:hAnsi="宋体" w:eastAsia="宋体" w:cs="微软雅黑"/>
              </w:rPr>
              <w:t>骨科手术机器人手术量是衡量企业产品力、商业拓展能力、服务支撑能力、可持续发展能力的核心综合指标，更是后续耗材、配套服务变现的重要入口。</w:t>
            </w:r>
            <w:r>
              <w:rPr>
                <w:rFonts w:ascii="Times New Roman" w:hAnsi="Times New Roman" w:eastAsia="宋体" w:cs="Times New Roman"/>
              </w:rPr>
              <w:t>2026</w:t>
            </w:r>
            <w:r>
              <w:rPr>
                <w:rFonts w:ascii="宋体" w:hAnsi="宋体" w:eastAsia="宋体" w:cs="微软雅黑"/>
              </w:rPr>
              <w:t>年</w:t>
            </w:r>
            <w:r>
              <w:rPr>
                <w:rFonts w:ascii="Times New Roman" w:hAnsi="Times New Roman" w:eastAsia="宋体" w:cs="Times New Roman"/>
              </w:rPr>
              <w:t>1</w:t>
            </w:r>
            <w:r>
              <w:rPr>
                <w:rFonts w:ascii="宋体" w:hAnsi="宋体" w:eastAsia="宋体" w:cs="微软雅黑"/>
              </w:rPr>
              <w:t>月，国家医保局《手术和治疗辅助操作类医疗服务价格项目立项指南（试行）》正式发布后，湖南、广东、江苏等</w:t>
            </w:r>
            <w:r>
              <w:rPr>
                <w:rFonts w:hint="eastAsia" w:ascii="宋体" w:hAnsi="宋体" w:eastAsia="宋体" w:cs="微软雅黑"/>
              </w:rPr>
              <w:t>多省份</w:t>
            </w:r>
            <w:r>
              <w:rPr>
                <w:rFonts w:ascii="宋体" w:hAnsi="宋体" w:eastAsia="宋体" w:cs="微软雅黑"/>
              </w:rPr>
              <w:t>陆续跟进落地。</w:t>
            </w:r>
            <w:r>
              <w:rPr>
                <w:rFonts w:hint="eastAsia" w:ascii="宋体" w:hAnsi="宋体" w:eastAsia="宋体" w:cs="微软雅黑"/>
              </w:rPr>
              <w:t>随着</w:t>
            </w:r>
            <w:r>
              <w:rPr>
                <w:rFonts w:ascii="宋体" w:hAnsi="宋体" w:eastAsia="宋体" w:cs="微软雅黑"/>
              </w:rPr>
              <w:t>按临床价值分级的收费模式</w:t>
            </w:r>
            <w:r>
              <w:rPr>
                <w:rFonts w:hint="eastAsia" w:ascii="宋体" w:hAnsi="宋体" w:eastAsia="宋体" w:cs="微软雅黑"/>
              </w:rPr>
              <w:t>逐步落地执行</w:t>
            </w:r>
            <w:r>
              <w:rPr>
                <w:rFonts w:ascii="宋体" w:hAnsi="宋体" w:eastAsia="宋体" w:cs="微软雅黑"/>
              </w:rPr>
              <w:t>，国内市场需求有望继续放量。</w:t>
            </w:r>
          </w:p>
          <w:p w14:paraId="7794F3CE">
            <w:pPr>
              <w:pStyle w:val="22"/>
              <w:numPr>
                <w:ilvl w:val="0"/>
                <w:numId w:val="1"/>
              </w:numPr>
              <w:tabs>
                <w:tab w:val="left" w:pos="312"/>
              </w:tabs>
              <w:spacing w:before="156" w:beforeLines="50" w:line="440" w:lineRule="exact"/>
              <w:ind w:firstLineChars="0"/>
              <w:jc w:val="left"/>
              <w:rPr>
                <w:b/>
                <w:i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i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公司出海进展情况？</w:t>
            </w:r>
          </w:p>
          <w:p w14:paraId="5EC35021">
            <w:pPr>
              <w:pStyle w:val="26"/>
              <w:widowControl/>
              <w:spacing w:before="156" w:beforeLines="50" w:after="156" w:afterLines="50"/>
              <w:ind w:firstLine="480" w:firstLineChars="200"/>
              <w:jc w:val="both"/>
              <w:rPr>
                <w:rFonts w:ascii="宋体" w:hAnsi="宋体" w:eastAsia="宋体" w:cs="微软雅黑"/>
              </w:rPr>
            </w:pPr>
            <w:r>
              <w:rPr>
                <w:rFonts w:hint="eastAsia" w:ascii="宋体" w:hAnsi="宋体" w:eastAsia="宋体" w:cs="微软雅黑"/>
              </w:rPr>
              <w:t>报告期内，公司围绕既定出海战略开展工作，积极参与海外展会，全面展示公司的技术创新成果、产品矩阵、综合实力，多渠道拓展海外业务，与多家国际潜在合作伙伴接触洽谈，稳步构建国际业务网络。上半年实现海外收入确认落地，标志着公司国际化战略从探索期进一步走向收获期。公司围绕海外目标市场构建的发展策略正陆续获得商业验证，为长期发展打开新的增长空间。</w:t>
            </w:r>
          </w:p>
          <w:p w14:paraId="1B45D1B6">
            <w:pPr>
              <w:pStyle w:val="26"/>
              <w:widowControl/>
              <w:spacing w:before="156" w:beforeLines="50" w:after="156" w:afterLines="50"/>
              <w:ind w:firstLine="480" w:firstLineChars="200"/>
              <w:jc w:val="both"/>
              <w:rPr>
                <w:rFonts w:ascii="宋体" w:hAnsi="宋体" w:eastAsia="宋体" w:cs="微软雅黑"/>
                <w:sz w:val="21"/>
                <w:szCs w:val="21"/>
              </w:rPr>
            </w:pPr>
            <w:r>
              <w:rPr>
                <w:rFonts w:hint="eastAsia" w:ascii="宋体" w:hAnsi="宋体" w:eastAsia="宋体" w:cs="微软雅黑"/>
              </w:rPr>
              <w:t>此外，公司拟以发行股份方式购买微创医疗国际(非中国)骨科业务的核心运行主体上海微创骨科医疗科技有限公司的控制权，加快公司国际化布局。公司已于</w:t>
            </w:r>
            <w:r>
              <w:rPr>
                <w:rFonts w:ascii="Times New Roman" w:hAnsi="Times New Roman" w:eastAsia="宋体"/>
              </w:rPr>
              <w:t>2026</w:t>
            </w:r>
            <w:r>
              <w:rPr>
                <w:rFonts w:hint="eastAsia" w:ascii="宋体" w:hAnsi="宋体" w:eastAsia="宋体" w:cs="微软雅黑"/>
              </w:rPr>
              <w:t>年</w:t>
            </w:r>
            <w:r>
              <w:rPr>
                <w:rFonts w:ascii="Times New Roman" w:hAnsi="Times New Roman" w:eastAsia="宋体"/>
              </w:rPr>
              <w:t>7</w:t>
            </w:r>
            <w:r>
              <w:rPr>
                <w:rFonts w:hint="eastAsia" w:ascii="宋体" w:hAnsi="宋体" w:eastAsia="宋体" w:cs="微软雅黑"/>
              </w:rPr>
              <w:t>月</w:t>
            </w:r>
            <w:r>
              <w:rPr>
                <w:rFonts w:ascii="Times New Roman" w:hAnsi="Times New Roman" w:eastAsia="宋体"/>
              </w:rPr>
              <w:t>30</w:t>
            </w:r>
            <w:r>
              <w:rPr>
                <w:rFonts w:hint="eastAsia" w:ascii="宋体" w:hAnsi="宋体" w:eastAsia="宋体" w:cs="微软雅黑"/>
              </w:rPr>
              <w:t>日在上海证券交易所网站(</w:t>
            </w:r>
            <w:r>
              <w:rPr>
                <w:rFonts w:ascii="Times New Roman" w:hAnsi="Times New Roman" w:eastAsia="宋体"/>
              </w:rPr>
              <w:t>www.sse.com.cn</w:t>
            </w:r>
            <w:r>
              <w:rPr>
                <w:rFonts w:hint="eastAsia" w:ascii="宋体" w:hAnsi="宋体" w:eastAsia="宋体" w:cs="微软雅黑"/>
              </w:rPr>
              <w:t>)发布了《发行股份购买资产并募集配套资金暨关联交易预案》。本次交易尚需满足多项交易条件后方可实施，包括但不限于公司再次召开董事会、召开股东会审议通过本次交易的正式方案、上海证券交易所审核通过、中国证券监督管理委员会同意注册等。公司将及时披露本次交易的最新进展。</w:t>
            </w:r>
          </w:p>
          <w:p w14:paraId="601A4C86">
            <w:pPr>
              <w:pStyle w:val="22"/>
              <w:numPr>
                <w:ilvl w:val="0"/>
                <w:numId w:val="1"/>
              </w:numPr>
              <w:tabs>
                <w:tab w:val="left" w:pos="312"/>
              </w:tabs>
              <w:spacing w:before="312" w:beforeLines="100" w:line="440" w:lineRule="exact"/>
              <w:ind w:left="357" w:hanging="357" w:firstLineChars="0"/>
              <w:jc w:val="left"/>
              <w:rPr>
                <w:b/>
                <w:i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i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公司产品</w:t>
            </w: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FDA</w:t>
            </w:r>
            <w:r>
              <w:rPr>
                <w:rFonts w:hint="eastAsia"/>
                <w:b/>
                <w:i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申请进展？</w:t>
            </w:r>
          </w:p>
          <w:p w14:paraId="0DCB7221">
            <w:pPr>
              <w:pStyle w:val="26"/>
              <w:widowControl/>
              <w:spacing w:before="156" w:beforeLines="50" w:after="156" w:afterLines="50"/>
              <w:ind w:firstLine="480" w:firstLineChars="200"/>
              <w:jc w:val="both"/>
              <w:rPr>
                <w:rFonts w:ascii="宋体" w:hAnsi="宋体" w:eastAsia="宋体" w:cs="微软雅黑"/>
              </w:rPr>
            </w:pPr>
            <w:r>
              <w:rPr>
                <w:rFonts w:hint="eastAsia" w:ascii="宋体" w:hAnsi="宋体" w:eastAsia="宋体" w:cs="微软雅黑"/>
              </w:rPr>
              <w:t>公司已通过拟收购标的公司下属子公司</w:t>
            </w:r>
            <w:r>
              <w:rPr>
                <w:rFonts w:ascii="Times New Roman" w:hAnsi="Times New Roman" w:eastAsia="宋体"/>
              </w:rPr>
              <w:t>MicroPort Orthopedics Inc</w:t>
            </w:r>
            <w:r>
              <w:rPr>
                <w:rFonts w:hint="eastAsia" w:ascii="宋体" w:hAnsi="宋体" w:eastAsia="宋体" w:cs="微软雅黑"/>
              </w:rPr>
              <w:t>（以下简称“美国</w:t>
            </w:r>
            <w:r>
              <w:rPr>
                <w:rFonts w:ascii="Times New Roman" w:hAnsi="Times New Roman" w:eastAsia="宋体"/>
              </w:rPr>
              <w:t>MPO</w:t>
            </w:r>
            <w:r>
              <w:rPr>
                <w:rFonts w:hint="eastAsia" w:ascii="宋体" w:hAnsi="宋体" w:eastAsia="宋体" w:cs="微软雅黑"/>
              </w:rPr>
              <w:t>”）作为申报主体，向美国食品药品监督管理局（</w:t>
            </w:r>
            <w:r>
              <w:rPr>
                <w:rFonts w:ascii="Times New Roman" w:hAnsi="Times New Roman" w:eastAsia="宋体"/>
              </w:rPr>
              <w:t>FDA</w:t>
            </w:r>
            <w:r>
              <w:rPr>
                <w:rFonts w:hint="eastAsia" w:ascii="宋体" w:hAnsi="宋体" w:eastAsia="宋体" w:cs="微软雅黑"/>
              </w:rPr>
              <w:t>）提交了相关骨科手术机器人产品的</w:t>
            </w:r>
            <w:r>
              <w:rPr>
                <w:rFonts w:ascii="Times New Roman" w:hAnsi="Times New Roman" w:eastAsia="宋体"/>
              </w:rPr>
              <w:t>510(k)</w:t>
            </w:r>
            <w:r>
              <w:rPr>
                <w:rFonts w:hint="eastAsia" w:ascii="宋体" w:hAnsi="宋体" w:eastAsia="宋体" w:cs="微软雅黑"/>
              </w:rPr>
              <w:t>申请。</w:t>
            </w:r>
            <w:r>
              <w:rPr>
                <w:rFonts w:ascii="Times New Roman" w:hAnsi="Times New Roman" w:eastAsia="宋体"/>
              </w:rPr>
              <w:t>7</w:t>
            </w:r>
            <w:r>
              <w:rPr>
                <w:rFonts w:hint="eastAsia" w:ascii="宋体" w:hAnsi="宋体" w:eastAsia="宋体" w:cs="微软雅黑"/>
              </w:rPr>
              <w:t>月，美国</w:t>
            </w:r>
            <w:r>
              <w:rPr>
                <w:rFonts w:ascii="Times New Roman" w:hAnsi="Times New Roman" w:eastAsia="宋体"/>
              </w:rPr>
              <w:t>MPO</w:t>
            </w:r>
            <w:r>
              <w:rPr>
                <w:rFonts w:hint="eastAsia" w:ascii="宋体" w:hAnsi="宋体" w:eastAsia="宋体" w:cs="微软雅黑"/>
              </w:rPr>
              <w:t>已收到</w:t>
            </w:r>
            <w:r>
              <w:rPr>
                <w:rFonts w:ascii="Times New Roman" w:hAnsi="Times New Roman" w:eastAsia="宋体"/>
              </w:rPr>
              <w:t>FDA</w:t>
            </w:r>
            <w:r>
              <w:rPr>
                <w:rFonts w:hint="eastAsia" w:ascii="宋体" w:hAnsi="宋体" w:eastAsia="宋体" w:cs="微软雅黑"/>
              </w:rPr>
              <w:t>关于受理审查结果的电子通知，正式受理骨科手术机器人产品的</w:t>
            </w:r>
            <w:r>
              <w:rPr>
                <w:rFonts w:ascii="Times New Roman" w:hAnsi="Times New Roman" w:eastAsia="宋体"/>
              </w:rPr>
              <w:t>FDA 510(k)</w:t>
            </w:r>
            <w:r>
              <w:rPr>
                <w:rFonts w:hint="eastAsia" w:ascii="宋体" w:hAnsi="宋体" w:eastAsia="宋体" w:cs="微软雅黑"/>
              </w:rPr>
              <w:t>申请，目前产品正在由骨科器械办公室</w:t>
            </w:r>
            <w:r>
              <w:rPr>
                <w:rFonts w:ascii="Times New Roman" w:hAnsi="Times New Roman" w:eastAsia="宋体"/>
              </w:rPr>
              <w:t>（</w:t>
            </w:r>
            <w:r>
              <w:rPr>
                <w:rFonts w:hint="eastAsia" w:ascii="Times New Roman" w:hAnsi="Times New Roman" w:eastAsia="宋体"/>
              </w:rPr>
              <w:t>OHT 6: Office of Orthopedic Devices</w:t>
            </w:r>
            <w:r>
              <w:rPr>
                <w:rFonts w:ascii="Times New Roman" w:hAnsi="Times New Roman" w:eastAsia="宋体"/>
              </w:rPr>
              <w:t>）</w:t>
            </w:r>
            <w:r>
              <w:rPr>
                <w:rFonts w:hint="eastAsia" w:ascii="宋体" w:hAnsi="宋体" w:eastAsia="宋体" w:cs="微软雅黑"/>
              </w:rPr>
              <w:t>下属的立体定向、创伤和修复设备处</w:t>
            </w:r>
            <w:r>
              <w:rPr>
                <w:rFonts w:ascii="Times New Roman" w:hAnsi="Times New Roman" w:eastAsia="宋体"/>
              </w:rPr>
              <w:t>（</w:t>
            </w:r>
            <w:r>
              <w:rPr>
                <w:rFonts w:hint="eastAsia" w:ascii="Times New Roman" w:hAnsi="Times New Roman" w:eastAsia="宋体"/>
              </w:rPr>
              <w:t>DHT 6C: Division of Stereotaxic, Trauma, and Restorative Devices</w:t>
            </w:r>
            <w:r>
              <w:rPr>
                <w:rFonts w:ascii="Times New Roman" w:hAnsi="Times New Roman" w:eastAsia="宋体"/>
              </w:rPr>
              <w:t>）</w:t>
            </w:r>
            <w:r>
              <w:rPr>
                <w:rFonts w:hint="eastAsia" w:ascii="宋体" w:hAnsi="宋体" w:eastAsia="宋体" w:cs="微软雅黑"/>
              </w:rPr>
              <w:t>审评；根据美国医疗器械监管规定，相关产品需经</w:t>
            </w:r>
            <w:r>
              <w:rPr>
                <w:rFonts w:ascii="Times New Roman" w:hAnsi="Times New Roman" w:eastAsia="宋体"/>
              </w:rPr>
              <w:t>FDA</w:t>
            </w:r>
            <w:r>
              <w:rPr>
                <w:rFonts w:hint="eastAsia" w:ascii="宋体" w:hAnsi="宋体" w:eastAsia="宋体" w:cs="微软雅黑"/>
              </w:rPr>
              <w:t>审评并取得实质等同认定后，方可在美国市场开展商业化销售。</w:t>
            </w:r>
          </w:p>
          <w:p w14:paraId="78DC1C3E">
            <w:pPr>
              <w:pStyle w:val="26"/>
              <w:widowControl/>
              <w:spacing w:before="156" w:beforeLines="50" w:after="156" w:afterLines="50"/>
              <w:ind w:firstLine="480" w:firstLineChars="200"/>
              <w:jc w:val="both"/>
              <w:rPr>
                <w:rFonts w:ascii="宋体" w:hAnsi="宋体" w:eastAsia="宋体" w:cs="微软雅黑"/>
                <w:sz w:val="21"/>
                <w:szCs w:val="21"/>
              </w:rPr>
            </w:pPr>
            <w:r>
              <w:rPr>
                <w:rFonts w:hint="eastAsia" w:ascii="宋体" w:hAnsi="宋体" w:eastAsia="宋体" w:cs="微软雅黑"/>
              </w:rPr>
              <w:t>根据</w:t>
            </w:r>
            <w:r>
              <w:rPr>
                <w:rFonts w:ascii="Times New Roman" w:hAnsi="Times New Roman" w:eastAsia="宋体"/>
              </w:rPr>
              <w:t>FDA</w:t>
            </w:r>
            <w:r>
              <w:rPr>
                <w:rFonts w:hint="eastAsia" w:ascii="宋体" w:hAnsi="宋体" w:eastAsia="宋体" w:cs="微软雅黑"/>
              </w:rPr>
              <w:t>公开历史统计数据，骨科器械办公室</w:t>
            </w:r>
            <w:r>
              <w:rPr>
                <w:rFonts w:ascii="Times New Roman" w:hAnsi="Times New Roman" w:eastAsia="宋体"/>
              </w:rPr>
              <w:t>（</w:t>
            </w:r>
            <w:r>
              <w:rPr>
                <w:rFonts w:hint="eastAsia" w:ascii="Times New Roman" w:hAnsi="Times New Roman" w:eastAsia="宋体"/>
              </w:rPr>
              <w:t>OHT 6: Office of Orthopedic Devices</w:t>
            </w:r>
            <w:bookmarkStart w:id="0" w:name="_GoBack"/>
            <w:bookmarkEnd w:id="0"/>
            <w:r>
              <w:rPr>
                <w:rFonts w:ascii="Times New Roman" w:hAnsi="Times New Roman" w:eastAsia="宋体"/>
              </w:rPr>
              <w:t>）2023</w:t>
            </w:r>
            <w:r>
              <w:rPr>
                <w:rFonts w:hint="eastAsia" w:ascii="宋体" w:hAnsi="宋体" w:eastAsia="宋体" w:cs="微软雅黑"/>
              </w:rPr>
              <w:t>年、</w:t>
            </w:r>
            <w:r>
              <w:rPr>
                <w:rFonts w:ascii="Times New Roman" w:hAnsi="Times New Roman" w:eastAsia="宋体"/>
              </w:rPr>
              <w:t>2024</w:t>
            </w:r>
            <w:r>
              <w:rPr>
                <w:rFonts w:hint="eastAsia" w:ascii="宋体" w:hAnsi="宋体" w:eastAsia="宋体" w:cs="微软雅黑"/>
              </w:rPr>
              <w:t>年、</w:t>
            </w:r>
            <w:r>
              <w:rPr>
                <w:rFonts w:ascii="Times New Roman" w:hAnsi="Times New Roman" w:eastAsia="宋体"/>
              </w:rPr>
              <w:t>2025</w:t>
            </w:r>
            <w:r>
              <w:rPr>
                <w:rFonts w:hint="eastAsia" w:ascii="宋体" w:hAnsi="宋体" w:eastAsia="宋体" w:cs="微软雅黑"/>
              </w:rPr>
              <w:t>年和</w:t>
            </w:r>
            <w:r>
              <w:rPr>
                <w:rFonts w:ascii="Times New Roman" w:hAnsi="Times New Roman" w:eastAsia="宋体"/>
              </w:rPr>
              <w:t>2026</w:t>
            </w:r>
            <w:r>
              <w:rPr>
                <w:rFonts w:hint="eastAsia" w:ascii="宋体" w:hAnsi="宋体" w:eastAsia="宋体" w:cs="微软雅黑"/>
              </w:rPr>
              <w:t>年一季度的</w:t>
            </w:r>
            <w:r>
              <w:rPr>
                <w:rFonts w:ascii="Times New Roman" w:hAnsi="Times New Roman" w:eastAsia="宋体"/>
              </w:rPr>
              <w:t>510(k)</w:t>
            </w:r>
            <w:r>
              <w:rPr>
                <w:rFonts w:hint="eastAsia" w:ascii="宋体" w:hAnsi="宋体" w:eastAsia="宋体" w:cs="微软雅黑"/>
              </w:rPr>
              <w:t>通过率分别为</w:t>
            </w:r>
            <w:r>
              <w:rPr>
                <w:rFonts w:ascii="Times New Roman" w:hAnsi="Times New Roman" w:eastAsia="宋体"/>
              </w:rPr>
              <w:t>98.19%</w:t>
            </w:r>
            <w:r>
              <w:rPr>
                <w:rFonts w:hint="eastAsia" w:ascii="宋体" w:hAnsi="宋体" w:eastAsia="宋体" w:cs="微软雅黑"/>
              </w:rPr>
              <w:t>、</w:t>
            </w:r>
            <w:r>
              <w:rPr>
                <w:rFonts w:ascii="Times New Roman" w:hAnsi="Times New Roman" w:eastAsia="宋体"/>
              </w:rPr>
              <w:t>98.39%</w:t>
            </w:r>
            <w:r>
              <w:rPr>
                <w:rFonts w:hint="eastAsia" w:ascii="宋体" w:hAnsi="宋体" w:eastAsia="宋体" w:cs="微软雅黑"/>
              </w:rPr>
              <w:t>、</w:t>
            </w:r>
            <w:r>
              <w:rPr>
                <w:rFonts w:ascii="Times New Roman" w:hAnsi="Times New Roman" w:eastAsia="宋体"/>
              </w:rPr>
              <w:t>99.41%</w:t>
            </w:r>
            <w:r>
              <w:rPr>
                <w:rFonts w:hint="eastAsia" w:ascii="宋体" w:hAnsi="宋体" w:eastAsia="宋体" w:cs="微软雅黑"/>
              </w:rPr>
              <w:t>、</w:t>
            </w:r>
            <w:r>
              <w:rPr>
                <w:rFonts w:ascii="Times New Roman" w:hAnsi="Times New Roman" w:eastAsia="宋体"/>
              </w:rPr>
              <w:t>100%</w:t>
            </w:r>
            <w:r>
              <w:rPr>
                <w:rFonts w:hint="eastAsia" w:ascii="Times New Roman" w:hAnsi="Times New Roman" w:eastAsia="宋体"/>
              </w:rPr>
              <w:t>。</w:t>
            </w:r>
          </w:p>
        </w:tc>
      </w:tr>
      <w:tr w14:paraId="516F14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916" w:type="dxa"/>
            <w:vAlign w:val="center"/>
          </w:tcPr>
          <w:p w14:paraId="7B817DB4">
            <w:pPr>
              <w:spacing w:line="252" w:lineRule="auto"/>
              <w:rPr>
                <w:b/>
                <w:bCs/>
                <w:iCs/>
                <w:color w:val="000000"/>
                <w:sz w:val="24"/>
              </w:rPr>
            </w:pPr>
            <w:r>
              <w:rPr>
                <w:rFonts w:hint="eastAsia"/>
                <w:b/>
                <w:bCs/>
                <w:iCs/>
                <w:color w:val="000000"/>
                <w:sz w:val="24"/>
              </w:rPr>
              <w:t>关于本次活动是否涉及应当披露重大信息的说明</w:t>
            </w:r>
          </w:p>
        </w:tc>
        <w:tc>
          <w:tcPr>
            <w:tcW w:w="6720" w:type="dxa"/>
          </w:tcPr>
          <w:p w14:paraId="0AAE86CB">
            <w:pPr>
              <w:tabs>
                <w:tab w:val="left" w:pos="312"/>
                <w:tab w:val="left" w:pos="3415"/>
              </w:tabs>
              <w:spacing w:before="156" w:beforeLines="50" w:line="440" w:lineRule="exact"/>
              <w:rPr>
                <w:rFonts w:eastAsiaTheme="minorEastAsia"/>
                <w:bCs/>
                <w:i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Theme="minorEastAsia"/>
                <w:bCs/>
                <w:i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不涉及</w:t>
            </w:r>
          </w:p>
        </w:tc>
      </w:tr>
    </w:tbl>
    <w:p w14:paraId="6C96C87A">
      <w:pPr>
        <w:wordWrap w:val="0"/>
        <w:spacing w:line="360" w:lineRule="auto"/>
        <w:jc w:val="right"/>
        <w:rPr>
          <w:sz w:val="24"/>
        </w:rPr>
      </w:pPr>
    </w:p>
    <w:sectPr>
      <w:pgSz w:w="11906" w:h="16838"/>
      <w:pgMar w:top="1440" w:right="1800" w:bottom="1440" w:left="1800" w:header="851" w:footer="992" w:gutter="0"/>
      <w:pgNumType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songti sc">
    <w:altName w:val="等线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DB24934"/>
    <w:multiLevelType w:val="multilevel"/>
    <w:tmpl w:val="2DB24934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 w:ascii="Times New Roman" w:hAnsi="Times New Roman"/>
        <w:color w:val="000000" w:themeColor="text1"/>
        <w:sz w:val="24"/>
        <w14:textFill>
          <w14:solidFill>
            <w14:schemeClr w14:val="tx1"/>
          </w14:solidFill>
        </w14:textFill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trackRevisions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lhZWRjZDdiODUwMmE2OTg3YmU2NTUyYzY2ZjNiNWMifQ=="/>
  </w:docVars>
  <w:rsids>
    <w:rsidRoot w:val="001B4B80"/>
    <w:rsid w:val="00001D87"/>
    <w:rsid w:val="00005B18"/>
    <w:rsid w:val="00041EA7"/>
    <w:rsid w:val="0004667F"/>
    <w:rsid w:val="00051A25"/>
    <w:rsid w:val="000573BA"/>
    <w:rsid w:val="000771B8"/>
    <w:rsid w:val="0008744D"/>
    <w:rsid w:val="000A148F"/>
    <w:rsid w:val="000A4CF7"/>
    <w:rsid w:val="000B18B3"/>
    <w:rsid w:val="000B4676"/>
    <w:rsid w:val="000C0A26"/>
    <w:rsid w:val="000E4897"/>
    <w:rsid w:val="000F1E03"/>
    <w:rsid w:val="000F3CF3"/>
    <w:rsid w:val="000F4E77"/>
    <w:rsid w:val="00134C9D"/>
    <w:rsid w:val="00135C45"/>
    <w:rsid w:val="001A3859"/>
    <w:rsid w:val="001A7497"/>
    <w:rsid w:val="001B07A7"/>
    <w:rsid w:val="001B154C"/>
    <w:rsid w:val="001B4B80"/>
    <w:rsid w:val="001C299E"/>
    <w:rsid w:val="001C46E6"/>
    <w:rsid w:val="001D4EBB"/>
    <w:rsid w:val="001E23B8"/>
    <w:rsid w:val="001E2856"/>
    <w:rsid w:val="001E4216"/>
    <w:rsid w:val="001E7F21"/>
    <w:rsid w:val="002016F8"/>
    <w:rsid w:val="00206C54"/>
    <w:rsid w:val="002228EA"/>
    <w:rsid w:val="0023379C"/>
    <w:rsid w:val="00240B14"/>
    <w:rsid w:val="00243B38"/>
    <w:rsid w:val="002458A4"/>
    <w:rsid w:val="0025275E"/>
    <w:rsid w:val="0026708E"/>
    <w:rsid w:val="00287092"/>
    <w:rsid w:val="00291FFA"/>
    <w:rsid w:val="00294275"/>
    <w:rsid w:val="00297F92"/>
    <w:rsid w:val="002B5592"/>
    <w:rsid w:val="002C0154"/>
    <w:rsid w:val="002C2866"/>
    <w:rsid w:val="002C45E3"/>
    <w:rsid w:val="002D09C7"/>
    <w:rsid w:val="002F7A43"/>
    <w:rsid w:val="0030028B"/>
    <w:rsid w:val="003012BB"/>
    <w:rsid w:val="00312374"/>
    <w:rsid w:val="00313153"/>
    <w:rsid w:val="00316E17"/>
    <w:rsid w:val="003174E8"/>
    <w:rsid w:val="00340596"/>
    <w:rsid w:val="00354236"/>
    <w:rsid w:val="003641E4"/>
    <w:rsid w:val="00364D04"/>
    <w:rsid w:val="003B513B"/>
    <w:rsid w:val="003B6EB3"/>
    <w:rsid w:val="003D5A99"/>
    <w:rsid w:val="003E0227"/>
    <w:rsid w:val="003E306D"/>
    <w:rsid w:val="003E3BBA"/>
    <w:rsid w:val="0040037C"/>
    <w:rsid w:val="00403F56"/>
    <w:rsid w:val="00422BFE"/>
    <w:rsid w:val="00424627"/>
    <w:rsid w:val="004404C9"/>
    <w:rsid w:val="00460623"/>
    <w:rsid w:val="00485151"/>
    <w:rsid w:val="004867CB"/>
    <w:rsid w:val="004955B7"/>
    <w:rsid w:val="004973D8"/>
    <w:rsid w:val="004B4A05"/>
    <w:rsid w:val="004C116F"/>
    <w:rsid w:val="004E2B24"/>
    <w:rsid w:val="004F3447"/>
    <w:rsid w:val="0050262E"/>
    <w:rsid w:val="0051526F"/>
    <w:rsid w:val="00523D0C"/>
    <w:rsid w:val="00523FBF"/>
    <w:rsid w:val="005272DE"/>
    <w:rsid w:val="00530465"/>
    <w:rsid w:val="005539F4"/>
    <w:rsid w:val="00555267"/>
    <w:rsid w:val="00557186"/>
    <w:rsid w:val="00575971"/>
    <w:rsid w:val="005820A3"/>
    <w:rsid w:val="00583715"/>
    <w:rsid w:val="00584AC9"/>
    <w:rsid w:val="00592830"/>
    <w:rsid w:val="005A21A9"/>
    <w:rsid w:val="005C6828"/>
    <w:rsid w:val="005D5923"/>
    <w:rsid w:val="005E0D2E"/>
    <w:rsid w:val="005F1053"/>
    <w:rsid w:val="00620DA6"/>
    <w:rsid w:val="00626F24"/>
    <w:rsid w:val="006411E8"/>
    <w:rsid w:val="00644AC9"/>
    <w:rsid w:val="00647BAE"/>
    <w:rsid w:val="00651F77"/>
    <w:rsid w:val="006577A9"/>
    <w:rsid w:val="006656B1"/>
    <w:rsid w:val="00671C49"/>
    <w:rsid w:val="00680C42"/>
    <w:rsid w:val="00697E21"/>
    <w:rsid w:val="006B2AEB"/>
    <w:rsid w:val="006B5B94"/>
    <w:rsid w:val="006D40CB"/>
    <w:rsid w:val="006D4B56"/>
    <w:rsid w:val="006E11D4"/>
    <w:rsid w:val="006F32A2"/>
    <w:rsid w:val="007271F9"/>
    <w:rsid w:val="00733EF8"/>
    <w:rsid w:val="00736448"/>
    <w:rsid w:val="007366A8"/>
    <w:rsid w:val="007578EE"/>
    <w:rsid w:val="00761615"/>
    <w:rsid w:val="007714BE"/>
    <w:rsid w:val="00773C8D"/>
    <w:rsid w:val="00782C7A"/>
    <w:rsid w:val="00786945"/>
    <w:rsid w:val="007958EB"/>
    <w:rsid w:val="007B0C56"/>
    <w:rsid w:val="007C702B"/>
    <w:rsid w:val="007C7416"/>
    <w:rsid w:val="007C7A27"/>
    <w:rsid w:val="007D50EC"/>
    <w:rsid w:val="00807797"/>
    <w:rsid w:val="00821571"/>
    <w:rsid w:val="00845FA0"/>
    <w:rsid w:val="00877050"/>
    <w:rsid w:val="008927B3"/>
    <w:rsid w:val="00893AD5"/>
    <w:rsid w:val="008A40AE"/>
    <w:rsid w:val="008B0F40"/>
    <w:rsid w:val="008B2E28"/>
    <w:rsid w:val="008B3562"/>
    <w:rsid w:val="008B564E"/>
    <w:rsid w:val="008C2A9F"/>
    <w:rsid w:val="008D2C99"/>
    <w:rsid w:val="008E4F29"/>
    <w:rsid w:val="008F04BC"/>
    <w:rsid w:val="008F2321"/>
    <w:rsid w:val="00914ACD"/>
    <w:rsid w:val="00942624"/>
    <w:rsid w:val="0094450D"/>
    <w:rsid w:val="00952108"/>
    <w:rsid w:val="0095680F"/>
    <w:rsid w:val="0096083F"/>
    <w:rsid w:val="00967220"/>
    <w:rsid w:val="00974D66"/>
    <w:rsid w:val="00983F33"/>
    <w:rsid w:val="00991A6E"/>
    <w:rsid w:val="00994191"/>
    <w:rsid w:val="009A5186"/>
    <w:rsid w:val="009A5900"/>
    <w:rsid w:val="009B4D70"/>
    <w:rsid w:val="009D0EF9"/>
    <w:rsid w:val="009D4B88"/>
    <w:rsid w:val="009E378A"/>
    <w:rsid w:val="009F0D7F"/>
    <w:rsid w:val="009F6BA9"/>
    <w:rsid w:val="009F6E76"/>
    <w:rsid w:val="00A03331"/>
    <w:rsid w:val="00A1087E"/>
    <w:rsid w:val="00A2388D"/>
    <w:rsid w:val="00A453E6"/>
    <w:rsid w:val="00A47D88"/>
    <w:rsid w:val="00A523F4"/>
    <w:rsid w:val="00A959EE"/>
    <w:rsid w:val="00AD78E6"/>
    <w:rsid w:val="00AE0C89"/>
    <w:rsid w:val="00B062F1"/>
    <w:rsid w:val="00B32AA5"/>
    <w:rsid w:val="00B52882"/>
    <w:rsid w:val="00B55A7E"/>
    <w:rsid w:val="00B62A3A"/>
    <w:rsid w:val="00B74412"/>
    <w:rsid w:val="00B9238F"/>
    <w:rsid w:val="00BB09A6"/>
    <w:rsid w:val="00BD3B8E"/>
    <w:rsid w:val="00BE0825"/>
    <w:rsid w:val="00C0785C"/>
    <w:rsid w:val="00C12530"/>
    <w:rsid w:val="00C20BD1"/>
    <w:rsid w:val="00C31623"/>
    <w:rsid w:val="00C5338F"/>
    <w:rsid w:val="00C75E49"/>
    <w:rsid w:val="00C77047"/>
    <w:rsid w:val="00C96DCE"/>
    <w:rsid w:val="00CD51E9"/>
    <w:rsid w:val="00CF19F0"/>
    <w:rsid w:val="00D000A2"/>
    <w:rsid w:val="00D32B65"/>
    <w:rsid w:val="00D37B90"/>
    <w:rsid w:val="00D412A8"/>
    <w:rsid w:val="00D413F7"/>
    <w:rsid w:val="00D43DDE"/>
    <w:rsid w:val="00D4615D"/>
    <w:rsid w:val="00D529C9"/>
    <w:rsid w:val="00D67D66"/>
    <w:rsid w:val="00D92149"/>
    <w:rsid w:val="00D960C0"/>
    <w:rsid w:val="00DA60A2"/>
    <w:rsid w:val="00DB0C08"/>
    <w:rsid w:val="00DB282A"/>
    <w:rsid w:val="00DB70BA"/>
    <w:rsid w:val="00DD378E"/>
    <w:rsid w:val="00DE7F1F"/>
    <w:rsid w:val="00E0459D"/>
    <w:rsid w:val="00E14F93"/>
    <w:rsid w:val="00E214DE"/>
    <w:rsid w:val="00E26254"/>
    <w:rsid w:val="00E45A7E"/>
    <w:rsid w:val="00E74E58"/>
    <w:rsid w:val="00E92876"/>
    <w:rsid w:val="00E93BD4"/>
    <w:rsid w:val="00EC4624"/>
    <w:rsid w:val="00EC58CA"/>
    <w:rsid w:val="00ED5CC1"/>
    <w:rsid w:val="00EE4F50"/>
    <w:rsid w:val="00EF15A6"/>
    <w:rsid w:val="00EF1981"/>
    <w:rsid w:val="00F23C7B"/>
    <w:rsid w:val="00F27A94"/>
    <w:rsid w:val="00F4652D"/>
    <w:rsid w:val="00F5016E"/>
    <w:rsid w:val="00F5631B"/>
    <w:rsid w:val="00F81F63"/>
    <w:rsid w:val="00F83274"/>
    <w:rsid w:val="00F86661"/>
    <w:rsid w:val="00F95981"/>
    <w:rsid w:val="00FA1AD4"/>
    <w:rsid w:val="00FA1EE8"/>
    <w:rsid w:val="00FA6C2A"/>
    <w:rsid w:val="00FA6C4A"/>
    <w:rsid w:val="00FB53D9"/>
    <w:rsid w:val="00FC4508"/>
    <w:rsid w:val="00FD1CB8"/>
    <w:rsid w:val="00FF008E"/>
    <w:rsid w:val="00FF2E25"/>
    <w:rsid w:val="00FF3A29"/>
    <w:rsid w:val="00FF5504"/>
    <w:rsid w:val="00FF734A"/>
    <w:rsid w:val="00FF7441"/>
    <w:rsid w:val="019735D3"/>
    <w:rsid w:val="01D166CF"/>
    <w:rsid w:val="01E27A17"/>
    <w:rsid w:val="02E72534"/>
    <w:rsid w:val="03B43F97"/>
    <w:rsid w:val="04931375"/>
    <w:rsid w:val="04A77E0F"/>
    <w:rsid w:val="04C44220"/>
    <w:rsid w:val="054A1544"/>
    <w:rsid w:val="064B5BE4"/>
    <w:rsid w:val="071F6CCC"/>
    <w:rsid w:val="07A04D85"/>
    <w:rsid w:val="07BC764C"/>
    <w:rsid w:val="0945253F"/>
    <w:rsid w:val="09BC5583"/>
    <w:rsid w:val="0A6239F8"/>
    <w:rsid w:val="0A6F7A61"/>
    <w:rsid w:val="0B6B5CEB"/>
    <w:rsid w:val="0BE52999"/>
    <w:rsid w:val="0C625441"/>
    <w:rsid w:val="0C8F7304"/>
    <w:rsid w:val="0D206EF1"/>
    <w:rsid w:val="0F2E78F8"/>
    <w:rsid w:val="100A1153"/>
    <w:rsid w:val="101E1199"/>
    <w:rsid w:val="108C7B5E"/>
    <w:rsid w:val="111F7E6B"/>
    <w:rsid w:val="11567032"/>
    <w:rsid w:val="12DE3A4B"/>
    <w:rsid w:val="13A51976"/>
    <w:rsid w:val="14136327"/>
    <w:rsid w:val="154D4706"/>
    <w:rsid w:val="15E63B99"/>
    <w:rsid w:val="15FD0C6C"/>
    <w:rsid w:val="18076468"/>
    <w:rsid w:val="196B1035"/>
    <w:rsid w:val="1A2A7CAB"/>
    <w:rsid w:val="1A3D5267"/>
    <w:rsid w:val="1A952EBF"/>
    <w:rsid w:val="1AD32090"/>
    <w:rsid w:val="1B8450FC"/>
    <w:rsid w:val="1EA216C6"/>
    <w:rsid w:val="1EE5303C"/>
    <w:rsid w:val="1F7F3B84"/>
    <w:rsid w:val="20787D09"/>
    <w:rsid w:val="20E91E17"/>
    <w:rsid w:val="20FD3C97"/>
    <w:rsid w:val="2103029F"/>
    <w:rsid w:val="234350B8"/>
    <w:rsid w:val="2488481C"/>
    <w:rsid w:val="25C62E2A"/>
    <w:rsid w:val="25FE274E"/>
    <w:rsid w:val="27084A19"/>
    <w:rsid w:val="273D6B16"/>
    <w:rsid w:val="27952980"/>
    <w:rsid w:val="27AA398F"/>
    <w:rsid w:val="27F351E3"/>
    <w:rsid w:val="28221B0A"/>
    <w:rsid w:val="286D250C"/>
    <w:rsid w:val="28FE4889"/>
    <w:rsid w:val="293439FE"/>
    <w:rsid w:val="2A890273"/>
    <w:rsid w:val="2B8802B1"/>
    <w:rsid w:val="2BBD18CD"/>
    <w:rsid w:val="2D9C3769"/>
    <w:rsid w:val="2EEA5018"/>
    <w:rsid w:val="2FE73D65"/>
    <w:rsid w:val="2FF737D9"/>
    <w:rsid w:val="32BD7DE1"/>
    <w:rsid w:val="330D2E91"/>
    <w:rsid w:val="333E6F95"/>
    <w:rsid w:val="33412BDD"/>
    <w:rsid w:val="339B67E8"/>
    <w:rsid w:val="3498181D"/>
    <w:rsid w:val="34A4697C"/>
    <w:rsid w:val="34C75310"/>
    <w:rsid w:val="35861472"/>
    <w:rsid w:val="3603318D"/>
    <w:rsid w:val="36237913"/>
    <w:rsid w:val="37775881"/>
    <w:rsid w:val="37871D0A"/>
    <w:rsid w:val="379626C9"/>
    <w:rsid w:val="37B45995"/>
    <w:rsid w:val="37CE02AA"/>
    <w:rsid w:val="37DC2498"/>
    <w:rsid w:val="3874602A"/>
    <w:rsid w:val="387F7796"/>
    <w:rsid w:val="38F11D61"/>
    <w:rsid w:val="3B8345F5"/>
    <w:rsid w:val="3C6D3C51"/>
    <w:rsid w:val="3D315A33"/>
    <w:rsid w:val="3E8B7DF9"/>
    <w:rsid w:val="409D605C"/>
    <w:rsid w:val="411130E9"/>
    <w:rsid w:val="41DF3CDD"/>
    <w:rsid w:val="42E12821"/>
    <w:rsid w:val="43B511B3"/>
    <w:rsid w:val="44A65DA6"/>
    <w:rsid w:val="45302862"/>
    <w:rsid w:val="456B24F5"/>
    <w:rsid w:val="46406C9A"/>
    <w:rsid w:val="46CD004A"/>
    <w:rsid w:val="480B00BA"/>
    <w:rsid w:val="48894B24"/>
    <w:rsid w:val="49947199"/>
    <w:rsid w:val="4A1A37D9"/>
    <w:rsid w:val="4A3361F4"/>
    <w:rsid w:val="4B096EDA"/>
    <w:rsid w:val="4B824E76"/>
    <w:rsid w:val="4D7508B3"/>
    <w:rsid w:val="4E792D02"/>
    <w:rsid w:val="4E895BC5"/>
    <w:rsid w:val="4FD369D5"/>
    <w:rsid w:val="50421E35"/>
    <w:rsid w:val="50887C84"/>
    <w:rsid w:val="50FD1E46"/>
    <w:rsid w:val="52CB1C51"/>
    <w:rsid w:val="532C4358"/>
    <w:rsid w:val="53B37738"/>
    <w:rsid w:val="55D70136"/>
    <w:rsid w:val="56F30668"/>
    <w:rsid w:val="58102406"/>
    <w:rsid w:val="58750F64"/>
    <w:rsid w:val="59301A97"/>
    <w:rsid w:val="59DD29BF"/>
    <w:rsid w:val="5A325814"/>
    <w:rsid w:val="5A6574B1"/>
    <w:rsid w:val="5AFF4C9D"/>
    <w:rsid w:val="5B182AE8"/>
    <w:rsid w:val="5B477144"/>
    <w:rsid w:val="5D553EB0"/>
    <w:rsid w:val="5DA76335"/>
    <w:rsid w:val="5E105805"/>
    <w:rsid w:val="5E3C2204"/>
    <w:rsid w:val="5E695D70"/>
    <w:rsid w:val="5ED21787"/>
    <w:rsid w:val="5F471AC2"/>
    <w:rsid w:val="5FCB7576"/>
    <w:rsid w:val="5FFE018B"/>
    <w:rsid w:val="632534F4"/>
    <w:rsid w:val="634B13AE"/>
    <w:rsid w:val="63E63F2C"/>
    <w:rsid w:val="64CF52FE"/>
    <w:rsid w:val="6593536E"/>
    <w:rsid w:val="663208B5"/>
    <w:rsid w:val="66764F77"/>
    <w:rsid w:val="669C0D9A"/>
    <w:rsid w:val="675C0F32"/>
    <w:rsid w:val="67BB4F53"/>
    <w:rsid w:val="6A7722E5"/>
    <w:rsid w:val="6B654A73"/>
    <w:rsid w:val="6B7F7FFF"/>
    <w:rsid w:val="6B904981"/>
    <w:rsid w:val="6C0635FF"/>
    <w:rsid w:val="6DE76745"/>
    <w:rsid w:val="6E4A64C0"/>
    <w:rsid w:val="6EB02870"/>
    <w:rsid w:val="70EB475C"/>
    <w:rsid w:val="72A1585B"/>
    <w:rsid w:val="72A655BC"/>
    <w:rsid w:val="72F7369B"/>
    <w:rsid w:val="73F56676"/>
    <w:rsid w:val="7424250F"/>
    <w:rsid w:val="742451C0"/>
    <w:rsid w:val="75197380"/>
    <w:rsid w:val="766F4582"/>
    <w:rsid w:val="76E20CBC"/>
    <w:rsid w:val="77CC4474"/>
    <w:rsid w:val="78583DE5"/>
    <w:rsid w:val="789328D0"/>
    <w:rsid w:val="78B348AB"/>
    <w:rsid w:val="79C36A99"/>
    <w:rsid w:val="7A742C8C"/>
    <w:rsid w:val="7AFC261C"/>
    <w:rsid w:val="7B630DFC"/>
    <w:rsid w:val="7BB8348D"/>
    <w:rsid w:val="7BD46E25"/>
    <w:rsid w:val="7C385B5E"/>
    <w:rsid w:val="7D7E14C5"/>
    <w:rsid w:val="7D7F5600"/>
    <w:rsid w:val="7DB279D3"/>
    <w:rsid w:val="7E0D60CE"/>
    <w:rsid w:val="7E164BD8"/>
    <w:rsid w:val="7EBA13B9"/>
    <w:rsid w:val="7EDB5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23"/>
    <w:qFormat/>
    <w:uiPriority w:val="9"/>
    <w:pPr>
      <w:keepNext/>
      <w:keepLines/>
      <w:spacing w:before="340" w:after="330" w:line="578" w:lineRule="auto"/>
      <w:outlineLvl w:val="0"/>
    </w:pPr>
    <w:rPr>
      <w:rFonts w:ascii="Arial" w:hAnsi="Arial" w:cs="Arial"/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4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11">
    <w:name w:val="Default Paragraph Font"/>
    <w:semiHidden/>
    <w:unhideWhenUsed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19"/>
    <w:semiHidden/>
    <w:unhideWhenUsed/>
    <w:qFormat/>
    <w:uiPriority w:val="99"/>
    <w:pPr>
      <w:jc w:val="left"/>
    </w:pPr>
  </w:style>
  <w:style w:type="paragraph" w:styleId="5">
    <w:name w:val="Balloon Text"/>
    <w:basedOn w:val="1"/>
    <w:link w:val="21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annotation subject"/>
    <w:basedOn w:val="4"/>
    <w:next w:val="4"/>
    <w:link w:val="20"/>
    <w:semiHidden/>
    <w:unhideWhenUsed/>
    <w:qFormat/>
    <w:uiPriority w:val="99"/>
    <w:rPr>
      <w:b/>
      <w:bCs/>
    </w:rPr>
  </w:style>
  <w:style w:type="table" w:styleId="10">
    <w:name w:val="Table Grid"/>
    <w:basedOn w:val="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page number"/>
    <w:basedOn w:val="11"/>
    <w:qFormat/>
    <w:uiPriority w:val="0"/>
  </w:style>
  <w:style w:type="character" w:styleId="13">
    <w:name w:val="Emphasis"/>
    <w:basedOn w:val="11"/>
    <w:qFormat/>
    <w:uiPriority w:val="20"/>
    <w:rPr>
      <w:i/>
      <w:iCs/>
    </w:rPr>
  </w:style>
  <w:style w:type="character" w:styleId="14">
    <w:name w:val="annotation reference"/>
    <w:basedOn w:val="11"/>
    <w:semiHidden/>
    <w:unhideWhenUsed/>
    <w:qFormat/>
    <w:uiPriority w:val="99"/>
    <w:rPr>
      <w:sz w:val="21"/>
      <w:szCs w:val="21"/>
    </w:rPr>
  </w:style>
  <w:style w:type="character" w:customStyle="1" w:styleId="15">
    <w:name w:val="页脚 字符"/>
    <w:basedOn w:val="11"/>
    <w:link w:val="6"/>
    <w:qFormat/>
    <w:uiPriority w:val="0"/>
    <w:rPr>
      <w:rFonts w:ascii="Times New Roman" w:hAnsi="Times New Roman" w:eastAsia="宋体" w:cs="Times New Roman"/>
      <w:sz w:val="18"/>
      <w:szCs w:val="18"/>
    </w:rPr>
  </w:style>
  <w:style w:type="paragraph" w:customStyle="1" w:styleId="16">
    <w:name w:val="005正文"/>
    <w:basedOn w:val="1"/>
    <w:link w:val="17"/>
    <w:qFormat/>
    <w:uiPriority w:val="0"/>
    <w:pPr>
      <w:spacing w:before="50" w:beforeLines="50" w:line="360" w:lineRule="auto"/>
      <w:ind w:firstLine="200" w:firstLineChars="200"/>
    </w:pPr>
    <w:rPr>
      <w:sz w:val="24"/>
      <w:szCs w:val="22"/>
    </w:rPr>
  </w:style>
  <w:style w:type="character" w:customStyle="1" w:styleId="17">
    <w:name w:val="005正文 Char"/>
    <w:link w:val="16"/>
    <w:qFormat/>
    <w:uiPriority w:val="0"/>
    <w:rPr>
      <w:rFonts w:ascii="Times New Roman" w:hAnsi="Times New Roman" w:eastAsia="宋体" w:cs="Times New Roman"/>
      <w:sz w:val="24"/>
    </w:rPr>
  </w:style>
  <w:style w:type="character" w:customStyle="1" w:styleId="18">
    <w:name w:val="页眉 字符"/>
    <w:basedOn w:val="11"/>
    <w:link w:val="7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9">
    <w:name w:val="批注文字 字符"/>
    <w:basedOn w:val="11"/>
    <w:link w:val="4"/>
    <w:semiHidden/>
    <w:qFormat/>
    <w:uiPriority w:val="99"/>
    <w:rPr>
      <w:kern w:val="2"/>
      <w:sz w:val="21"/>
      <w:szCs w:val="24"/>
    </w:rPr>
  </w:style>
  <w:style w:type="character" w:customStyle="1" w:styleId="20">
    <w:name w:val="批注主题 字符"/>
    <w:basedOn w:val="19"/>
    <w:link w:val="8"/>
    <w:semiHidden/>
    <w:qFormat/>
    <w:uiPriority w:val="99"/>
    <w:rPr>
      <w:b/>
      <w:bCs/>
      <w:kern w:val="2"/>
      <w:sz w:val="21"/>
      <w:szCs w:val="24"/>
    </w:rPr>
  </w:style>
  <w:style w:type="character" w:customStyle="1" w:styleId="21">
    <w:name w:val="批注框文本 字符"/>
    <w:basedOn w:val="11"/>
    <w:link w:val="5"/>
    <w:semiHidden/>
    <w:qFormat/>
    <w:uiPriority w:val="99"/>
    <w:rPr>
      <w:kern w:val="2"/>
      <w:sz w:val="18"/>
      <w:szCs w:val="18"/>
    </w:rPr>
  </w:style>
  <w:style w:type="paragraph" w:styleId="22">
    <w:name w:val="List Paragraph"/>
    <w:basedOn w:val="1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3">
    <w:name w:val="标题 1 字符"/>
    <w:basedOn w:val="11"/>
    <w:link w:val="2"/>
    <w:qFormat/>
    <w:uiPriority w:val="9"/>
    <w:rPr>
      <w:rFonts w:ascii="Arial" w:hAnsi="Arial" w:cs="Arial"/>
      <w:b/>
      <w:bCs/>
      <w:kern w:val="44"/>
      <w:sz w:val="44"/>
      <w:szCs w:val="44"/>
    </w:rPr>
  </w:style>
  <w:style w:type="character" w:customStyle="1" w:styleId="24">
    <w:name w:val="标题 2 字符"/>
    <w:basedOn w:val="11"/>
    <w:link w:val="3"/>
    <w:qFormat/>
    <w:uiPriority w:val="9"/>
    <w:rPr>
      <w:rFonts w:asciiTheme="majorHAnsi" w:hAnsiTheme="majorHAnsi" w:eastAsiaTheme="majorEastAsia" w:cstheme="majorBidi"/>
      <w:b/>
      <w:bCs/>
      <w:kern w:val="2"/>
      <w:sz w:val="32"/>
      <w:szCs w:val="32"/>
    </w:rPr>
  </w:style>
  <w:style w:type="character" w:customStyle="1" w:styleId="25">
    <w:name w:val="text-only"/>
    <w:basedOn w:val="11"/>
    <w:qFormat/>
    <w:uiPriority w:val="0"/>
  </w:style>
  <w:style w:type="paragraph" w:customStyle="1" w:styleId="26">
    <w:name w:val="p1"/>
    <w:basedOn w:val="1"/>
    <w:qFormat/>
    <w:uiPriority w:val="0"/>
    <w:pPr>
      <w:ind w:firstLine="566"/>
      <w:jc w:val="left"/>
    </w:pPr>
    <w:rPr>
      <w:rFonts w:ascii="songti sc" w:hAnsi="songti sc" w:eastAsia="songti sc"/>
      <w:color w:val="000000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1BB16E-7F97-45BA-A9B3-1F132C704B1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北京天智航医疗科技股份有限公司</Company>
  <Pages>3</Pages>
  <Words>1776</Words>
  <Characters>1960</Characters>
  <Lines>15</Lines>
  <Paragraphs>4</Paragraphs>
  <TotalTime>40</TotalTime>
  <ScaleCrop>false</ScaleCrop>
  <LinksUpToDate>false</LinksUpToDate>
  <CharactersWithSpaces>2107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2020-09-07T06:34:00Z</dcterms:created>
  <dc:creator>gxc</dc:creator>
  <cp:lastModifiedBy>王璐</cp:lastModifiedBy>
  <cp:lastPrinted>2021-08-27T06:45:00Z</cp:lastPrinted>
  <dcterms:modified xsi:type="dcterms:W3CDTF">2026-08-27T08:28:39Z</dcterms:modified>
  <cp:revision>65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90DE16ACF3AB4D95B10F49B446792421</vt:lpwstr>
  </property>
  <property fmtid="{D5CDD505-2E9C-101B-9397-08002B2CF9AE}" pid="4" name="KSOTemplateDocerSaveRecord">
    <vt:lpwstr>eyJoZGlkIjoiODZjNWU1NzAwNzMyNzhlN2Q5ZWJhMmJjZGNhMGE0M2EiLCJ1c2VySWQiOiIxNjE3MjY0NzY2In0=</vt:lpwstr>
  </property>
</Properties>
</file>