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77A8CED">
      <w:pPr>
        <w:spacing w:before="156" w:beforeLines="50" w:after="156" w:afterLines="50" w:line="400" w:lineRule="exact"/>
        <w:jc w:val="center"/>
        <w:rPr>
          <w:rFonts w:hint="eastAsia" w:ascii="宋体" w:hAnsi="宋体" w:cs="宋体"/>
          <w:b/>
          <w:bCs/>
          <w:iCs/>
          <w:sz w:val="36"/>
          <w:szCs w:val="36"/>
        </w:rPr>
      </w:pPr>
      <w:r>
        <w:rPr>
          <w:rFonts w:hint="eastAsia" w:ascii="宋体" w:hAnsi="宋体" w:cs="宋体"/>
          <w:b/>
          <w:bCs/>
          <w:iCs/>
          <w:sz w:val="36"/>
          <w:szCs w:val="36"/>
        </w:rPr>
        <w:t>广州市品高软件股份有限公司</w:t>
      </w:r>
    </w:p>
    <w:p w14:paraId="5F380D5F">
      <w:pPr>
        <w:spacing w:before="156" w:beforeLines="50" w:after="156" w:afterLines="50" w:line="400" w:lineRule="exact"/>
        <w:jc w:val="center"/>
        <w:rPr>
          <w:rFonts w:hint="eastAsia" w:ascii="宋体" w:hAnsi="宋体" w:cs="宋体"/>
          <w:b/>
          <w:bCs/>
          <w:iCs/>
          <w:sz w:val="36"/>
          <w:szCs w:val="36"/>
        </w:rPr>
      </w:pPr>
      <w:r>
        <w:rPr>
          <w:rFonts w:hint="eastAsia" w:ascii="宋体" w:hAnsi="宋体" w:cs="宋体"/>
          <w:b/>
          <w:bCs/>
          <w:iCs/>
          <w:sz w:val="36"/>
          <w:szCs w:val="36"/>
        </w:rPr>
        <w:t>投资者关系活动记录表</w:t>
      </w:r>
    </w:p>
    <w:p w14:paraId="104F642F">
      <w:pPr>
        <w:spacing w:before="156" w:beforeLines="50" w:after="156" w:afterLines="50" w:line="400" w:lineRule="exact"/>
        <w:jc w:val="center"/>
        <w:rPr>
          <w:rFonts w:hint="eastAsia" w:ascii="宋体" w:hAnsi="宋体" w:cs="宋体"/>
          <w:b/>
          <w:bCs/>
          <w:iCs/>
          <w:sz w:val="36"/>
          <w:szCs w:val="36"/>
        </w:rPr>
      </w:pPr>
      <w:r>
        <w:rPr>
          <w:rFonts w:hint="eastAsia" w:ascii="宋体" w:hAnsi="宋体" w:cs="宋体"/>
          <w:b/>
          <w:bCs/>
          <w:iCs/>
          <w:sz w:val="36"/>
          <w:szCs w:val="36"/>
        </w:rPr>
        <w:t>（2026年8月）</w:t>
      </w:r>
    </w:p>
    <w:p w14:paraId="469F7047">
      <w:pPr>
        <w:spacing w:before="156" w:beforeLines="50" w:after="156" w:afterLines="50" w:line="400" w:lineRule="exact"/>
        <w:rPr>
          <w:rFonts w:hint="eastAsia" w:ascii="宋体" w:hAnsi="宋体" w:eastAsia="宋体" w:cs="宋体"/>
          <w:bCs/>
          <w:iCs/>
          <w:lang w:eastAsia="zh-CN"/>
        </w:rPr>
      </w:pPr>
      <w:r>
        <w:rPr>
          <w:rFonts w:hint="eastAsia" w:ascii="宋体" w:hAnsi="宋体" w:cs="宋体"/>
          <w:bCs/>
          <w:iCs/>
        </w:rPr>
        <w:t>证券代码：688227                证券简称：品高股份               编号：2026-00</w:t>
      </w:r>
      <w:r>
        <w:rPr>
          <w:rFonts w:hint="eastAsia" w:ascii="宋体" w:hAnsi="宋体" w:cs="宋体"/>
          <w:bCs/>
          <w:iCs/>
          <w:lang w:val="en-US" w:eastAsia="zh-CN"/>
        </w:rPr>
        <w:t>2</w:t>
      </w:r>
    </w:p>
    <w:tbl>
      <w:tblPr>
        <w:tblStyle w:val="8"/>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7906"/>
      </w:tblGrid>
      <w:tr w14:paraId="005F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5F6D3A32">
            <w:pPr>
              <w:rPr>
                <w:rFonts w:hint="eastAsia" w:ascii="宋体" w:hAnsi="宋体" w:cs="宋体"/>
                <w:b/>
                <w:bCs/>
                <w:iCs/>
              </w:rPr>
            </w:pPr>
            <w:r>
              <w:rPr>
                <w:rFonts w:hint="eastAsia" w:ascii="宋体" w:hAnsi="宋体" w:cs="宋体"/>
                <w:b/>
                <w:bCs/>
                <w:iCs/>
              </w:rPr>
              <w:t>投资者关系活动类别</w:t>
            </w:r>
          </w:p>
        </w:tc>
        <w:tc>
          <w:tcPr>
            <w:tcW w:w="7906" w:type="dxa"/>
          </w:tcPr>
          <w:p w14:paraId="015A9D1F">
            <w:pPr>
              <w:spacing w:line="480" w:lineRule="atLeast"/>
              <w:rPr>
                <w:rFonts w:hint="eastAsia" w:ascii="宋体" w:hAnsi="宋体" w:cs="宋体"/>
                <w:bCs/>
                <w:iCs/>
              </w:rPr>
            </w:pPr>
            <w:r>
              <w:rPr>
                <w:rFonts w:hint="eastAsia" w:ascii="宋体" w:hAnsi="宋体" w:cs="宋体"/>
                <w:bCs/>
                <w:iCs/>
              </w:rPr>
              <w:sym w:font="Wingdings 2" w:char="0052"/>
            </w:r>
            <w:r>
              <w:rPr>
                <w:rFonts w:hint="eastAsia" w:ascii="宋体" w:hAnsi="宋体" w:cs="宋体"/>
              </w:rPr>
              <w:t xml:space="preserve">特定对象调研        </w:t>
            </w:r>
            <w:r>
              <w:rPr>
                <w:rFonts w:hint="eastAsia" w:ascii="宋体" w:hAnsi="宋体" w:cs="宋体"/>
                <w:bCs/>
                <w:iCs/>
              </w:rPr>
              <w:sym w:font="Wingdings 2" w:char="00A3"/>
            </w:r>
            <w:r>
              <w:rPr>
                <w:rFonts w:hint="eastAsia" w:ascii="宋体" w:hAnsi="宋体" w:cs="宋体"/>
              </w:rPr>
              <w:t xml:space="preserve">分析师会议        </w:t>
            </w:r>
            <w:r>
              <w:rPr>
                <w:rFonts w:hint="eastAsia" w:ascii="宋体" w:hAnsi="宋体" w:cs="宋体"/>
                <w:bCs/>
                <w:iCs/>
              </w:rPr>
              <w:sym w:font="Wingdings 2" w:char="00A3"/>
            </w:r>
            <w:r>
              <w:rPr>
                <w:rFonts w:hint="eastAsia" w:ascii="宋体" w:hAnsi="宋体" w:cs="宋体"/>
              </w:rPr>
              <w:t xml:space="preserve">媒体采访        </w:t>
            </w:r>
            <w:r>
              <w:rPr>
                <w:rFonts w:hint="eastAsia" w:ascii="宋体" w:hAnsi="宋体" w:cs="宋体"/>
                <w:bCs/>
                <w:iCs/>
              </w:rPr>
              <w:sym w:font="Wingdings 2" w:char="00A3"/>
            </w:r>
            <w:r>
              <w:rPr>
                <w:rFonts w:hint="eastAsia" w:ascii="宋体" w:hAnsi="宋体" w:cs="宋体"/>
              </w:rPr>
              <w:t>业绩说明会</w:t>
            </w:r>
          </w:p>
          <w:p w14:paraId="7A32AE5A">
            <w:pPr>
              <w:spacing w:line="480" w:lineRule="atLeast"/>
              <w:rPr>
                <w:rFonts w:hint="eastAsia" w:ascii="宋体" w:hAnsi="宋体" w:cs="宋体"/>
                <w:bCs/>
                <w:iCs/>
              </w:rPr>
            </w:pPr>
            <w:r>
              <w:rPr>
                <w:rFonts w:hint="eastAsia" w:ascii="宋体" w:hAnsi="宋体" w:cs="宋体"/>
                <w:bCs/>
                <w:iCs/>
              </w:rPr>
              <w:sym w:font="Wingdings 2" w:char="00A3"/>
            </w:r>
            <w:r>
              <w:rPr>
                <w:rFonts w:hint="eastAsia" w:ascii="宋体" w:hAnsi="宋体" w:cs="宋体"/>
              </w:rPr>
              <w:t xml:space="preserve">新闻发布会          </w:t>
            </w:r>
            <w:r>
              <w:rPr>
                <w:rFonts w:hint="eastAsia" w:ascii="宋体" w:hAnsi="宋体" w:cs="宋体"/>
                <w:bCs/>
                <w:iCs/>
              </w:rPr>
              <w:sym w:font="Wingdings 2" w:char="00A3"/>
            </w:r>
            <w:r>
              <w:rPr>
                <w:rFonts w:hint="eastAsia" w:ascii="宋体" w:hAnsi="宋体" w:cs="宋体"/>
              </w:rPr>
              <w:t xml:space="preserve">路演活动          </w:t>
            </w:r>
            <w:r>
              <w:rPr>
                <w:rFonts w:hint="eastAsia" w:ascii="宋体" w:hAnsi="宋体" w:cs="宋体"/>
                <w:bCs/>
                <w:iCs/>
              </w:rPr>
              <w:sym w:font="Wingdings 2" w:char="0052"/>
            </w:r>
            <w:r>
              <w:rPr>
                <w:rFonts w:hint="eastAsia" w:ascii="宋体" w:hAnsi="宋体" w:cs="宋体"/>
              </w:rPr>
              <w:t>现场参观</w:t>
            </w:r>
            <w:r>
              <w:rPr>
                <w:rFonts w:hint="eastAsia" w:ascii="宋体" w:hAnsi="宋体" w:cs="宋体"/>
                <w:bCs/>
                <w:iCs/>
              </w:rPr>
              <w:tab/>
            </w:r>
            <w:r>
              <w:rPr>
                <w:rFonts w:hint="eastAsia" w:ascii="宋体" w:hAnsi="宋体" w:cs="宋体"/>
                <w:bCs/>
                <w:iCs/>
              </w:rPr>
              <w:t xml:space="preserve">       </w:t>
            </w:r>
            <w:r>
              <w:rPr>
                <w:rFonts w:hint="eastAsia" w:ascii="宋体" w:hAnsi="宋体" w:cs="宋体"/>
                <w:bCs/>
                <w:iCs/>
              </w:rPr>
              <w:sym w:font="Wingdings 2" w:char="00A3"/>
            </w:r>
            <w:r>
              <w:rPr>
                <w:rFonts w:hint="eastAsia" w:ascii="宋体" w:hAnsi="宋体" w:cs="宋体"/>
              </w:rPr>
              <w:t xml:space="preserve">其他 </w:t>
            </w:r>
          </w:p>
        </w:tc>
      </w:tr>
      <w:tr w14:paraId="612B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Pr>
          <w:p w14:paraId="2005EA7A">
            <w:pPr>
              <w:rPr>
                <w:rFonts w:hint="eastAsia" w:ascii="宋体" w:hAnsi="宋体" w:cs="宋体"/>
                <w:b/>
                <w:bCs/>
                <w:iCs/>
              </w:rPr>
            </w:pPr>
            <w:r>
              <w:rPr>
                <w:rFonts w:hint="eastAsia" w:ascii="宋体" w:hAnsi="宋体" w:cs="宋体"/>
                <w:b/>
                <w:bCs/>
                <w:iCs/>
              </w:rPr>
              <w:t>参与单位名称及人员姓名</w:t>
            </w:r>
          </w:p>
        </w:tc>
        <w:tc>
          <w:tcPr>
            <w:tcW w:w="7906" w:type="dxa"/>
          </w:tcPr>
          <w:p w14:paraId="3C36571C">
            <w:pPr>
              <w:spacing w:line="480" w:lineRule="atLeast"/>
              <w:rPr>
                <w:rFonts w:hint="eastAsia" w:ascii="宋体" w:hAnsi="宋体" w:cs="宋体"/>
                <w:bCs/>
                <w:iCs/>
              </w:rPr>
            </w:pPr>
            <w:r>
              <w:rPr>
                <w:rFonts w:ascii="宋体" w:hAnsi="宋体" w:cs="宋体"/>
                <w:bCs/>
                <w:iCs/>
              </w:rPr>
              <w:t>山西证券</w:t>
            </w:r>
            <w:r>
              <w:rPr>
                <w:rFonts w:hint="eastAsia" w:ascii="宋体" w:hAnsi="宋体" w:cs="宋体"/>
                <w:bCs/>
                <w:iCs/>
              </w:rPr>
              <w:t>、国金证券、东北证券、南华金融控股、东方财富证券、交通银行</w:t>
            </w:r>
            <w:r>
              <w:rPr>
                <w:rFonts w:hint="eastAsia" w:ascii="宋体" w:hAnsi="宋体" w:cs="宋体"/>
                <w:bCs/>
                <w:iCs/>
                <w:lang w:eastAsia="zh-CN"/>
              </w:rPr>
              <w:t>、上海趣时资产、上海歌汝、上海银行、</w:t>
            </w:r>
            <w:r>
              <w:rPr>
                <w:rFonts w:hint="eastAsia" w:ascii="宋体" w:hAnsi="宋体" w:cs="宋体"/>
                <w:bCs/>
                <w:iCs/>
              </w:rPr>
              <w:t>南土资产、彤源投资、兆顺私募、天治基金、正菁投资、东方阿尔法、长城基金、恒邦兆丰、景顺长城、润德盈喜、麻王投资、广东臻远、深圳坤酉、广州灏达、中金资本、广州泽恩</w:t>
            </w:r>
          </w:p>
        </w:tc>
      </w:tr>
      <w:tr w14:paraId="05AA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5" w:type="dxa"/>
          </w:tcPr>
          <w:p w14:paraId="006FE836">
            <w:pPr>
              <w:spacing w:line="480" w:lineRule="atLeast"/>
              <w:rPr>
                <w:rFonts w:hint="eastAsia" w:ascii="宋体" w:hAnsi="宋体" w:cs="宋体"/>
                <w:b/>
                <w:bCs/>
                <w:iCs/>
              </w:rPr>
            </w:pPr>
            <w:r>
              <w:rPr>
                <w:rFonts w:hint="eastAsia" w:ascii="宋体" w:hAnsi="宋体" w:cs="宋体"/>
                <w:b/>
                <w:bCs/>
                <w:iCs/>
              </w:rPr>
              <w:t>时间</w:t>
            </w:r>
          </w:p>
        </w:tc>
        <w:tc>
          <w:tcPr>
            <w:tcW w:w="7906" w:type="dxa"/>
          </w:tcPr>
          <w:p w14:paraId="379CE501">
            <w:pPr>
              <w:spacing w:line="480" w:lineRule="atLeast"/>
              <w:rPr>
                <w:rFonts w:hint="eastAsia" w:ascii="宋体" w:hAnsi="宋体" w:cs="宋体"/>
                <w:bCs/>
                <w:iCs/>
              </w:rPr>
            </w:pPr>
            <w:r>
              <w:rPr>
                <w:rFonts w:hint="eastAsia" w:ascii="宋体" w:hAnsi="宋体" w:cs="宋体"/>
                <w:bCs/>
                <w:iCs/>
              </w:rPr>
              <w:t>2026年7月29日、8月5日、8月10日、8月11日、8月13日、8月14日、8月25日</w:t>
            </w:r>
          </w:p>
        </w:tc>
      </w:tr>
      <w:tr w14:paraId="6530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935" w:type="dxa"/>
          </w:tcPr>
          <w:p w14:paraId="56AE1B8C">
            <w:pPr>
              <w:spacing w:line="480" w:lineRule="atLeast"/>
              <w:rPr>
                <w:rFonts w:hint="eastAsia" w:ascii="宋体" w:hAnsi="宋体" w:cs="宋体"/>
                <w:b/>
                <w:bCs/>
                <w:iCs/>
              </w:rPr>
            </w:pPr>
            <w:r>
              <w:rPr>
                <w:rFonts w:hint="eastAsia" w:ascii="宋体" w:hAnsi="宋体" w:cs="宋体"/>
                <w:b/>
                <w:bCs/>
                <w:iCs/>
              </w:rPr>
              <w:t>地点</w:t>
            </w:r>
          </w:p>
        </w:tc>
        <w:tc>
          <w:tcPr>
            <w:tcW w:w="7906" w:type="dxa"/>
          </w:tcPr>
          <w:p w14:paraId="4C6BEAF8">
            <w:pPr>
              <w:spacing w:line="480" w:lineRule="atLeast"/>
              <w:rPr>
                <w:rFonts w:hint="eastAsia" w:ascii="宋体" w:hAnsi="宋体" w:cs="宋体"/>
                <w:bCs/>
                <w:iCs/>
              </w:rPr>
            </w:pPr>
            <w:r>
              <w:rPr>
                <w:rFonts w:hint="eastAsia" w:ascii="宋体" w:hAnsi="宋体" w:cs="宋体"/>
                <w:bCs/>
                <w:iCs/>
              </w:rPr>
              <w:t>品高大厦会议室</w:t>
            </w:r>
          </w:p>
        </w:tc>
      </w:tr>
      <w:tr w14:paraId="1793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Pr>
          <w:p w14:paraId="64DE6FDA">
            <w:pPr>
              <w:spacing w:line="480" w:lineRule="atLeast"/>
              <w:rPr>
                <w:rFonts w:hint="eastAsia" w:ascii="宋体" w:hAnsi="宋体" w:cs="宋体"/>
                <w:b/>
                <w:bCs/>
                <w:iCs/>
              </w:rPr>
            </w:pPr>
            <w:r>
              <w:rPr>
                <w:rFonts w:hint="eastAsia" w:ascii="宋体" w:hAnsi="宋体" w:cs="宋体"/>
                <w:b/>
                <w:bCs/>
                <w:iCs/>
              </w:rPr>
              <w:t>公司接待人员姓名</w:t>
            </w:r>
          </w:p>
        </w:tc>
        <w:tc>
          <w:tcPr>
            <w:tcW w:w="7906" w:type="dxa"/>
          </w:tcPr>
          <w:p w14:paraId="25637893">
            <w:pPr>
              <w:rPr>
                <w:rFonts w:hint="eastAsia" w:ascii="宋体" w:hAnsi="宋体" w:cs="宋体"/>
                <w:bCs/>
                <w:iCs/>
              </w:rPr>
            </w:pPr>
            <w:r>
              <w:rPr>
                <w:rFonts w:hint="eastAsia" w:ascii="宋体" w:hAnsi="宋体" w:cs="宋体"/>
                <w:bCs/>
                <w:iCs/>
              </w:rPr>
              <w:t>总经理兼董事会秘书：李淼淼先生</w:t>
            </w:r>
          </w:p>
          <w:p w14:paraId="00A0D5AD">
            <w:pPr>
              <w:rPr>
                <w:rFonts w:hint="eastAsia" w:ascii="宋体" w:hAnsi="宋体" w:cs="宋体"/>
                <w:bCs/>
                <w:iCs/>
              </w:rPr>
            </w:pPr>
            <w:r>
              <w:rPr>
                <w:rFonts w:hint="eastAsia" w:ascii="宋体" w:hAnsi="宋体" w:cs="宋体"/>
                <w:bCs/>
                <w:iCs/>
              </w:rPr>
              <w:t xml:space="preserve">证券事务代表：韦萌馨先生 </w:t>
            </w:r>
          </w:p>
        </w:tc>
      </w:tr>
      <w:tr w14:paraId="2EFA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935" w:type="dxa"/>
            <w:vAlign w:val="center"/>
          </w:tcPr>
          <w:p w14:paraId="7ADC5571">
            <w:pPr>
              <w:rPr>
                <w:rFonts w:hint="eastAsia" w:ascii="宋体" w:hAnsi="宋体" w:cs="宋体"/>
                <w:b/>
                <w:bCs/>
                <w:iCs/>
              </w:rPr>
            </w:pPr>
            <w:r>
              <w:rPr>
                <w:rFonts w:hint="eastAsia" w:ascii="宋体" w:hAnsi="宋体" w:cs="宋体"/>
                <w:b/>
                <w:bCs/>
                <w:iCs/>
              </w:rPr>
              <w:t>投资者关系活动主要内容介绍</w:t>
            </w:r>
          </w:p>
          <w:p w14:paraId="293991D4">
            <w:pPr>
              <w:spacing w:line="480" w:lineRule="atLeast"/>
              <w:rPr>
                <w:rFonts w:hint="eastAsia" w:ascii="宋体" w:hAnsi="宋体" w:cs="宋体"/>
                <w:b/>
                <w:bCs/>
                <w:iCs/>
              </w:rPr>
            </w:pPr>
          </w:p>
        </w:tc>
        <w:tc>
          <w:tcPr>
            <w:tcW w:w="7906" w:type="dxa"/>
          </w:tcPr>
          <w:p w14:paraId="2A39D2F7">
            <w:pPr>
              <w:rPr>
                <w:kern w:val="0"/>
              </w:rPr>
            </w:pPr>
            <w:r>
              <w:rPr>
                <w:rFonts w:hint="eastAsia"/>
                <w:kern w:val="0"/>
              </w:rPr>
              <w:t>一、</w:t>
            </w:r>
            <w:r>
              <w:rPr>
                <w:rFonts w:hint="eastAsia" w:ascii="宋体" w:hAnsi="宋体" w:cs="宋体"/>
                <w:bCs/>
                <w:iCs/>
              </w:rPr>
              <w:t>总经理兼董事会秘书李淼淼</w:t>
            </w:r>
            <w:r>
              <w:rPr>
                <w:rFonts w:hint="eastAsia"/>
                <w:kern w:val="0"/>
              </w:rPr>
              <w:t>先生介绍公司概况并带领现场参观；</w:t>
            </w:r>
          </w:p>
          <w:p w14:paraId="2BFF1C9A">
            <w:pPr>
              <w:rPr>
                <w:rFonts w:hint="eastAsia" w:ascii="宋体" w:hAnsi="宋体" w:cs="宋体"/>
                <w:bCs/>
                <w:iCs/>
              </w:rPr>
            </w:pPr>
            <w:r>
              <w:rPr>
                <w:rFonts w:hint="eastAsia" w:ascii="宋体" w:hAnsi="宋体" w:cs="宋体"/>
                <w:bCs/>
                <w:iCs/>
              </w:rPr>
              <w:t>二、总经理兼董事会秘书李淼淼</w:t>
            </w:r>
            <w:r>
              <w:rPr>
                <w:rFonts w:hint="eastAsia"/>
                <w:kern w:val="0"/>
              </w:rPr>
              <w:t>先生</w:t>
            </w:r>
            <w:r>
              <w:rPr>
                <w:rFonts w:hint="eastAsia" w:ascii="宋体" w:hAnsi="宋体" w:cs="宋体"/>
                <w:bCs/>
                <w:iCs/>
              </w:rPr>
              <w:t>就公司主要产品及相关技术进行介绍；</w:t>
            </w:r>
          </w:p>
          <w:p w14:paraId="1067D136">
            <w:pPr>
              <w:rPr>
                <w:rFonts w:hint="eastAsia" w:ascii="宋体" w:hAnsi="宋体" w:cs="宋体"/>
                <w:bCs/>
                <w:iCs/>
              </w:rPr>
            </w:pPr>
            <w:r>
              <w:rPr>
                <w:rFonts w:hint="eastAsia" w:ascii="宋体" w:hAnsi="宋体" w:cs="宋体"/>
                <w:bCs/>
                <w:iCs/>
              </w:rPr>
              <w:t>三、互动环节</w:t>
            </w:r>
          </w:p>
          <w:p w14:paraId="2B23869B">
            <w:pPr>
              <w:ind w:firstLine="422" w:firstLineChars="200"/>
              <w:rPr>
                <w:rFonts w:hint="eastAsia" w:ascii="宋体" w:hAnsi="宋体" w:cs="宋体"/>
                <w:b/>
                <w:bCs/>
                <w:kern w:val="0"/>
              </w:rPr>
            </w:pPr>
          </w:p>
          <w:p w14:paraId="15347558">
            <w:pPr>
              <w:ind w:firstLine="422" w:firstLineChars="200"/>
              <w:rPr>
                <w:b/>
                <w:bCs/>
                <w:kern w:val="0"/>
              </w:rPr>
            </w:pPr>
            <w:r>
              <w:rPr>
                <w:rFonts w:hint="eastAsia" w:ascii="宋体" w:hAnsi="宋体" w:cs="宋体"/>
                <w:b/>
                <w:bCs/>
                <w:kern w:val="0"/>
              </w:rPr>
              <w:t>1</w:t>
            </w:r>
            <w:r>
              <w:rPr>
                <w:rFonts w:hint="eastAsia"/>
                <w:b/>
                <w:bCs/>
                <w:kern w:val="0"/>
              </w:rPr>
              <w:t>、请介绍一下上半年经营情况以及中报利润首次由负转正原因以及公司品原一体机的销售情况。</w:t>
            </w:r>
          </w:p>
          <w:p w14:paraId="25C1C73E">
            <w:pPr>
              <w:ind w:firstLine="420" w:firstLineChars="200"/>
              <w:rPr>
                <w:kern w:val="0"/>
              </w:rPr>
            </w:pPr>
            <w:r>
              <w:rPr>
                <w:rFonts w:hint="eastAsia"/>
                <w:kern w:val="0"/>
              </w:rPr>
              <w:t>答：经财务部门初步测算，公司预计2026 年半年度实现营业收入16,800万元到 20,000万元，与上年同期相比，将增加289.20万元到3,489.20万元；实现归属于母公司所有者的净利润为260万元到600万元，与上年同期相比，将增加1,840.77万元到2,180.77万元，且实现扭亏为盈；归属于母公司所有者的扣除非经常性损益的净利润为30万元到370万元，与上年同期相比，将增加1,936.24万元到2,276.24万元。</w:t>
            </w:r>
          </w:p>
          <w:p w14:paraId="1DF849BF">
            <w:pPr>
              <w:ind w:firstLine="420" w:firstLineChars="200"/>
              <w:rPr>
                <w:kern w:val="0"/>
              </w:rPr>
            </w:pPr>
            <w:r>
              <w:rPr>
                <w:rFonts w:hint="eastAsia"/>
                <w:kern w:val="0"/>
              </w:rPr>
              <w:t>半年度能扭亏为盈，主要得益于公司持续改善经营质量并优化产品结构，积极拓展AI智算硬件市场与业务，品原AI一体机系列产品规模稳步放量，形成新的收入和利润增长点；同时公司降本增效成果显著，也进一步提升了盈利水平。</w:t>
            </w:r>
          </w:p>
          <w:p w14:paraId="54D875E1">
            <w:pPr>
              <w:ind w:firstLine="422" w:firstLineChars="200"/>
              <w:rPr>
                <w:b/>
                <w:bCs/>
                <w:kern w:val="0"/>
              </w:rPr>
            </w:pPr>
            <w:r>
              <w:rPr>
                <w:rFonts w:hint="eastAsia" w:ascii="宋体" w:hAnsi="宋体" w:cs="宋体"/>
                <w:b/>
                <w:bCs/>
                <w:kern w:val="0"/>
              </w:rPr>
              <w:t>2</w:t>
            </w:r>
            <w:r>
              <w:rPr>
                <w:rFonts w:hint="eastAsia"/>
                <w:b/>
                <w:bCs/>
                <w:kern w:val="0"/>
              </w:rPr>
              <w:t>、请介绍一下江原科技即将发布的T800芯片的定位及其流片情况。</w:t>
            </w:r>
          </w:p>
          <w:p w14:paraId="7F8A433F">
            <w:pPr>
              <w:ind w:firstLine="420" w:firstLineChars="200"/>
              <w:rPr>
                <w:rFonts w:hint="default" w:ascii="宋体" w:hAnsi="宋体" w:eastAsia="宋体" w:cs="宋体"/>
                <w:kern w:val="0"/>
                <w:lang w:val="en-US" w:eastAsia="zh-CN"/>
              </w:rPr>
            </w:pPr>
            <w:r>
              <w:rPr>
                <w:rFonts w:hint="eastAsia"/>
                <w:kern w:val="0"/>
              </w:rPr>
              <w:t>答：该</w:t>
            </w:r>
            <w:r>
              <w:rPr>
                <w:rFonts w:hint="eastAsia" w:ascii="宋体" w:hAnsi="宋体" w:cs="宋体"/>
                <w:kern w:val="0"/>
              </w:rPr>
              <w:t>款芯片的定位为深圳江原科技有限公司的旗舰级产品，是一款从IP设计、流片量产到封测的境内自主可控AI芯片，其综合性能预计可对齐当前主流的境外算力芯片型号，该芯片聚焦大规模AI模型训练与推理场景，旨在为智算中心、云端算力集群等提供全栈国产化算力支撑。作为公司软硬一体战略的关键一环，该芯片有望进一步强化公司在国产AI算力生态的全链条布局能力。T800芯片目前已经进入到流片阶段，其量产进度请您关注江原科技官方发布的信息，芯片量产进度受供应链、客户验证等因素影响，存在不确定性</w:t>
            </w:r>
            <w:r>
              <w:rPr>
                <w:rFonts w:hint="eastAsia" w:ascii="宋体" w:hAnsi="宋体" w:cs="宋体"/>
                <w:kern w:val="0"/>
                <w:lang w:eastAsia="zh-CN"/>
              </w:rPr>
              <w:t>，</w:t>
            </w:r>
            <w:r>
              <w:rPr>
                <w:rFonts w:hint="eastAsia" w:ascii="宋体" w:hAnsi="宋体" w:cs="宋体"/>
                <w:kern w:val="0"/>
                <w:lang w:val="en-US" w:eastAsia="zh-CN"/>
              </w:rPr>
              <w:t>同时</w:t>
            </w:r>
            <w:r>
              <w:rPr>
                <w:rFonts w:hint="eastAsia" w:ascii="宋体" w:hAnsi="宋体" w:cs="宋体"/>
                <w:kern w:val="0"/>
              </w:rPr>
              <w:t>江原科技目前尚处于初创投资阶段，未来经营发展过程中可能受宏观经济、产业政策、行业周期及江原科技自身等多种因素影响</w:t>
            </w:r>
            <w:r>
              <w:rPr>
                <w:rFonts w:hint="eastAsia" w:ascii="宋体" w:hAnsi="宋体" w:cs="宋体"/>
                <w:kern w:val="0"/>
                <w:lang w:eastAsia="zh-CN"/>
              </w:rPr>
              <w:t>，</w:t>
            </w:r>
            <w:r>
              <w:rPr>
                <w:rFonts w:hint="eastAsia" w:ascii="宋体" w:hAnsi="宋体" w:cs="宋体"/>
                <w:kern w:val="0"/>
                <w:lang w:val="en-US" w:eastAsia="zh-CN"/>
              </w:rPr>
              <w:t>公司发展存在不确定性，公司产品存在不及定位预期的风险</w:t>
            </w:r>
            <w:r>
              <w:rPr>
                <w:rFonts w:hint="eastAsia" w:ascii="宋体" w:hAnsi="宋体" w:cs="宋体"/>
                <w:kern w:val="0"/>
                <w:lang w:eastAsia="zh-CN"/>
              </w:rPr>
              <w:t>，</w:t>
            </w:r>
            <w:r>
              <w:rPr>
                <w:rFonts w:hint="eastAsia" w:ascii="宋体" w:hAnsi="宋体" w:cs="宋体"/>
                <w:kern w:val="0"/>
                <w:lang w:val="en-US" w:eastAsia="zh-CN"/>
              </w:rPr>
              <w:t>请投资者注意投资风险。</w:t>
            </w:r>
          </w:p>
          <w:p w14:paraId="23D01981">
            <w:pPr>
              <w:ind w:firstLine="422" w:firstLineChars="200"/>
              <w:rPr>
                <w:b/>
                <w:bCs/>
                <w:kern w:val="0"/>
              </w:rPr>
            </w:pPr>
            <w:r>
              <w:rPr>
                <w:rFonts w:hint="eastAsia"/>
                <w:b/>
                <w:bCs/>
                <w:kern w:val="0"/>
              </w:rPr>
              <w:t>3、公司除了江原科技外，还有哪些投资布局？</w:t>
            </w:r>
          </w:p>
          <w:p w14:paraId="5F29D891">
            <w:pPr>
              <w:ind w:firstLine="420" w:firstLineChars="200"/>
              <w:rPr>
                <w:rFonts w:hint="eastAsia" w:ascii="宋体" w:hAnsi="宋体" w:cs="宋体"/>
                <w:kern w:val="0"/>
              </w:rPr>
            </w:pPr>
            <w:r>
              <w:rPr>
                <w:rFonts w:hint="eastAsia" w:ascii="宋体" w:hAnsi="宋体" w:cs="宋体"/>
                <w:kern w:val="0"/>
              </w:rPr>
              <w:t>答：</w:t>
            </w:r>
            <w:r>
              <w:rPr>
                <w:rFonts w:hint="eastAsia" w:asciiTheme="minorEastAsia" w:hAnsiTheme="minorEastAsia" w:eastAsiaTheme="minorEastAsia"/>
              </w:rPr>
              <w:t>产业投资方面，公司始终围绕国产智算软硬件一体化持续深化产业布局，重点通过资本投入与业务协同相结合的方式，强化“云—边—端”全链条能力</w:t>
            </w:r>
            <w:r>
              <w:rPr>
                <w:rFonts w:hint="eastAsia" w:ascii="宋体" w:hAnsi="宋体" w:cs="宋体"/>
                <w:kern w:val="0"/>
              </w:rPr>
              <w:t>，以求构建全国产算力智能生态产业链</w:t>
            </w:r>
            <w:r>
              <w:rPr>
                <w:rFonts w:hint="eastAsia" w:asciiTheme="minorEastAsia" w:hAnsiTheme="minorEastAsia" w:eastAsiaTheme="minorEastAsia"/>
              </w:rPr>
              <w:t>。</w:t>
            </w:r>
            <w:r>
              <w:rPr>
                <w:rFonts w:hint="eastAsia" w:ascii="宋体" w:hAnsi="宋体" w:cs="宋体"/>
                <w:kern w:val="0"/>
              </w:rPr>
              <w:t>除了江原科技外，公司的投资布局还朝芯片</w:t>
            </w:r>
            <w:bookmarkStart w:id="0" w:name="_GoBack"/>
            <w:bookmarkEnd w:id="0"/>
            <w:r>
              <w:rPr>
                <w:rFonts w:hint="eastAsia" w:ascii="宋体" w:hAnsi="宋体" w:cs="宋体"/>
                <w:kern w:val="0"/>
              </w:rPr>
              <w:t>、材料等方向展开。公司陆续投资了杭州之江创智科技有限公司（主营端侧同感算一体AI芯片，公司占比16%）、杭州优智联科技有限公司（主营UWB蓝牙侧端芯片，公司子公司占比6.01%），同时公司还通过广州番禺品高汇智创业投资合伙企业（有限合伙）（私募股权基金,公司占比31%）投资了江西绿聚科技有限公司（主营高分子复合材料，用于3D打印、工程塑料等领域，基金占比2.38%）、得一微电子股份有限公司（主营存储主控芯片与整体解决方案，基金占比0.2607%）、广东高云半导体科技股份有限公司（主营FPGA芯片及应用解决方案，基金占比0.34%）。上述投资属于早期投资，且投资占比较小，对公司主营业务和收入贡献不会产生重大影响</w:t>
            </w:r>
            <w:r>
              <w:rPr>
                <w:rFonts w:hint="eastAsia" w:ascii="宋体" w:hAnsi="宋体" w:cs="宋体"/>
                <w:kern w:val="0"/>
                <w:lang w:eastAsia="zh-CN"/>
              </w:rPr>
              <w:t>，</w:t>
            </w:r>
            <w:r>
              <w:rPr>
                <w:rFonts w:hint="eastAsia" w:ascii="宋体" w:hAnsi="宋体" w:cs="宋体"/>
                <w:kern w:val="0"/>
                <w:lang w:val="en-US" w:eastAsia="zh-CN"/>
              </w:rPr>
              <w:t>同时上述对外投资在实施过程中可能受到宏观经济波动、行业政策变化、市场竞争加剧等多重因素的影响。标的公司未来实际经营情况存在一定的不确定性，上述对外投资可能存在无法实现预期收益的风险</w:t>
            </w:r>
            <w:r>
              <w:rPr>
                <w:rFonts w:hint="eastAsia" w:ascii="宋体" w:hAnsi="宋体" w:cs="宋体"/>
                <w:kern w:val="0"/>
                <w:lang w:eastAsia="zh-CN"/>
              </w:rPr>
              <w:t>，</w:t>
            </w:r>
            <w:r>
              <w:rPr>
                <w:rFonts w:hint="eastAsia" w:ascii="宋体" w:hAnsi="宋体" w:cs="宋体"/>
                <w:kern w:val="0"/>
                <w:lang w:val="en-US" w:eastAsia="zh-CN"/>
              </w:rPr>
              <w:t>请投资者注意投资风险</w:t>
            </w:r>
            <w:r>
              <w:rPr>
                <w:rFonts w:hint="eastAsia" w:ascii="宋体" w:hAnsi="宋体" w:cs="宋体"/>
                <w:kern w:val="0"/>
              </w:rPr>
              <w:t>。</w:t>
            </w:r>
          </w:p>
          <w:p w14:paraId="2ABB2555">
            <w:pPr>
              <w:ind w:firstLine="422" w:firstLineChars="200"/>
              <w:rPr>
                <w:rFonts w:hint="eastAsia" w:ascii="宋体" w:hAnsi="宋体" w:cs="宋体"/>
              </w:rPr>
            </w:pPr>
            <w:r>
              <w:rPr>
                <w:rFonts w:hint="eastAsia"/>
                <w:b/>
                <w:bCs/>
                <w:kern w:val="0"/>
              </w:rPr>
              <w:t>4、目前市场存储芯片较为紧缺，江原科技在生产t800的过程中是否会受此影响？包括存储芯片以及其他配套材料模块、后端封测是否已经为明年大客户做好备货及铺垫？</w:t>
            </w:r>
          </w:p>
          <w:p w14:paraId="56BCA688">
            <w:pPr>
              <w:ind w:firstLine="420" w:firstLineChars="200"/>
              <w:rPr>
                <w:kern w:val="0"/>
              </w:rPr>
            </w:pPr>
            <w:r>
              <w:rPr>
                <w:rFonts w:hint="eastAsia"/>
                <w:kern w:val="0"/>
              </w:rPr>
              <w:t>答：当前存储芯片等上游供应链确实面临普遍性紧张，公司与江原科技已为T800的顺利量产做了大量前期准备，包括上游存储芯片、其他配套材料模块的备货以及相关软件生态，也与后端封测厂商建立了良好合作关系，以全面确保T800的顺利量产和交付。</w:t>
            </w:r>
            <w:r>
              <w:rPr>
                <w:rFonts w:hint="eastAsia" w:ascii="宋体" w:hAnsi="宋体" w:cs="宋体"/>
                <w:kern w:val="0"/>
              </w:rPr>
              <w:t>芯片量产进度受供应链、客户验证等因素影响，存在不确定性</w:t>
            </w:r>
            <w:r>
              <w:rPr>
                <w:rFonts w:hint="eastAsia" w:ascii="宋体" w:hAnsi="宋体" w:cs="宋体"/>
                <w:kern w:val="0"/>
                <w:lang w:eastAsia="zh-CN"/>
              </w:rPr>
              <w:t>，</w:t>
            </w:r>
            <w:r>
              <w:rPr>
                <w:rFonts w:hint="eastAsia" w:ascii="宋体" w:hAnsi="宋体" w:cs="宋体"/>
                <w:kern w:val="0"/>
                <w:lang w:val="en-US" w:eastAsia="zh-CN"/>
              </w:rPr>
              <w:t>请投资者注意投资风险。</w:t>
            </w:r>
          </w:p>
          <w:p w14:paraId="3CB9E28A">
            <w:pPr>
              <w:rPr>
                <w:kern w:val="0"/>
              </w:rPr>
            </w:pPr>
            <w:r>
              <w:rPr>
                <w:rFonts w:hint="eastAsia"/>
                <w:kern w:val="0"/>
              </w:rPr>
              <w:t xml:space="preserve">   </w:t>
            </w:r>
            <w:r>
              <w:rPr>
                <w:rFonts w:hint="eastAsia"/>
                <w:b/>
                <w:bCs/>
                <w:kern w:val="0"/>
              </w:rPr>
              <w:t xml:space="preserve"> 5、请介绍下公司云计算业务的发展情况以及公司未来的战略方向？</w:t>
            </w:r>
          </w:p>
          <w:p w14:paraId="2C8C6FCC">
            <w:pPr>
              <w:ind w:firstLine="420" w:firstLineChars="200"/>
              <w:rPr>
                <w:rFonts w:hint="eastAsia" w:ascii="宋体" w:hAnsi="宋体" w:cs="宋体"/>
                <w:b/>
                <w:bCs/>
                <w:kern w:val="0"/>
              </w:rPr>
            </w:pPr>
            <w:r>
              <w:rPr>
                <w:rFonts w:hint="eastAsia"/>
                <w:kern w:val="0"/>
              </w:rPr>
              <w:t>答：公司云计算业务发展稳中向好，随着信创、特种行业等领域客户对于本地化部署、数据安全和全国产算力安全保障的需求不断增强，公司在云计算产品和品原一体机产品能有效帮助客户解决数据安全及本地化部署的需求。预计未来公司将向国产算力+云服务的方向进行进一步的转型。未来公司将向“云-边-端”协同与自主可控智算软硬一体融合发展迈进，以“云数基座平台”为核心战略，聚焦“垂直领域人工智能+国产算力生态”双轮驱动，逐步构建起覆盖全栈云服务、云边端协同基座、国产化算力生态的多元化业务体系。</w:t>
            </w:r>
          </w:p>
        </w:tc>
      </w:tr>
      <w:tr w14:paraId="6C4A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3ACFACC3">
            <w:pPr>
              <w:spacing w:line="480" w:lineRule="atLeast"/>
              <w:rPr>
                <w:rFonts w:hint="eastAsia" w:ascii="宋体" w:hAnsi="宋体" w:cs="宋体"/>
                <w:b/>
                <w:bCs/>
                <w:iCs/>
              </w:rPr>
            </w:pPr>
            <w:r>
              <w:rPr>
                <w:rFonts w:hint="eastAsia" w:ascii="宋体" w:hAnsi="宋体" w:cs="宋体"/>
                <w:b/>
                <w:bCs/>
                <w:iCs/>
              </w:rPr>
              <w:t>附件清单（如有）</w:t>
            </w:r>
          </w:p>
        </w:tc>
        <w:tc>
          <w:tcPr>
            <w:tcW w:w="7906" w:type="dxa"/>
          </w:tcPr>
          <w:p w14:paraId="1802A296">
            <w:pPr>
              <w:spacing w:line="480" w:lineRule="atLeast"/>
              <w:rPr>
                <w:rFonts w:hint="eastAsia" w:ascii="宋体" w:hAnsi="宋体" w:cs="宋体"/>
                <w:bCs/>
                <w:iCs/>
              </w:rPr>
            </w:pPr>
            <w:r>
              <w:rPr>
                <w:rFonts w:hint="eastAsia" w:ascii="宋体" w:hAnsi="宋体" w:cs="宋体"/>
                <w:bCs/>
                <w:iCs/>
              </w:rPr>
              <w:t>无</w:t>
            </w:r>
          </w:p>
        </w:tc>
      </w:tr>
      <w:tr w14:paraId="141C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3593CB63">
            <w:pPr>
              <w:spacing w:line="480" w:lineRule="atLeast"/>
              <w:rPr>
                <w:rFonts w:hint="eastAsia" w:ascii="宋体" w:hAnsi="宋体" w:cs="宋体"/>
                <w:b/>
                <w:bCs/>
                <w:iCs/>
              </w:rPr>
            </w:pPr>
            <w:r>
              <w:rPr>
                <w:rFonts w:hint="eastAsia" w:ascii="宋体" w:hAnsi="宋体" w:cs="宋体"/>
                <w:b/>
                <w:bCs/>
                <w:iCs/>
              </w:rPr>
              <w:t>日期</w:t>
            </w:r>
          </w:p>
        </w:tc>
        <w:tc>
          <w:tcPr>
            <w:tcW w:w="7906" w:type="dxa"/>
          </w:tcPr>
          <w:p w14:paraId="7B4C36EB">
            <w:pPr>
              <w:spacing w:line="480" w:lineRule="atLeast"/>
              <w:rPr>
                <w:rFonts w:hint="eastAsia" w:ascii="宋体" w:hAnsi="宋体" w:cs="宋体"/>
                <w:bCs/>
                <w:iCs/>
              </w:rPr>
            </w:pPr>
            <w:r>
              <w:rPr>
                <w:rFonts w:hint="eastAsia" w:ascii="宋体" w:hAnsi="宋体" w:cs="宋体"/>
                <w:bCs/>
                <w:iCs/>
              </w:rPr>
              <w:t>2026年8月</w:t>
            </w:r>
            <w:r>
              <w:rPr>
                <w:rFonts w:hint="eastAsia" w:ascii="宋体" w:hAnsi="宋体" w:cs="宋体"/>
                <w:bCs/>
                <w:iCs/>
                <w:lang w:val="en-US" w:eastAsia="zh-CN"/>
              </w:rPr>
              <w:t>31</w:t>
            </w:r>
            <w:r>
              <w:rPr>
                <w:rFonts w:hint="eastAsia" w:ascii="宋体" w:hAnsi="宋体" w:cs="宋体"/>
                <w:bCs/>
                <w:iCs/>
              </w:rPr>
              <w:t>日</w:t>
            </w:r>
          </w:p>
        </w:tc>
      </w:tr>
    </w:tbl>
    <w:p w14:paraId="54E7DF67">
      <w:pPr>
        <w:rPr>
          <w:rFonts w:hint="eastAsia" w:ascii="宋体" w:hAnsi="宋体" w:cs="宋体"/>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mJjMGUyMDNhMGI0MjllZTc4OTE3ODRjOTBjMWQifQ=="/>
  </w:docVars>
  <w:rsids>
    <w:rsidRoot w:val="00172A27"/>
    <w:rsid w:val="00026EE6"/>
    <w:rsid w:val="00027EAD"/>
    <w:rsid w:val="000C1E77"/>
    <w:rsid w:val="0014365F"/>
    <w:rsid w:val="00146945"/>
    <w:rsid w:val="00172A27"/>
    <w:rsid w:val="00213CFF"/>
    <w:rsid w:val="00231F66"/>
    <w:rsid w:val="00245D08"/>
    <w:rsid w:val="002F2CCD"/>
    <w:rsid w:val="00310DDF"/>
    <w:rsid w:val="003111DD"/>
    <w:rsid w:val="00325D4F"/>
    <w:rsid w:val="0032776D"/>
    <w:rsid w:val="00372169"/>
    <w:rsid w:val="00374640"/>
    <w:rsid w:val="003A31D2"/>
    <w:rsid w:val="003E2476"/>
    <w:rsid w:val="00461FA8"/>
    <w:rsid w:val="004633BC"/>
    <w:rsid w:val="00470448"/>
    <w:rsid w:val="00472A13"/>
    <w:rsid w:val="00493020"/>
    <w:rsid w:val="004B129F"/>
    <w:rsid w:val="004F08D2"/>
    <w:rsid w:val="00522E9A"/>
    <w:rsid w:val="005464FB"/>
    <w:rsid w:val="0057302D"/>
    <w:rsid w:val="00587CF0"/>
    <w:rsid w:val="005C2708"/>
    <w:rsid w:val="005F75FC"/>
    <w:rsid w:val="0060262A"/>
    <w:rsid w:val="006047F9"/>
    <w:rsid w:val="00641EB9"/>
    <w:rsid w:val="006F71F3"/>
    <w:rsid w:val="007046CA"/>
    <w:rsid w:val="0073717B"/>
    <w:rsid w:val="00755C80"/>
    <w:rsid w:val="0078746E"/>
    <w:rsid w:val="00796F1F"/>
    <w:rsid w:val="007A6DB5"/>
    <w:rsid w:val="007B4419"/>
    <w:rsid w:val="00810A20"/>
    <w:rsid w:val="00816A3D"/>
    <w:rsid w:val="00845AA9"/>
    <w:rsid w:val="008D1914"/>
    <w:rsid w:val="00927E0B"/>
    <w:rsid w:val="0097399F"/>
    <w:rsid w:val="00975CF0"/>
    <w:rsid w:val="009C7BB8"/>
    <w:rsid w:val="009F71AF"/>
    <w:rsid w:val="00A7011F"/>
    <w:rsid w:val="00AB3AF8"/>
    <w:rsid w:val="00AB3D93"/>
    <w:rsid w:val="00AF6FB1"/>
    <w:rsid w:val="00B12D58"/>
    <w:rsid w:val="00B25CE6"/>
    <w:rsid w:val="00B52E12"/>
    <w:rsid w:val="00B650BE"/>
    <w:rsid w:val="00B765E5"/>
    <w:rsid w:val="00B82040"/>
    <w:rsid w:val="00B92876"/>
    <w:rsid w:val="00B95CDD"/>
    <w:rsid w:val="00BB3B96"/>
    <w:rsid w:val="00C531EA"/>
    <w:rsid w:val="00C876D0"/>
    <w:rsid w:val="00C940AC"/>
    <w:rsid w:val="00CE24F2"/>
    <w:rsid w:val="00CF2E1B"/>
    <w:rsid w:val="00E076B4"/>
    <w:rsid w:val="00E83B7D"/>
    <w:rsid w:val="00EA32FD"/>
    <w:rsid w:val="00EE18BC"/>
    <w:rsid w:val="00F330DD"/>
    <w:rsid w:val="00F4135D"/>
    <w:rsid w:val="00F46C27"/>
    <w:rsid w:val="00F8511C"/>
    <w:rsid w:val="00F87FAD"/>
    <w:rsid w:val="00FC43A1"/>
    <w:rsid w:val="00FC6D44"/>
    <w:rsid w:val="010C3DC8"/>
    <w:rsid w:val="012D0A79"/>
    <w:rsid w:val="015E07D1"/>
    <w:rsid w:val="01F178BE"/>
    <w:rsid w:val="02151334"/>
    <w:rsid w:val="02742095"/>
    <w:rsid w:val="02D97DA8"/>
    <w:rsid w:val="02F74BED"/>
    <w:rsid w:val="03820F4E"/>
    <w:rsid w:val="04590FB1"/>
    <w:rsid w:val="04730898"/>
    <w:rsid w:val="04A610B0"/>
    <w:rsid w:val="04D71E1F"/>
    <w:rsid w:val="051D4572"/>
    <w:rsid w:val="058A4BA6"/>
    <w:rsid w:val="0677405F"/>
    <w:rsid w:val="06840641"/>
    <w:rsid w:val="086168CD"/>
    <w:rsid w:val="0885360A"/>
    <w:rsid w:val="09534A47"/>
    <w:rsid w:val="099224C2"/>
    <w:rsid w:val="0A0E4884"/>
    <w:rsid w:val="0AC55D37"/>
    <w:rsid w:val="0BA72C62"/>
    <w:rsid w:val="0C483CB5"/>
    <w:rsid w:val="0F0B02DB"/>
    <w:rsid w:val="105772C0"/>
    <w:rsid w:val="11257469"/>
    <w:rsid w:val="117400AF"/>
    <w:rsid w:val="12441DAC"/>
    <w:rsid w:val="13E236AC"/>
    <w:rsid w:val="154410F5"/>
    <w:rsid w:val="15DE21ED"/>
    <w:rsid w:val="167F55F9"/>
    <w:rsid w:val="168C360A"/>
    <w:rsid w:val="16DF554C"/>
    <w:rsid w:val="17AF2468"/>
    <w:rsid w:val="18435038"/>
    <w:rsid w:val="185771B4"/>
    <w:rsid w:val="18F656A8"/>
    <w:rsid w:val="1950115D"/>
    <w:rsid w:val="19873A3C"/>
    <w:rsid w:val="198D748E"/>
    <w:rsid w:val="1A320C5D"/>
    <w:rsid w:val="1AFA6AA4"/>
    <w:rsid w:val="1B3F26C4"/>
    <w:rsid w:val="1BA210E4"/>
    <w:rsid w:val="1BC81323"/>
    <w:rsid w:val="1C197E29"/>
    <w:rsid w:val="1C62620B"/>
    <w:rsid w:val="1CD65C5D"/>
    <w:rsid w:val="1D3D6906"/>
    <w:rsid w:val="1D6F382A"/>
    <w:rsid w:val="1E9B56D6"/>
    <w:rsid w:val="1EF76602"/>
    <w:rsid w:val="1FCD6C57"/>
    <w:rsid w:val="20201EC2"/>
    <w:rsid w:val="21077518"/>
    <w:rsid w:val="214F03B6"/>
    <w:rsid w:val="218B6F16"/>
    <w:rsid w:val="22551E62"/>
    <w:rsid w:val="229D003B"/>
    <w:rsid w:val="23906366"/>
    <w:rsid w:val="23F45616"/>
    <w:rsid w:val="24197969"/>
    <w:rsid w:val="25174EE8"/>
    <w:rsid w:val="25364057"/>
    <w:rsid w:val="255156EE"/>
    <w:rsid w:val="271F52BE"/>
    <w:rsid w:val="27952A4F"/>
    <w:rsid w:val="27D74A6C"/>
    <w:rsid w:val="27DC0EF4"/>
    <w:rsid w:val="2802389F"/>
    <w:rsid w:val="28F66DF5"/>
    <w:rsid w:val="298869B1"/>
    <w:rsid w:val="29AD12B0"/>
    <w:rsid w:val="29B57485"/>
    <w:rsid w:val="2A2D713F"/>
    <w:rsid w:val="2A480BFF"/>
    <w:rsid w:val="2A6C21F8"/>
    <w:rsid w:val="2AA45E84"/>
    <w:rsid w:val="2BB45CC1"/>
    <w:rsid w:val="2C2A7BE1"/>
    <w:rsid w:val="2C55584A"/>
    <w:rsid w:val="2C98683F"/>
    <w:rsid w:val="2C9D3A40"/>
    <w:rsid w:val="2CA27EC8"/>
    <w:rsid w:val="2DC77CAA"/>
    <w:rsid w:val="2E013307"/>
    <w:rsid w:val="2EA11B8C"/>
    <w:rsid w:val="2EF8259B"/>
    <w:rsid w:val="2F9B6714"/>
    <w:rsid w:val="2FAD0DC5"/>
    <w:rsid w:val="2FBD105F"/>
    <w:rsid w:val="2FE92733"/>
    <w:rsid w:val="306E4AC4"/>
    <w:rsid w:val="309E3BD0"/>
    <w:rsid w:val="312B28BA"/>
    <w:rsid w:val="327B7499"/>
    <w:rsid w:val="32BB2F2A"/>
    <w:rsid w:val="33BB6692"/>
    <w:rsid w:val="341F6E91"/>
    <w:rsid w:val="350E5A19"/>
    <w:rsid w:val="35494579"/>
    <w:rsid w:val="3569702C"/>
    <w:rsid w:val="35781540"/>
    <w:rsid w:val="35A64FBD"/>
    <w:rsid w:val="36291668"/>
    <w:rsid w:val="36C41867"/>
    <w:rsid w:val="370046CE"/>
    <w:rsid w:val="372258C1"/>
    <w:rsid w:val="372D5A13"/>
    <w:rsid w:val="3795237D"/>
    <w:rsid w:val="379C5AA8"/>
    <w:rsid w:val="37EC1C56"/>
    <w:rsid w:val="38284F1B"/>
    <w:rsid w:val="3830653A"/>
    <w:rsid w:val="38D608C9"/>
    <w:rsid w:val="38EA3D40"/>
    <w:rsid w:val="39075B05"/>
    <w:rsid w:val="3A9F2E3C"/>
    <w:rsid w:val="3B5D0C70"/>
    <w:rsid w:val="3C035F1A"/>
    <w:rsid w:val="3D4C5F1D"/>
    <w:rsid w:val="3D54710F"/>
    <w:rsid w:val="3DCA0C32"/>
    <w:rsid w:val="3E037C4A"/>
    <w:rsid w:val="3E0456CC"/>
    <w:rsid w:val="3E510A59"/>
    <w:rsid w:val="3ED24E20"/>
    <w:rsid w:val="3FBB6F9C"/>
    <w:rsid w:val="402E5098"/>
    <w:rsid w:val="402E72DA"/>
    <w:rsid w:val="40C355D0"/>
    <w:rsid w:val="40FE4130"/>
    <w:rsid w:val="414C1CB1"/>
    <w:rsid w:val="41B525D9"/>
    <w:rsid w:val="41EA08B5"/>
    <w:rsid w:val="428C12F6"/>
    <w:rsid w:val="428D00BE"/>
    <w:rsid w:val="42C97723"/>
    <w:rsid w:val="42FC322C"/>
    <w:rsid w:val="43143AD4"/>
    <w:rsid w:val="446B764F"/>
    <w:rsid w:val="448004EE"/>
    <w:rsid w:val="45040343"/>
    <w:rsid w:val="45E071B1"/>
    <w:rsid w:val="460573F1"/>
    <w:rsid w:val="463566E4"/>
    <w:rsid w:val="46A401F3"/>
    <w:rsid w:val="484808A4"/>
    <w:rsid w:val="489354A0"/>
    <w:rsid w:val="48B0655A"/>
    <w:rsid w:val="48FA6149"/>
    <w:rsid w:val="49210164"/>
    <w:rsid w:val="49714403"/>
    <w:rsid w:val="4A4F0FFA"/>
    <w:rsid w:val="4B120D37"/>
    <w:rsid w:val="4BAB34B4"/>
    <w:rsid w:val="4BBA6DC8"/>
    <w:rsid w:val="4CBD47F8"/>
    <w:rsid w:val="4FC4026D"/>
    <w:rsid w:val="50D63849"/>
    <w:rsid w:val="51237D2E"/>
    <w:rsid w:val="5175356D"/>
    <w:rsid w:val="5381780D"/>
    <w:rsid w:val="53CD3850"/>
    <w:rsid w:val="53DF35F9"/>
    <w:rsid w:val="54085E92"/>
    <w:rsid w:val="55D810C6"/>
    <w:rsid w:val="56004D1E"/>
    <w:rsid w:val="56391F84"/>
    <w:rsid w:val="565B7F3A"/>
    <w:rsid w:val="565E4742"/>
    <w:rsid w:val="56D26C7F"/>
    <w:rsid w:val="58DF4B3E"/>
    <w:rsid w:val="59E81790"/>
    <w:rsid w:val="5A665C7C"/>
    <w:rsid w:val="5AA1343A"/>
    <w:rsid w:val="5ACE7A76"/>
    <w:rsid w:val="5BDD2B45"/>
    <w:rsid w:val="5BE53F27"/>
    <w:rsid w:val="5C4A34F9"/>
    <w:rsid w:val="5C5C6C96"/>
    <w:rsid w:val="5C7A6246"/>
    <w:rsid w:val="5CB97030"/>
    <w:rsid w:val="5D2445C5"/>
    <w:rsid w:val="5E4010CF"/>
    <w:rsid w:val="5E685A72"/>
    <w:rsid w:val="5EAA3F5C"/>
    <w:rsid w:val="5F4A1E60"/>
    <w:rsid w:val="5FE44889"/>
    <w:rsid w:val="60474C82"/>
    <w:rsid w:val="61870E92"/>
    <w:rsid w:val="61953D13"/>
    <w:rsid w:val="639B0501"/>
    <w:rsid w:val="63C37B2A"/>
    <w:rsid w:val="642751CA"/>
    <w:rsid w:val="677A5055"/>
    <w:rsid w:val="67AB1E1F"/>
    <w:rsid w:val="67E34238"/>
    <w:rsid w:val="67EC080C"/>
    <w:rsid w:val="686B6B5C"/>
    <w:rsid w:val="68806B01"/>
    <w:rsid w:val="699C2751"/>
    <w:rsid w:val="6A1D34CB"/>
    <w:rsid w:val="6A310A46"/>
    <w:rsid w:val="6BAE6CB9"/>
    <w:rsid w:val="6BDF20B2"/>
    <w:rsid w:val="6BFE4225"/>
    <w:rsid w:val="6C5C4853"/>
    <w:rsid w:val="6CBF405B"/>
    <w:rsid w:val="6D1A7EEA"/>
    <w:rsid w:val="6E442175"/>
    <w:rsid w:val="702D5518"/>
    <w:rsid w:val="708A296C"/>
    <w:rsid w:val="71BE49AA"/>
    <w:rsid w:val="72002E95"/>
    <w:rsid w:val="72A204A0"/>
    <w:rsid w:val="72B5398F"/>
    <w:rsid w:val="73303587"/>
    <w:rsid w:val="7388529A"/>
    <w:rsid w:val="74070972"/>
    <w:rsid w:val="7465302A"/>
    <w:rsid w:val="76F507BA"/>
    <w:rsid w:val="779275ED"/>
    <w:rsid w:val="79A90CA8"/>
    <w:rsid w:val="7A815450"/>
    <w:rsid w:val="7B6E188D"/>
    <w:rsid w:val="7B74701A"/>
    <w:rsid w:val="7BA93D47"/>
    <w:rsid w:val="7C471919"/>
    <w:rsid w:val="7C6543A4"/>
    <w:rsid w:val="7CDA1DE4"/>
    <w:rsid w:val="7DAA3D43"/>
    <w:rsid w:val="7DBD5C5A"/>
    <w:rsid w:val="7E174DE1"/>
    <w:rsid w:val="7F751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9"/>
    <w:unhideWhenUsed/>
    <w:qFormat/>
    <w:uiPriority w:val="99"/>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unhideWhenUsed/>
    <w:qFormat/>
    <w:uiPriority w:val="99"/>
    <w:pPr>
      <w:pBdr>
        <w:top w:val="single" w:color="CCCCCC" w:sz="6" w:space="7"/>
        <w:left w:val="single" w:color="CCCCCC" w:sz="6" w:space="7"/>
        <w:bottom w:val="single" w:color="CCCCCC" w:sz="6" w:space="7"/>
        <w:right w:val="single" w:color="CCCCCC" w:sz="6" w:spac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1" w:lineRule="atLeast"/>
      <w:jc w:val="left"/>
    </w:pPr>
    <w:rPr>
      <w:rFonts w:ascii="Consolas" w:hAnsi="Consolas" w:eastAsia="Consolas"/>
      <w:color w:val="333333"/>
      <w:kern w:val="0"/>
      <w:sz w:val="19"/>
      <w:szCs w:val="19"/>
    </w:rPr>
  </w:style>
  <w:style w:type="character" w:styleId="10">
    <w:name w:val="Strong"/>
    <w:qFormat/>
    <w:uiPriority w:val="22"/>
    <w:rPr>
      <w:b/>
      <w:bCs/>
    </w:rPr>
  </w:style>
  <w:style w:type="character" w:styleId="11">
    <w:name w:val="page number"/>
    <w:unhideWhenUsed/>
    <w:qFormat/>
    <w:uiPriority w:val="99"/>
  </w:style>
  <w:style w:type="character" w:styleId="12">
    <w:name w:val="FollowedHyperlink"/>
    <w:unhideWhenUsed/>
    <w:qFormat/>
    <w:uiPriority w:val="99"/>
    <w:rPr>
      <w:color w:val="333333"/>
      <w:u w:val="none"/>
    </w:rPr>
  </w:style>
  <w:style w:type="character" w:styleId="13">
    <w:name w:val="HTML Definition"/>
    <w:unhideWhenUsed/>
    <w:qFormat/>
    <w:uiPriority w:val="99"/>
    <w:rPr>
      <w:i/>
      <w:iCs/>
    </w:rPr>
  </w:style>
  <w:style w:type="character" w:styleId="14">
    <w:name w:val="Hyperlink"/>
    <w:unhideWhenUsed/>
    <w:qFormat/>
    <w:uiPriority w:val="99"/>
    <w:rPr>
      <w:color w:val="333333"/>
      <w:u w:val="none"/>
    </w:rPr>
  </w:style>
  <w:style w:type="character" w:styleId="15">
    <w:name w:val="HTML Code"/>
    <w:unhideWhenUsed/>
    <w:qFormat/>
    <w:uiPriority w:val="99"/>
    <w:rPr>
      <w:rFonts w:ascii="Consolas" w:hAnsi="Consolas" w:eastAsia="Consolas" w:cs="Consolas"/>
      <w:color w:val="C7254E"/>
      <w:sz w:val="21"/>
      <w:szCs w:val="21"/>
      <w:shd w:val="clear" w:color="auto" w:fill="F9F2F4"/>
    </w:rPr>
  </w:style>
  <w:style w:type="character" w:styleId="16">
    <w:name w:val="HTML Keyboard"/>
    <w:unhideWhenUsed/>
    <w:qFormat/>
    <w:uiPriority w:val="99"/>
    <w:rPr>
      <w:rFonts w:hint="default" w:ascii="Consolas" w:hAnsi="Consolas" w:eastAsia="Consolas" w:cs="Consolas"/>
      <w:color w:val="FFFFFF"/>
      <w:sz w:val="21"/>
      <w:szCs w:val="21"/>
      <w:shd w:val="clear" w:color="auto" w:fill="333333"/>
    </w:rPr>
  </w:style>
  <w:style w:type="character" w:styleId="17">
    <w:name w:val="HTML Sample"/>
    <w:unhideWhenUsed/>
    <w:qFormat/>
    <w:uiPriority w:val="99"/>
    <w:rPr>
      <w:rFonts w:hint="default" w:ascii="Consolas" w:hAnsi="Consolas" w:eastAsia="Consolas" w:cs="Consolas"/>
      <w:sz w:val="21"/>
      <w:szCs w:val="21"/>
    </w:rPr>
  </w:style>
  <w:style w:type="character" w:customStyle="1" w:styleId="18">
    <w:name w:val="标题 1 字符"/>
    <w:link w:val="2"/>
    <w:qFormat/>
    <w:uiPriority w:val="9"/>
    <w:rPr>
      <w:rFonts w:ascii="Times New Roman" w:hAnsi="Times New Roman"/>
      <w:b/>
      <w:bCs/>
      <w:kern w:val="44"/>
      <w:sz w:val="44"/>
      <w:szCs w:val="44"/>
    </w:rPr>
  </w:style>
  <w:style w:type="character" w:customStyle="1" w:styleId="19">
    <w:name w:val="批注框文本 字符"/>
    <w:link w:val="4"/>
    <w:semiHidden/>
    <w:qFormat/>
    <w:uiPriority w:val="99"/>
    <w:rPr>
      <w:kern w:val="2"/>
      <w:sz w:val="18"/>
      <w:szCs w:val="18"/>
    </w:rPr>
  </w:style>
  <w:style w:type="paragraph" w:styleId="20">
    <w:name w:val="List Paragraph"/>
    <w:basedOn w:val="1"/>
    <w:qFormat/>
    <w:uiPriority w:val="34"/>
    <w:pPr>
      <w:ind w:firstLine="420" w:firstLineChars="200"/>
    </w:pPr>
  </w:style>
  <w:style w:type="paragraph" w:customStyle="1" w:styleId="21">
    <w:name w:val="_Style 19"/>
    <w:unhideWhenUsed/>
    <w:qFormat/>
    <w:uiPriority w:val="99"/>
    <w:rPr>
      <w:rFonts w:ascii="Times New Roman" w:hAnsi="Times New Roman" w:eastAsia="宋体" w:cs="Times New Roman"/>
      <w:kern w:val="2"/>
      <w:sz w:val="21"/>
      <w:szCs w:val="21"/>
      <w:lang w:val="en-US" w:eastAsia="zh-CN" w:bidi="ar-SA"/>
    </w:rPr>
  </w:style>
  <w:style w:type="character" w:customStyle="1" w:styleId="22">
    <w:name w:val="hover"/>
    <w:qFormat/>
    <w:uiPriority w:val="0"/>
    <w:rPr>
      <w:color w:val="FFFFFF"/>
    </w:rPr>
  </w:style>
  <w:style w:type="character" w:customStyle="1" w:styleId="23">
    <w:name w:val="hover1"/>
    <w:qFormat/>
    <w:uiPriority w:val="0"/>
    <w:rPr>
      <w:color w:val="003780"/>
    </w:rPr>
  </w:style>
  <w:style w:type="character" w:customStyle="1" w:styleId="24">
    <w:name w:val="hover2"/>
    <w:qFormat/>
    <w:uiPriority w:val="0"/>
    <w:rPr>
      <w:color w:val="FFFFFF"/>
    </w:rPr>
  </w:style>
  <w:style w:type="character" w:customStyle="1" w:styleId="25">
    <w:name w:val="hover3"/>
    <w:qFormat/>
    <w:uiPriority w:val="0"/>
    <w:rPr>
      <w:color w:val="003780"/>
    </w:rPr>
  </w:style>
  <w:style w:type="paragraph" w:customStyle="1" w:styleId="26">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2084</Words>
  <Characters>2222</Characters>
  <Lines>44</Lines>
  <Paragraphs>38</Paragraphs>
  <TotalTime>26</TotalTime>
  <ScaleCrop>false</ScaleCrop>
  <LinksUpToDate>false</LinksUpToDate>
  <CharactersWithSpaces>2313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2026-08-28T08:38:00Z</dcterms:created>
  <dc:creator>RDLY</dc:creator>
  <cp:lastModifiedBy>辛希</cp:lastModifiedBy>
  <dcterms:modified xsi:type="dcterms:W3CDTF">2026-08-31T09:38:42Z</dcterms:modified>
  <dc:title>证券代码：002192                            证券简称：路翔股份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3FE6A889C4C84CFABA0167E54097E76E_13</vt:lpwstr>
  </property>
  <property fmtid="{D5CDD505-2E9C-101B-9397-08002B2CF9AE}" pid="4" name="KSOTemplateDocerSaveRecord">
    <vt:lpwstr>eyJoZGlkIjoiNTJjYmY2YWQ4YjFlYzE2YThiZDMzOTVmODY2MjI1M2QiLCJ1c2VySWQiOiI0NjEyNTc1NzUifQ==</vt:lpwstr>
  </property>
</Properties>
</file>