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D26C2" w14:textId="2653ADFA" w:rsidR="00186984" w:rsidRPr="00186984" w:rsidRDefault="00186984" w:rsidP="00186984">
      <w:pPr>
        <w:spacing w:line="360" w:lineRule="auto"/>
        <w:rPr>
          <w:rFonts w:ascii="宋体" w:hAnsi="宋体" w:cs="Times New Roman"/>
          <w:sz w:val="24"/>
          <w:szCs w:val="24"/>
        </w:rPr>
      </w:pPr>
      <w:r w:rsidRPr="00186984">
        <w:rPr>
          <w:rFonts w:ascii="宋体" w:hAnsi="宋体" w:cs="Times New Roman" w:hint="eastAsia"/>
          <w:sz w:val="24"/>
          <w:szCs w:val="24"/>
        </w:rPr>
        <w:t xml:space="preserve">证券代码：688179                      </w:t>
      </w:r>
      <w:r w:rsidR="00057E28">
        <w:rPr>
          <w:rFonts w:ascii="宋体" w:hAnsi="宋体" w:cs="Times New Roman"/>
          <w:sz w:val="24"/>
          <w:szCs w:val="24"/>
        </w:rPr>
        <w:t xml:space="preserve"> </w:t>
      </w:r>
      <w:r w:rsidRPr="00186984">
        <w:rPr>
          <w:rFonts w:ascii="宋体" w:hAnsi="宋体" w:cs="Times New Roman" w:hint="eastAsia"/>
          <w:sz w:val="24"/>
          <w:szCs w:val="24"/>
        </w:rPr>
        <w:t xml:space="preserve">             证券简称：阿拉丁</w:t>
      </w:r>
    </w:p>
    <w:p w14:paraId="7A94F0CB" w14:textId="77777777" w:rsidR="00186984" w:rsidRPr="00186984" w:rsidRDefault="00186984" w:rsidP="00186984">
      <w:pPr>
        <w:spacing w:line="360" w:lineRule="auto"/>
        <w:rPr>
          <w:rFonts w:ascii="宋体" w:hAnsi="宋体" w:cs="Times New Roman"/>
          <w:sz w:val="24"/>
          <w:szCs w:val="24"/>
        </w:rPr>
      </w:pPr>
    </w:p>
    <w:p w14:paraId="3EE69DAC" w14:textId="77777777" w:rsidR="00186984" w:rsidRPr="00186984" w:rsidRDefault="00186984" w:rsidP="00186984">
      <w:pPr>
        <w:adjustRightInd w:val="0"/>
        <w:spacing w:line="360" w:lineRule="auto"/>
        <w:jc w:val="center"/>
        <w:rPr>
          <w:rFonts w:ascii="宋体" w:hAnsi="宋体" w:cs="Times New Roman"/>
          <w:b/>
          <w:color w:val="FF0000"/>
          <w:sz w:val="36"/>
          <w:szCs w:val="36"/>
        </w:rPr>
      </w:pPr>
      <w:r w:rsidRPr="00186984">
        <w:rPr>
          <w:rFonts w:ascii="宋体" w:hAnsi="宋体" w:cs="Times New Roman" w:hint="eastAsia"/>
          <w:b/>
          <w:color w:val="FF0000"/>
          <w:sz w:val="36"/>
          <w:szCs w:val="36"/>
        </w:rPr>
        <w:t>上海阿拉丁生化科技股份有限公司</w:t>
      </w:r>
    </w:p>
    <w:p w14:paraId="303BA820" w14:textId="77777777" w:rsidR="00186984" w:rsidRPr="00186984" w:rsidRDefault="00186984" w:rsidP="00186984">
      <w:pPr>
        <w:spacing w:line="360" w:lineRule="auto"/>
        <w:jc w:val="center"/>
        <w:rPr>
          <w:rFonts w:ascii="宋体" w:hAnsi="宋体" w:cs="Times New Roman"/>
          <w:b/>
          <w:color w:val="FF0000"/>
          <w:sz w:val="36"/>
          <w:szCs w:val="36"/>
        </w:rPr>
      </w:pPr>
      <w:r w:rsidRPr="00186984">
        <w:rPr>
          <w:rFonts w:ascii="宋体" w:hAnsi="宋体" w:cs="Times New Roman" w:hint="eastAsia"/>
          <w:b/>
          <w:color w:val="FF0000"/>
          <w:sz w:val="36"/>
          <w:szCs w:val="36"/>
        </w:rPr>
        <w:t>接待投资者调研活动记录</w:t>
      </w:r>
    </w:p>
    <w:p w14:paraId="7BADA8E4" w14:textId="77777777" w:rsidR="00186984" w:rsidRPr="00186984" w:rsidRDefault="00186984" w:rsidP="00186984">
      <w:pPr>
        <w:spacing w:line="360" w:lineRule="auto"/>
        <w:rPr>
          <w:rFonts w:ascii="宋体" w:hAnsi="宋体" w:cs="Times New Roman"/>
          <w:b/>
          <w:sz w:val="24"/>
          <w:szCs w:val="24"/>
        </w:rPr>
      </w:pPr>
    </w:p>
    <w:p w14:paraId="503527CA" w14:textId="77777777" w:rsidR="00186984" w:rsidRPr="00186984" w:rsidRDefault="00186984" w:rsidP="00186984">
      <w:pPr>
        <w:spacing w:line="360" w:lineRule="auto"/>
        <w:rPr>
          <w:rFonts w:ascii="宋体" w:hAnsi="宋体" w:cs="Times New Roman"/>
          <w:b/>
          <w:sz w:val="24"/>
          <w:szCs w:val="24"/>
        </w:rPr>
      </w:pPr>
      <w:r w:rsidRPr="00186984">
        <w:rPr>
          <w:rFonts w:ascii="宋体" w:hAnsi="宋体" w:cs="Times New Roman"/>
          <w:b/>
          <w:sz w:val="24"/>
          <w:szCs w:val="24"/>
        </w:rPr>
        <w:t>一、机构调研情况</w:t>
      </w:r>
    </w:p>
    <w:p w14:paraId="22445F0E" w14:textId="42EA684A" w:rsidR="00186984" w:rsidRDefault="00186984" w:rsidP="00186984">
      <w:pPr>
        <w:spacing w:line="360" w:lineRule="auto"/>
        <w:rPr>
          <w:rFonts w:ascii="宋体" w:hAnsi="宋体" w:cs="Times New Roman"/>
          <w:sz w:val="24"/>
          <w:szCs w:val="24"/>
        </w:rPr>
      </w:pPr>
      <w:r w:rsidRPr="00186984">
        <w:rPr>
          <w:rFonts w:ascii="宋体" w:hAnsi="宋体" w:cs="Times New Roman"/>
          <w:b/>
          <w:sz w:val="24"/>
          <w:szCs w:val="24"/>
        </w:rPr>
        <w:t>调研时间</w:t>
      </w:r>
      <w:r w:rsidRPr="00186984">
        <w:rPr>
          <w:rFonts w:ascii="宋体" w:hAnsi="宋体" w:cs="Times New Roman"/>
          <w:sz w:val="24"/>
          <w:szCs w:val="24"/>
        </w:rPr>
        <w:t>：</w:t>
      </w:r>
      <w:r w:rsidR="00D35A77" w:rsidRPr="00186984">
        <w:rPr>
          <w:rFonts w:ascii="宋体" w:hAnsi="宋体" w:cs="Times New Roman"/>
          <w:sz w:val="24"/>
          <w:szCs w:val="24"/>
        </w:rPr>
        <w:t>20</w:t>
      </w:r>
      <w:r w:rsidR="00D35A77">
        <w:rPr>
          <w:rFonts w:ascii="宋体" w:hAnsi="宋体" w:cs="Times New Roman"/>
          <w:sz w:val="24"/>
          <w:szCs w:val="24"/>
        </w:rPr>
        <w:t>2</w:t>
      </w:r>
      <w:r w:rsidR="008D10C8">
        <w:rPr>
          <w:rFonts w:ascii="宋体" w:hAnsi="宋体" w:cs="Times New Roman"/>
          <w:sz w:val="24"/>
          <w:szCs w:val="24"/>
        </w:rPr>
        <w:t>6</w:t>
      </w:r>
      <w:r w:rsidR="00D35A77" w:rsidRPr="00186984">
        <w:rPr>
          <w:rFonts w:ascii="宋体" w:hAnsi="宋体" w:cs="Times New Roman"/>
          <w:sz w:val="24"/>
          <w:szCs w:val="24"/>
        </w:rPr>
        <w:t>年</w:t>
      </w:r>
      <w:r w:rsidR="00A4763C">
        <w:rPr>
          <w:rFonts w:ascii="宋体" w:hAnsi="宋体" w:cs="Times New Roman"/>
          <w:sz w:val="24"/>
          <w:szCs w:val="24"/>
        </w:rPr>
        <w:t>8</w:t>
      </w:r>
      <w:r w:rsidR="00EA4537">
        <w:rPr>
          <w:rFonts w:ascii="宋体" w:hAnsi="宋体" w:cs="Times New Roman" w:hint="eastAsia"/>
          <w:sz w:val="24"/>
          <w:szCs w:val="24"/>
        </w:rPr>
        <w:t>月</w:t>
      </w:r>
      <w:r w:rsidR="00CE3A20">
        <w:rPr>
          <w:rFonts w:ascii="宋体" w:hAnsi="宋体" w:cs="Times New Roman"/>
          <w:sz w:val="24"/>
          <w:szCs w:val="24"/>
        </w:rPr>
        <w:t>25</w:t>
      </w:r>
      <w:r w:rsidR="00562C90">
        <w:rPr>
          <w:rFonts w:ascii="宋体" w:hAnsi="宋体" w:cs="Times New Roman" w:hint="eastAsia"/>
          <w:sz w:val="24"/>
          <w:szCs w:val="24"/>
        </w:rPr>
        <w:t>日</w:t>
      </w:r>
      <w:r w:rsidR="0093066F">
        <w:rPr>
          <w:rFonts w:ascii="宋体" w:hAnsi="宋体" w:cs="Times New Roman" w:hint="eastAsia"/>
          <w:sz w:val="24"/>
          <w:szCs w:val="24"/>
        </w:rPr>
        <w:t>-</w:t>
      </w:r>
      <w:r w:rsidR="00CE3A20">
        <w:rPr>
          <w:rFonts w:ascii="宋体" w:hAnsi="宋体" w:cs="Times New Roman" w:hint="eastAsia"/>
          <w:sz w:val="24"/>
          <w:szCs w:val="24"/>
        </w:rPr>
        <w:t>2</w:t>
      </w:r>
      <w:r w:rsidR="00CE3A20">
        <w:rPr>
          <w:rFonts w:ascii="宋体" w:hAnsi="宋体" w:cs="Times New Roman"/>
          <w:sz w:val="24"/>
          <w:szCs w:val="24"/>
        </w:rPr>
        <w:t>026</w:t>
      </w:r>
      <w:r w:rsidR="00CE3A20">
        <w:rPr>
          <w:rFonts w:ascii="宋体" w:hAnsi="宋体" w:cs="Times New Roman" w:hint="eastAsia"/>
          <w:sz w:val="24"/>
          <w:szCs w:val="24"/>
        </w:rPr>
        <w:t>年8月</w:t>
      </w:r>
      <w:r w:rsidR="0093066F">
        <w:rPr>
          <w:rFonts w:ascii="宋体" w:hAnsi="宋体" w:cs="Times New Roman"/>
          <w:sz w:val="24"/>
          <w:szCs w:val="24"/>
        </w:rPr>
        <w:t>31</w:t>
      </w:r>
      <w:r w:rsidR="00CE3A20">
        <w:rPr>
          <w:rFonts w:ascii="宋体" w:hAnsi="宋体" w:cs="Times New Roman" w:hint="eastAsia"/>
          <w:sz w:val="24"/>
          <w:szCs w:val="24"/>
        </w:rPr>
        <w:t>日</w:t>
      </w:r>
    </w:p>
    <w:p w14:paraId="2C3A1C70" w14:textId="28040597" w:rsidR="00A4763C" w:rsidRPr="00A4763C" w:rsidRDefault="00A4763C" w:rsidP="00186984">
      <w:pPr>
        <w:spacing w:line="360" w:lineRule="auto"/>
        <w:rPr>
          <w:rFonts w:ascii="宋体" w:hAnsi="宋体" w:cs="Times New Roman"/>
          <w:b/>
          <w:bCs/>
          <w:sz w:val="24"/>
          <w:szCs w:val="24"/>
        </w:rPr>
      </w:pPr>
      <w:r w:rsidRPr="00A4763C">
        <w:rPr>
          <w:rFonts w:ascii="宋体" w:hAnsi="宋体" w:cs="Times New Roman" w:hint="eastAsia"/>
          <w:b/>
          <w:bCs/>
          <w:sz w:val="24"/>
          <w:szCs w:val="24"/>
        </w:rPr>
        <w:t>调研地点：</w:t>
      </w:r>
      <w:r w:rsidRPr="00A4763C">
        <w:rPr>
          <w:rFonts w:ascii="宋体" w:hAnsi="宋体" w:cs="Times New Roman" w:hint="eastAsia"/>
          <w:sz w:val="24"/>
          <w:szCs w:val="24"/>
        </w:rPr>
        <w:t>公司会议室</w:t>
      </w:r>
    </w:p>
    <w:p w14:paraId="33FF5A6D" w14:textId="30F97FEE" w:rsidR="00186984" w:rsidRDefault="00186984" w:rsidP="00186984">
      <w:pPr>
        <w:spacing w:line="360" w:lineRule="auto"/>
        <w:rPr>
          <w:rFonts w:ascii="宋体" w:hAnsi="宋体" w:cs="Times New Roman"/>
          <w:sz w:val="24"/>
          <w:szCs w:val="24"/>
        </w:rPr>
      </w:pPr>
      <w:r w:rsidRPr="00186984">
        <w:rPr>
          <w:rFonts w:ascii="宋体" w:hAnsi="宋体" w:cs="Times New Roman"/>
          <w:b/>
          <w:sz w:val="24"/>
          <w:szCs w:val="24"/>
        </w:rPr>
        <w:t>调研形式</w:t>
      </w:r>
      <w:r w:rsidRPr="00186984">
        <w:rPr>
          <w:rFonts w:ascii="宋体" w:hAnsi="宋体" w:cs="Times New Roman"/>
          <w:sz w:val="24"/>
          <w:szCs w:val="24"/>
        </w:rPr>
        <w:t>：</w:t>
      </w:r>
      <w:r w:rsidR="00CE3A20">
        <w:rPr>
          <w:rFonts w:ascii="宋体" w:hAnsi="宋体" w:cs="Times New Roman" w:hint="eastAsia"/>
          <w:sz w:val="24"/>
          <w:szCs w:val="24"/>
        </w:rPr>
        <w:t>现场</w:t>
      </w:r>
      <w:r w:rsidR="00A4763C" w:rsidRPr="00A4763C">
        <w:rPr>
          <w:rFonts w:ascii="宋体" w:hAnsi="宋体" w:cs="Times New Roman" w:hint="eastAsia"/>
          <w:sz w:val="24"/>
          <w:szCs w:val="24"/>
        </w:rPr>
        <w:t>交流</w:t>
      </w:r>
    </w:p>
    <w:p w14:paraId="28DBDDD0" w14:textId="3ECF4BD9" w:rsidR="00E111B5" w:rsidRPr="00E111B5" w:rsidRDefault="00186984" w:rsidP="00E111B5">
      <w:pPr>
        <w:spacing w:line="360" w:lineRule="auto"/>
        <w:rPr>
          <w:rFonts w:ascii="宋体" w:hAnsi="宋体" w:cs="宋体"/>
          <w:kern w:val="0"/>
          <w:sz w:val="24"/>
          <w:szCs w:val="24"/>
        </w:rPr>
      </w:pPr>
      <w:r w:rsidRPr="00186984">
        <w:rPr>
          <w:rFonts w:ascii="宋体" w:hAnsi="宋体" w:cs="宋体" w:hint="eastAsia"/>
          <w:b/>
          <w:bCs/>
          <w:kern w:val="0"/>
          <w:sz w:val="24"/>
          <w:szCs w:val="24"/>
        </w:rPr>
        <w:t>参与交流来访的机构投资者：</w:t>
      </w:r>
      <w:r w:rsidR="00CE3A20" w:rsidRPr="00CE3A20">
        <w:rPr>
          <w:rFonts w:ascii="宋体" w:hAnsi="宋体" w:cs="宋体" w:hint="eastAsia"/>
          <w:kern w:val="0"/>
          <w:sz w:val="24"/>
          <w:szCs w:val="24"/>
        </w:rPr>
        <w:t>中信建投</w:t>
      </w:r>
      <w:r w:rsidR="00CE3A20">
        <w:rPr>
          <w:rFonts w:ascii="宋体" w:hAnsi="宋体" w:cs="宋体" w:hint="eastAsia"/>
          <w:kern w:val="0"/>
          <w:sz w:val="24"/>
          <w:szCs w:val="24"/>
        </w:rPr>
        <w:t>、</w:t>
      </w:r>
      <w:r w:rsidR="00CE3A20" w:rsidRPr="00CE3A20">
        <w:rPr>
          <w:rFonts w:ascii="宋体" w:hAnsi="宋体" w:cs="宋体" w:hint="eastAsia"/>
          <w:kern w:val="0"/>
          <w:sz w:val="24"/>
          <w:szCs w:val="24"/>
        </w:rPr>
        <w:t>国泰海通证券</w:t>
      </w:r>
      <w:r w:rsidR="00CE3A20">
        <w:rPr>
          <w:rFonts w:ascii="宋体" w:hAnsi="宋体" w:cs="宋体" w:hint="eastAsia"/>
          <w:kern w:val="0"/>
          <w:sz w:val="24"/>
          <w:szCs w:val="24"/>
        </w:rPr>
        <w:t>、</w:t>
      </w:r>
      <w:r w:rsidR="00CE3A20" w:rsidRPr="00CE3A20">
        <w:rPr>
          <w:rFonts w:ascii="宋体" w:hAnsi="宋体" w:cs="宋体" w:hint="eastAsia"/>
          <w:kern w:val="0"/>
          <w:sz w:val="24"/>
          <w:szCs w:val="24"/>
        </w:rPr>
        <w:t>华创证券</w:t>
      </w:r>
      <w:r w:rsidR="00CE3A20">
        <w:rPr>
          <w:rFonts w:ascii="宋体" w:hAnsi="宋体" w:cs="宋体" w:hint="eastAsia"/>
          <w:kern w:val="0"/>
          <w:sz w:val="24"/>
          <w:szCs w:val="24"/>
        </w:rPr>
        <w:t>、</w:t>
      </w:r>
      <w:r w:rsidR="00CE3A20" w:rsidRPr="00CE3A20">
        <w:rPr>
          <w:rFonts w:ascii="宋体" w:hAnsi="宋体" w:cs="宋体" w:hint="eastAsia"/>
          <w:kern w:val="0"/>
          <w:sz w:val="24"/>
          <w:szCs w:val="24"/>
        </w:rPr>
        <w:t>南京银行</w:t>
      </w:r>
      <w:r w:rsidR="00CE3A20">
        <w:rPr>
          <w:rFonts w:ascii="宋体" w:hAnsi="宋体" w:cs="宋体" w:hint="eastAsia"/>
          <w:kern w:val="0"/>
          <w:sz w:val="24"/>
          <w:szCs w:val="24"/>
        </w:rPr>
        <w:t>、</w:t>
      </w:r>
      <w:r w:rsidR="00CE3A20" w:rsidRPr="00CE3A20">
        <w:rPr>
          <w:rFonts w:ascii="宋体" w:hAnsi="宋体" w:cs="宋体" w:hint="eastAsia"/>
          <w:kern w:val="0"/>
          <w:sz w:val="24"/>
          <w:szCs w:val="24"/>
        </w:rPr>
        <w:t>广发证券、</w:t>
      </w:r>
      <w:proofErr w:type="gramStart"/>
      <w:r w:rsidR="00CE3A20" w:rsidRPr="00CE3A20">
        <w:rPr>
          <w:rFonts w:ascii="宋体" w:hAnsi="宋体" w:cs="宋体" w:hint="eastAsia"/>
          <w:kern w:val="0"/>
          <w:sz w:val="24"/>
          <w:szCs w:val="24"/>
        </w:rPr>
        <w:t>歌汝私募</w:t>
      </w:r>
      <w:proofErr w:type="gramEnd"/>
      <w:r w:rsidR="00CE3A20" w:rsidRPr="00CE3A20">
        <w:rPr>
          <w:rFonts w:ascii="宋体" w:hAnsi="宋体" w:cs="宋体" w:hint="eastAsia"/>
          <w:kern w:val="0"/>
          <w:sz w:val="24"/>
          <w:szCs w:val="24"/>
        </w:rPr>
        <w:t>基金</w:t>
      </w:r>
      <w:r w:rsidR="00CE3A20">
        <w:rPr>
          <w:rFonts w:ascii="宋体" w:hAnsi="宋体" w:cs="宋体" w:hint="eastAsia"/>
          <w:kern w:val="0"/>
          <w:sz w:val="24"/>
          <w:szCs w:val="24"/>
        </w:rPr>
        <w:t>、</w:t>
      </w:r>
      <w:r w:rsidR="00CE3A20" w:rsidRPr="00CE3A20">
        <w:rPr>
          <w:rFonts w:ascii="宋体" w:hAnsi="宋体" w:cs="宋体" w:hint="eastAsia"/>
          <w:kern w:val="0"/>
          <w:sz w:val="24"/>
          <w:szCs w:val="24"/>
        </w:rPr>
        <w:t>国泰基金</w:t>
      </w:r>
      <w:r w:rsidR="00CE3A20">
        <w:rPr>
          <w:rFonts w:ascii="宋体" w:hAnsi="宋体" w:cs="宋体" w:hint="eastAsia"/>
          <w:kern w:val="0"/>
          <w:sz w:val="24"/>
          <w:szCs w:val="24"/>
        </w:rPr>
        <w:t>、</w:t>
      </w:r>
      <w:proofErr w:type="gramStart"/>
      <w:r w:rsidR="00CE3A20" w:rsidRPr="00CE3A20">
        <w:rPr>
          <w:rFonts w:ascii="宋体" w:hAnsi="宋体" w:cs="宋体" w:hint="eastAsia"/>
          <w:kern w:val="0"/>
          <w:sz w:val="24"/>
          <w:szCs w:val="24"/>
        </w:rPr>
        <w:t>上海惠璞投资</w:t>
      </w:r>
      <w:proofErr w:type="gramEnd"/>
      <w:r w:rsidR="00CE3A20">
        <w:rPr>
          <w:rFonts w:ascii="宋体" w:hAnsi="宋体" w:cs="宋体" w:hint="eastAsia"/>
          <w:kern w:val="0"/>
          <w:sz w:val="24"/>
          <w:szCs w:val="24"/>
        </w:rPr>
        <w:t>、</w:t>
      </w:r>
      <w:r w:rsidR="00CE3A20" w:rsidRPr="00CE3A20">
        <w:rPr>
          <w:rFonts w:ascii="宋体" w:hAnsi="宋体" w:cs="宋体" w:hint="eastAsia"/>
          <w:kern w:val="0"/>
          <w:sz w:val="24"/>
          <w:szCs w:val="24"/>
        </w:rPr>
        <w:t>常春藤基金</w:t>
      </w:r>
      <w:r w:rsidR="00CE3A20">
        <w:rPr>
          <w:rFonts w:ascii="宋体" w:hAnsi="宋体" w:cs="宋体" w:hint="eastAsia"/>
          <w:kern w:val="0"/>
          <w:sz w:val="24"/>
          <w:szCs w:val="24"/>
        </w:rPr>
        <w:t>、</w:t>
      </w:r>
      <w:r w:rsidR="00CE3A20" w:rsidRPr="00CE3A20">
        <w:rPr>
          <w:rFonts w:ascii="宋体" w:hAnsi="宋体" w:cs="宋体" w:hint="eastAsia"/>
          <w:kern w:val="0"/>
          <w:sz w:val="24"/>
          <w:szCs w:val="24"/>
        </w:rPr>
        <w:t>金晨碧云投资</w:t>
      </w:r>
      <w:r w:rsidR="00CE3A20">
        <w:rPr>
          <w:rFonts w:ascii="宋体" w:hAnsi="宋体" w:cs="宋体" w:hint="eastAsia"/>
          <w:kern w:val="0"/>
          <w:sz w:val="24"/>
          <w:szCs w:val="24"/>
        </w:rPr>
        <w:t>、</w:t>
      </w:r>
      <w:r w:rsidR="00CE3A20" w:rsidRPr="00CE3A20">
        <w:rPr>
          <w:rFonts w:ascii="宋体" w:hAnsi="宋体" w:cs="宋体" w:hint="eastAsia"/>
          <w:kern w:val="0"/>
          <w:sz w:val="24"/>
          <w:szCs w:val="24"/>
        </w:rPr>
        <w:t>研几资本</w:t>
      </w:r>
      <w:r w:rsidR="00CE3A20">
        <w:rPr>
          <w:rFonts w:ascii="宋体" w:hAnsi="宋体" w:cs="宋体" w:hint="eastAsia"/>
          <w:kern w:val="0"/>
          <w:sz w:val="24"/>
          <w:szCs w:val="24"/>
        </w:rPr>
        <w:t>、</w:t>
      </w:r>
      <w:r w:rsidR="00CE3A20" w:rsidRPr="00CE3A20">
        <w:rPr>
          <w:rFonts w:ascii="宋体" w:hAnsi="宋体" w:cs="宋体" w:hint="eastAsia"/>
          <w:kern w:val="0"/>
          <w:sz w:val="24"/>
          <w:szCs w:val="24"/>
        </w:rPr>
        <w:t>约牛软件</w:t>
      </w:r>
      <w:r w:rsidR="00CE3A20">
        <w:rPr>
          <w:rFonts w:ascii="宋体" w:hAnsi="宋体" w:cs="宋体" w:hint="eastAsia"/>
          <w:kern w:val="0"/>
          <w:sz w:val="24"/>
          <w:szCs w:val="24"/>
        </w:rPr>
        <w:t>、</w:t>
      </w:r>
      <w:proofErr w:type="gramStart"/>
      <w:r w:rsidR="00CE3A20" w:rsidRPr="00CE3A20">
        <w:rPr>
          <w:rFonts w:ascii="宋体" w:hAnsi="宋体" w:cs="宋体" w:hint="eastAsia"/>
          <w:kern w:val="0"/>
          <w:sz w:val="24"/>
          <w:szCs w:val="24"/>
        </w:rPr>
        <w:t>聚纯投资</w:t>
      </w:r>
      <w:proofErr w:type="gramEnd"/>
      <w:r w:rsidR="00CE3A20">
        <w:rPr>
          <w:rFonts w:ascii="宋体" w:hAnsi="宋体" w:cs="宋体" w:hint="eastAsia"/>
          <w:kern w:val="0"/>
          <w:sz w:val="24"/>
          <w:szCs w:val="24"/>
        </w:rPr>
        <w:t>、</w:t>
      </w:r>
      <w:r w:rsidR="00CE3A20" w:rsidRPr="00CE3A20">
        <w:rPr>
          <w:rFonts w:ascii="宋体" w:hAnsi="宋体" w:cs="宋体" w:hint="eastAsia"/>
          <w:kern w:val="0"/>
          <w:sz w:val="24"/>
          <w:szCs w:val="24"/>
        </w:rPr>
        <w:t>恺博私募基金</w:t>
      </w:r>
      <w:r w:rsidR="00CE3A20">
        <w:rPr>
          <w:rFonts w:ascii="宋体" w:hAnsi="宋体" w:cs="宋体" w:hint="eastAsia"/>
          <w:kern w:val="0"/>
          <w:sz w:val="24"/>
          <w:szCs w:val="24"/>
        </w:rPr>
        <w:t>、</w:t>
      </w:r>
      <w:r w:rsidR="00CE3A20" w:rsidRPr="00CE3A20">
        <w:rPr>
          <w:rFonts w:ascii="宋体" w:hAnsi="宋体" w:cs="宋体" w:hint="eastAsia"/>
          <w:kern w:val="0"/>
          <w:sz w:val="24"/>
          <w:szCs w:val="24"/>
        </w:rPr>
        <w:t>凯石资本</w:t>
      </w:r>
      <w:r w:rsidR="00CE3A20">
        <w:rPr>
          <w:rFonts w:ascii="宋体" w:hAnsi="宋体" w:cs="宋体" w:hint="eastAsia"/>
          <w:kern w:val="0"/>
          <w:sz w:val="24"/>
          <w:szCs w:val="24"/>
        </w:rPr>
        <w:t>、</w:t>
      </w:r>
      <w:r w:rsidR="00CE3A20" w:rsidRPr="00CE3A20">
        <w:rPr>
          <w:rFonts w:ascii="宋体" w:hAnsi="宋体" w:cs="宋体" w:hint="eastAsia"/>
          <w:kern w:val="0"/>
          <w:sz w:val="24"/>
          <w:szCs w:val="24"/>
        </w:rPr>
        <w:t>高帆资本</w:t>
      </w:r>
      <w:r w:rsidR="00CE3A20">
        <w:rPr>
          <w:rFonts w:ascii="宋体" w:hAnsi="宋体" w:cs="宋体" w:hint="eastAsia"/>
          <w:kern w:val="0"/>
          <w:sz w:val="24"/>
          <w:szCs w:val="24"/>
        </w:rPr>
        <w:t>、</w:t>
      </w:r>
      <w:r w:rsidR="00CE3A20" w:rsidRPr="00CE3A20">
        <w:rPr>
          <w:rFonts w:ascii="宋体" w:hAnsi="宋体" w:cs="宋体" w:hint="eastAsia"/>
          <w:kern w:val="0"/>
          <w:sz w:val="24"/>
          <w:szCs w:val="24"/>
        </w:rPr>
        <w:t>元一产融</w:t>
      </w:r>
      <w:r w:rsidR="00CE3A20">
        <w:rPr>
          <w:rFonts w:ascii="宋体" w:hAnsi="宋体" w:cs="宋体" w:hint="eastAsia"/>
          <w:kern w:val="0"/>
          <w:sz w:val="24"/>
          <w:szCs w:val="24"/>
        </w:rPr>
        <w:t>、</w:t>
      </w:r>
      <w:r w:rsidR="00CE3A20" w:rsidRPr="00CE3A20">
        <w:rPr>
          <w:rFonts w:ascii="宋体" w:hAnsi="宋体" w:cs="宋体" w:hint="eastAsia"/>
          <w:kern w:val="0"/>
          <w:sz w:val="24"/>
          <w:szCs w:val="24"/>
        </w:rPr>
        <w:t>江正研究所</w:t>
      </w:r>
      <w:r w:rsidR="00CE3A20">
        <w:rPr>
          <w:rFonts w:ascii="宋体" w:hAnsi="宋体" w:cs="宋体" w:hint="eastAsia"/>
          <w:kern w:val="0"/>
          <w:sz w:val="24"/>
          <w:szCs w:val="24"/>
        </w:rPr>
        <w:t>、</w:t>
      </w:r>
      <w:r w:rsidR="0093066F" w:rsidRPr="0093066F">
        <w:rPr>
          <w:rFonts w:ascii="宋体" w:hAnsi="宋体" w:cs="宋体" w:hint="eastAsia"/>
          <w:kern w:val="0"/>
          <w:sz w:val="24"/>
          <w:szCs w:val="24"/>
        </w:rPr>
        <w:t>上市行</w:t>
      </w:r>
      <w:r w:rsidR="0093066F">
        <w:rPr>
          <w:rFonts w:ascii="宋体" w:hAnsi="宋体" w:cs="宋体" w:hint="eastAsia"/>
          <w:kern w:val="0"/>
          <w:sz w:val="24"/>
          <w:szCs w:val="24"/>
        </w:rPr>
        <w:t>、</w:t>
      </w:r>
      <w:r w:rsidR="0093066F" w:rsidRPr="0093066F">
        <w:rPr>
          <w:rFonts w:ascii="宋体" w:hAnsi="宋体" w:cs="宋体" w:hint="eastAsia"/>
          <w:kern w:val="0"/>
          <w:sz w:val="24"/>
          <w:szCs w:val="24"/>
        </w:rPr>
        <w:t>广州国邦资产</w:t>
      </w:r>
      <w:r w:rsidR="0093066F">
        <w:rPr>
          <w:rFonts w:ascii="宋体" w:hAnsi="宋体" w:cs="宋体" w:hint="eastAsia"/>
          <w:kern w:val="0"/>
          <w:sz w:val="24"/>
          <w:szCs w:val="24"/>
        </w:rPr>
        <w:t>、</w:t>
      </w:r>
      <w:proofErr w:type="gramStart"/>
      <w:r w:rsidR="0093066F" w:rsidRPr="0093066F">
        <w:rPr>
          <w:rFonts w:ascii="宋体" w:hAnsi="宋体" w:cs="宋体" w:hint="eastAsia"/>
          <w:kern w:val="0"/>
          <w:sz w:val="24"/>
          <w:szCs w:val="24"/>
        </w:rPr>
        <w:t>北京勤科资本</w:t>
      </w:r>
      <w:proofErr w:type="gramEnd"/>
      <w:r w:rsidR="0093066F">
        <w:rPr>
          <w:rFonts w:ascii="宋体" w:hAnsi="宋体" w:cs="宋体" w:hint="eastAsia"/>
          <w:kern w:val="0"/>
          <w:sz w:val="24"/>
          <w:szCs w:val="24"/>
        </w:rPr>
        <w:t>、</w:t>
      </w:r>
      <w:r w:rsidR="0093066F" w:rsidRPr="0093066F">
        <w:rPr>
          <w:rFonts w:ascii="宋体" w:hAnsi="宋体" w:cs="宋体" w:hint="eastAsia"/>
          <w:kern w:val="0"/>
          <w:sz w:val="24"/>
          <w:szCs w:val="24"/>
        </w:rPr>
        <w:t>上海国有资本运营研究院</w:t>
      </w:r>
      <w:r w:rsidR="0093066F">
        <w:rPr>
          <w:rFonts w:ascii="宋体" w:hAnsi="宋体" w:cs="宋体" w:hint="eastAsia"/>
          <w:kern w:val="0"/>
          <w:sz w:val="24"/>
          <w:szCs w:val="24"/>
        </w:rPr>
        <w:t>、</w:t>
      </w:r>
      <w:r w:rsidR="0093066F" w:rsidRPr="0093066F">
        <w:rPr>
          <w:rFonts w:ascii="宋体" w:hAnsi="宋体" w:cs="宋体" w:hint="eastAsia"/>
          <w:kern w:val="0"/>
          <w:sz w:val="24"/>
          <w:szCs w:val="24"/>
        </w:rPr>
        <w:t>上海昶元投资</w:t>
      </w:r>
      <w:r w:rsidR="0093066F">
        <w:rPr>
          <w:rFonts w:ascii="宋体" w:hAnsi="宋体" w:cs="宋体" w:hint="eastAsia"/>
          <w:kern w:val="0"/>
          <w:sz w:val="24"/>
          <w:szCs w:val="24"/>
        </w:rPr>
        <w:t>、</w:t>
      </w:r>
      <w:r w:rsidR="0093066F" w:rsidRPr="0093066F">
        <w:rPr>
          <w:rFonts w:ascii="宋体" w:hAnsi="宋体" w:cs="宋体" w:hint="eastAsia"/>
          <w:kern w:val="0"/>
          <w:sz w:val="24"/>
          <w:szCs w:val="24"/>
        </w:rPr>
        <w:t>卡比尔基金</w:t>
      </w:r>
      <w:r w:rsidR="0093066F">
        <w:rPr>
          <w:rFonts w:ascii="宋体" w:hAnsi="宋体" w:cs="宋体" w:hint="eastAsia"/>
          <w:kern w:val="0"/>
          <w:sz w:val="24"/>
          <w:szCs w:val="24"/>
        </w:rPr>
        <w:t>、</w:t>
      </w:r>
      <w:r w:rsidR="0093066F" w:rsidRPr="0093066F">
        <w:rPr>
          <w:rFonts w:ascii="宋体" w:hAnsi="宋体" w:cs="宋体" w:hint="eastAsia"/>
          <w:kern w:val="0"/>
          <w:sz w:val="24"/>
          <w:szCs w:val="24"/>
        </w:rPr>
        <w:t>望道中观私募基金</w:t>
      </w:r>
      <w:r w:rsidR="0093066F">
        <w:rPr>
          <w:rFonts w:ascii="宋体" w:hAnsi="宋体" w:cs="宋体" w:hint="eastAsia"/>
          <w:kern w:val="0"/>
          <w:sz w:val="24"/>
          <w:szCs w:val="24"/>
        </w:rPr>
        <w:t>、</w:t>
      </w:r>
      <w:r w:rsidR="0093066F" w:rsidRPr="0093066F">
        <w:rPr>
          <w:rFonts w:ascii="宋体" w:hAnsi="宋体" w:cs="宋体" w:hint="eastAsia"/>
          <w:kern w:val="0"/>
          <w:sz w:val="24"/>
          <w:szCs w:val="24"/>
        </w:rPr>
        <w:t>优势资本</w:t>
      </w:r>
      <w:r w:rsidR="0093066F">
        <w:rPr>
          <w:rFonts w:ascii="宋体" w:hAnsi="宋体" w:cs="宋体" w:hint="eastAsia"/>
          <w:kern w:val="0"/>
          <w:sz w:val="24"/>
          <w:szCs w:val="24"/>
        </w:rPr>
        <w:t>、</w:t>
      </w:r>
      <w:proofErr w:type="gramStart"/>
      <w:r w:rsidR="0093066F" w:rsidRPr="0093066F">
        <w:rPr>
          <w:rFonts w:ascii="宋体" w:hAnsi="宋体" w:cs="宋体" w:hint="eastAsia"/>
          <w:kern w:val="0"/>
          <w:sz w:val="24"/>
          <w:szCs w:val="24"/>
        </w:rPr>
        <w:t>上海恒穗资产</w:t>
      </w:r>
      <w:proofErr w:type="gramEnd"/>
      <w:r w:rsidR="0093066F">
        <w:rPr>
          <w:rFonts w:ascii="宋体" w:hAnsi="宋体" w:cs="宋体" w:hint="eastAsia"/>
          <w:kern w:val="0"/>
          <w:sz w:val="24"/>
          <w:szCs w:val="24"/>
        </w:rPr>
        <w:t>、</w:t>
      </w:r>
      <w:r w:rsidR="00CE3A20" w:rsidRPr="00CE3A20">
        <w:rPr>
          <w:rFonts w:ascii="宋体" w:hAnsi="宋体" w:cs="宋体"/>
          <w:kern w:val="0"/>
          <w:sz w:val="24"/>
          <w:szCs w:val="24"/>
        </w:rPr>
        <w:t>White Oak Capital</w:t>
      </w:r>
    </w:p>
    <w:p w14:paraId="7EEDFA6E" w14:textId="1D486D73" w:rsidR="00663158" w:rsidRPr="00663158" w:rsidRDefault="00186984" w:rsidP="00663158">
      <w:pPr>
        <w:spacing w:line="360" w:lineRule="auto"/>
        <w:rPr>
          <w:rFonts w:ascii="宋体" w:hAnsi="宋体" w:cs="Times New Roman"/>
          <w:sz w:val="24"/>
          <w:szCs w:val="24"/>
        </w:rPr>
      </w:pPr>
      <w:r w:rsidRPr="00186984">
        <w:rPr>
          <w:rFonts w:ascii="宋体" w:hAnsi="宋体" w:cs="宋体" w:hint="eastAsia"/>
          <w:b/>
          <w:bCs/>
          <w:kern w:val="0"/>
          <w:sz w:val="24"/>
          <w:szCs w:val="24"/>
        </w:rPr>
        <w:t>接待人员：</w:t>
      </w:r>
      <w:r w:rsidR="00A47AEF" w:rsidRPr="00C80199">
        <w:rPr>
          <w:rFonts w:ascii="宋体" w:hAnsi="宋体" w:cs="宋体" w:hint="eastAsia"/>
          <w:kern w:val="0"/>
          <w:sz w:val="24"/>
          <w:szCs w:val="24"/>
        </w:rPr>
        <w:t>董事会秘书滕晶</w:t>
      </w:r>
      <w:r w:rsidR="00685EEC">
        <w:rPr>
          <w:rFonts w:ascii="宋体" w:hAnsi="宋体" w:cs="宋体" w:hint="eastAsia"/>
          <w:kern w:val="0"/>
          <w:sz w:val="24"/>
          <w:szCs w:val="24"/>
        </w:rPr>
        <w:t>、</w:t>
      </w:r>
      <w:proofErr w:type="gramStart"/>
      <w:r w:rsidR="00685EEC">
        <w:rPr>
          <w:rFonts w:ascii="宋体" w:hAnsi="宋体" w:cs="宋体" w:hint="eastAsia"/>
          <w:kern w:val="0"/>
          <w:sz w:val="24"/>
          <w:szCs w:val="24"/>
        </w:rPr>
        <w:t>投委会</w:t>
      </w:r>
      <w:proofErr w:type="gramEnd"/>
      <w:r w:rsidR="00685EEC">
        <w:rPr>
          <w:rFonts w:ascii="宋体" w:hAnsi="宋体" w:cs="宋体" w:hint="eastAsia"/>
          <w:kern w:val="0"/>
          <w:sz w:val="24"/>
          <w:szCs w:val="24"/>
        </w:rPr>
        <w:t>副主席赵新安</w:t>
      </w:r>
    </w:p>
    <w:p w14:paraId="7CF7BAB4" w14:textId="7AB131EB" w:rsidR="00186984" w:rsidRPr="00BB1FC1" w:rsidRDefault="00186984" w:rsidP="00186984">
      <w:pPr>
        <w:widowControl/>
        <w:spacing w:line="480" w:lineRule="auto"/>
        <w:rPr>
          <w:rFonts w:ascii="宋体" w:hAnsi="宋体" w:cs="宋体"/>
          <w:b/>
          <w:bCs/>
          <w:kern w:val="0"/>
          <w:sz w:val="24"/>
          <w:szCs w:val="24"/>
        </w:rPr>
      </w:pPr>
      <w:r w:rsidRPr="00186984">
        <w:rPr>
          <w:rFonts w:ascii="宋体" w:hAnsi="宋体" w:cs="宋体" w:hint="eastAsia"/>
          <w:b/>
          <w:bCs/>
          <w:kern w:val="0"/>
          <w:sz w:val="24"/>
          <w:szCs w:val="24"/>
        </w:rPr>
        <w:t>二、调研纪要</w:t>
      </w:r>
    </w:p>
    <w:p w14:paraId="21BE9D8E" w14:textId="4667057A" w:rsidR="00D574A9" w:rsidRPr="008C408B" w:rsidRDefault="00D574A9" w:rsidP="00D574A9">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00030194" w:rsidRPr="00030194">
        <w:rPr>
          <w:rFonts w:ascii="宋体" w:hAnsi="宋体" w:cs="宋体" w:hint="eastAsia"/>
          <w:b/>
          <w:bCs/>
          <w:kern w:val="0"/>
          <w:sz w:val="24"/>
          <w:szCs w:val="24"/>
        </w:rPr>
        <w:t>请介绍一下公司上半年业绩情况</w:t>
      </w:r>
      <w:r w:rsidRPr="00A31F39">
        <w:rPr>
          <w:rFonts w:ascii="宋体" w:hAnsi="宋体" w:cs="宋体" w:hint="eastAsia"/>
          <w:b/>
          <w:bCs/>
          <w:kern w:val="0"/>
          <w:sz w:val="24"/>
          <w:szCs w:val="24"/>
        </w:rPr>
        <w:t>？</w:t>
      </w:r>
    </w:p>
    <w:p w14:paraId="28AF1838" w14:textId="2E29A886" w:rsidR="00D574A9" w:rsidRDefault="00D574A9" w:rsidP="00A47AEF">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00030194" w:rsidRPr="00030194">
        <w:rPr>
          <w:rFonts w:ascii="宋体" w:hAnsi="宋体" w:cs="Times New Roman" w:hint="eastAsia"/>
          <w:kern w:val="0"/>
          <w:sz w:val="24"/>
          <w:szCs w:val="24"/>
        </w:rPr>
        <w:t>公司2026年上半年实现营业收入37,113.81万元，同比增长34.80%；公司科研试剂与实验耗材业务实现营业收入3.14亿元，同比增长13.95%。2026年上半年，下游行业需求持续回暖，市场需求提升，行业景气度上行，带动公司主要产品订单规模增长；同时，</w:t>
      </w:r>
      <w:proofErr w:type="gramStart"/>
      <w:r w:rsidR="00030194" w:rsidRPr="00030194">
        <w:rPr>
          <w:rFonts w:ascii="宋体" w:hAnsi="宋体" w:cs="Times New Roman" w:hint="eastAsia"/>
          <w:kern w:val="0"/>
          <w:sz w:val="24"/>
          <w:szCs w:val="24"/>
        </w:rPr>
        <w:t>源叶生物</w:t>
      </w:r>
      <w:proofErr w:type="gramEnd"/>
      <w:r w:rsidR="00030194" w:rsidRPr="00030194">
        <w:rPr>
          <w:rFonts w:ascii="宋体" w:hAnsi="宋体" w:cs="Times New Roman" w:hint="eastAsia"/>
          <w:kern w:val="0"/>
          <w:sz w:val="24"/>
          <w:szCs w:val="24"/>
        </w:rPr>
        <w:t>并表已满两年，在生化试剂、小分子抑制剂和标准品等领域的补强效应充分显现，与公司原有产品体系形成持续协同；此外，喀斯</w:t>
      </w:r>
      <w:proofErr w:type="gramStart"/>
      <w:r w:rsidR="00030194" w:rsidRPr="00030194">
        <w:rPr>
          <w:rFonts w:ascii="宋体" w:hAnsi="宋体" w:cs="Times New Roman" w:hint="eastAsia"/>
          <w:kern w:val="0"/>
          <w:sz w:val="24"/>
          <w:szCs w:val="24"/>
        </w:rPr>
        <w:t>玛</w:t>
      </w:r>
      <w:proofErr w:type="gramEnd"/>
      <w:r w:rsidR="00030194" w:rsidRPr="00030194">
        <w:rPr>
          <w:rFonts w:ascii="宋体" w:hAnsi="宋体" w:cs="Times New Roman" w:hint="eastAsia"/>
          <w:kern w:val="0"/>
          <w:sz w:val="24"/>
          <w:szCs w:val="24"/>
        </w:rPr>
        <w:t>控股及其下属公司自2025年9月并表后，2026年上半年贡献收入5,350.29万元</w:t>
      </w:r>
      <w:r w:rsidR="00850823">
        <w:rPr>
          <w:rFonts w:ascii="宋体" w:hAnsi="宋体" w:cs="Times New Roman" w:hint="eastAsia"/>
          <w:kern w:val="0"/>
          <w:sz w:val="24"/>
          <w:szCs w:val="24"/>
        </w:rPr>
        <w:t>。</w:t>
      </w:r>
    </w:p>
    <w:p w14:paraId="5D3F02A2" w14:textId="02D5C309" w:rsidR="007F7246" w:rsidRPr="008C408B" w:rsidRDefault="007F7246" w:rsidP="007F7246">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00030194" w:rsidRPr="00030194">
        <w:rPr>
          <w:rFonts w:ascii="宋体" w:hAnsi="宋体" w:cs="宋体" w:hint="eastAsia"/>
          <w:b/>
          <w:bCs/>
          <w:kern w:val="0"/>
          <w:sz w:val="24"/>
          <w:szCs w:val="24"/>
        </w:rPr>
        <w:t>喀斯</w:t>
      </w:r>
      <w:proofErr w:type="gramStart"/>
      <w:r w:rsidR="00030194" w:rsidRPr="00030194">
        <w:rPr>
          <w:rFonts w:ascii="宋体" w:hAnsi="宋体" w:cs="宋体" w:hint="eastAsia"/>
          <w:b/>
          <w:bCs/>
          <w:kern w:val="0"/>
          <w:sz w:val="24"/>
          <w:szCs w:val="24"/>
        </w:rPr>
        <w:t>玛</w:t>
      </w:r>
      <w:proofErr w:type="gramEnd"/>
      <w:r w:rsidR="00030194" w:rsidRPr="00030194">
        <w:rPr>
          <w:rFonts w:ascii="宋体" w:hAnsi="宋体" w:cs="宋体" w:hint="eastAsia"/>
          <w:b/>
          <w:bCs/>
          <w:kern w:val="0"/>
          <w:sz w:val="24"/>
          <w:szCs w:val="24"/>
        </w:rPr>
        <w:t>的业务情况和协同发展如何</w:t>
      </w:r>
      <w:r w:rsidRPr="00A31F39">
        <w:rPr>
          <w:rFonts w:ascii="宋体" w:hAnsi="宋体" w:cs="宋体" w:hint="eastAsia"/>
          <w:b/>
          <w:bCs/>
          <w:kern w:val="0"/>
          <w:sz w:val="24"/>
          <w:szCs w:val="24"/>
        </w:rPr>
        <w:t>？</w:t>
      </w:r>
    </w:p>
    <w:p w14:paraId="5E06CE00" w14:textId="77777777" w:rsidR="00030194" w:rsidRPr="00030194" w:rsidRDefault="007F7246" w:rsidP="00030194">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lastRenderedPageBreak/>
        <w:t>A：</w:t>
      </w:r>
      <w:r w:rsidR="00030194" w:rsidRPr="00030194">
        <w:rPr>
          <w:rFonts w:ascii="宋体" w:hAnsi="宋体" w:cs="Times New Roman" w:hint="eastAsia"/>
          <w:kern w:val="0"/>
          <w:sz w:val="24"/>
          <w:szCs w:val="24"/>
        </w:rPr>
        <w:t>喀斯</w:t>
      </w:r>
      <w:proofErr w:type="gramStart"/>
      <w:r w:rsidR="00030194" w:rsidRPr="00030194">
        <w:rPr>
          <w:rFonts w:ascii="宋体" w:hAnsi="宋体" w:cs="Times New Roman" w:hint="eastAsia"/>
          <w:kern w:val="0"/>
          <w:sz w:val="24"/>
          <w:szCs w:val="24"/>
        </w:rPr>
        <w:t>玛</w:t>
      </w:r>
      <w:proofErr w:type="gramEnd"/>
      <w:r w:rsidR="00030194" w:rsidRPr="00030194">
        <w:rPr>
          <w:rFonts w:ascii="宋体" w:hAnsi="宋体" w:cs="Times New Roman" w:hint="eastAsia"/>
          <w:kern w:val="0"/>
          <w:sz w:val="24"/>
          <w:szCs w:val="24"/>
        </w:rPr>
        <w:t>服务范围覆盖高等院校、科研院所及企业研发机构等多元终端。值得关注的是，喀斯</w:t>
      </w:r>
      <w:proofErr w:type="gramStart"/>
      <w:r w:rsidR="00030194" w:rsidRPr="00030194">
        <w:rPr>
          <w:rFonts w:ascii="宋体" w:hAnsi="宋体" w:cs="Times New Roman" w:hint="eastAsia"/>
          <w:kern w:val="0"/>
          <w:sz w:val="24"/>
          <w:szCs w:val="24"/>
        </w:rPr>
        <w:t>玛</w:t>
      </w:r>
      <w:proofErr w:type="gramEnd"/>
      <w:r w:rsidR="00030194" w:rsidRPr="00030194">
        <w:rPr>
          <w:rFonts w:ascii="宋体" w:hAnsi="宋体" w:cs="Times New Roman" w:hint="eastAsia"/>
          <w:kern w:val="0"/>
          <w:sz w:val="24"/>
          <w:szCs w:val="24"/>
        </w:rPr>
        <w:t>保持第三方平台独立运营的原则继续得到市场认可，其围绕公开、公平、公正原则构建采购交易与管理体系，平台交易活跃度稳步提升。</w:t>
      </w:r>
    </w:p>
    <w:p w14:paraId="1A672846" w14:textId="4619BAEE" w:rsidR="007F7246" w:rsidRPr="00C3491C" w:rsidRDefault="00030194" w:rsidP="004224F5">
      <w:pPr>
        <w:widowControl/>
        <w:spacing w:line="360" w:lineRule="auto"/>
        <w:ind w:firstLine="420"/>
        <w:rPr>
          <w:rFonts w:ascii="宋体" w:eastAsia="宋体" w:hAnsi="宋体" w:cs="Segoe UI"/>
          <w:color w:val="0F1115"/>
          <w:kern w:val="0"/>
          <w:sz w:val="24"/>
          <w:szCs w:val="24"/>
        </w:rPr>
      </w:pPr>
      <w:r w:rsidRPr="00030194">
        <w:rPr>
          <w:rFonts w:ascii="宋体" w:hAnsi="宋体" w:cs="Times New Roman" w:hint="eastAsia"/>
          <w:kern w:val="0"/>
          <w:sz w:val="24"/>
          <w:szCs w:val="24"/>
        </w:rPr>
        <w:t>喀斯</w:t>
      </w:r>
      <w:proofErr w:type="gramStart"/>
      <w:r w:rsidRPr="00030194">
        <w:rPr>
          <w:rFonts w:ascii="宋体" w:hAnsi="宋体" w:cs="Times New Roman" w:hint="eastAsia"/>
          <w:kern w:val="0"/>
          <w:sz w:val="24"/>
          <w:szCs w:val="24"/>
        </w:rPr>
        <w:t>玛</w:t>
      </w:r>
      <w:proofErr w:type="gramEnd"/>
      <w:r w:rsidRPr="00030194">
        <w:rPr>
          <w:rFonts w:ascii="宋体" w:hAnsi="宋体" w:cs="Times New Roman" w:hint="eastAsia"/>
          <w:kern w:val="0"/>
          <w:sz w:val="24"/>
          <w:szCs w:val="24"/>
        </w:rPr>
        <w:t>自去年起纳入公司合并范围，双方</w:t>
      </w:r>
      <w:proofErr w:type="gramStart"/>
      <w:r w:rsidRPr="00030194">
        <w:rPr>
          <w:rFonts w:ascii="宋体" w:hAnsi="宋体" w:cs="Times New Roman" w:hint="eastAsia"/>
          <w:kern w:val="0"/>
          <w:sz w:val="24"/>
          <w:szCs w:val="24"/>
        </w:rPr>
        <w:t>协同仍</w:t>
      </w:r>
      <w:proofErr w:type="gramEnd"/>
      <w:r w:rsidRPr="00030194">
        <w:rPr>
          <w:rFonts w:ascii="宋体" w:hAnsi="宋体" w:cs="Times New Roman" w:hint="eastAsia"/>
          <w:kern w:val="0"/>
          <w:sz w:val="24"/>
          <w:szCs w:val="24"/>
        </w:rPr>
        <w:t>处于持续推进和逐步深化阶段。公司自建电商平台聚焦于公司自有品牌试剂的线上直销，强化品牌影响力；喀斯</w:t>
      </w:r>
      <w:proofErr w:type="gramStart"/>
      <w:r w:rsidRPr="00030194">
        <w:rPr>
          <w:rFonts w:ascii="宋体" w:hAnsi="宋体" w:cs="Times New Roman" w:hint="eastAsia"/>
          <w:kern w:val="0"/>
          <w:sz w:val="24"/>
          <w:szCs w:val="24"/>
        </w:rPr>
        <w:t>玛</w:t>
      </w:r>
      <w:proofErr w:type="gramEnd"/>
      <w:r w:rsidRPr="00030194">
        <w:rPr>
          <w:rFonts w:ascii="宋体" w:hAnsi="宋体" w:cs="Times New Roman" w:hint="eastAsia"/>
          <w:kern w:val="0"/>
          <w:sz w:val="24"/>
          <w:szCs w:val="24"/>
        </w:rPr>
        <w:t>系则聚焦于全品类、全行业科研物资的阳光化、规范化采购</w:t>
      </w:r>
      <w:r w:rsidR="00C3491C">
        <w:rPr>
          <w:rFonts w:ascii="宋体" w:hAnsi="宋体" w:cs="Times New Roman" w:hint="eastAsia"/>
          <w:kern w:val="0"/>
          <w:sz w:val="24"/>
          <w:szCs w:val="24"/>
        </w:rPr>
        <w:t>。</w:t>
      </w:r>
    </w:p>
    <w:p w14:paraId="33064144" w14:textId="6EB48068" w:rsidR="008B0A3C" w:rsidRPr="008C408B" w:rsidRDefault="008B0A3C" w:rsidP="008B0A3C">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00030194" w:rsidRPr="00030194">
        <w:rPr>
          <w:rFonts w:ascii="宋体" w:hAnsi="宋体" w:cs="宋体" w:hint="eastAsia"/>
          <w:b/>
          <w:bCs/>
          <w:kern w:val="0"/>
          <w:sz w:val="24"/>
          <w:szCs w:val="24"/>
        </w:rPr>
        <w:t>后续公司外延并购规划是怎样的</w:t>
      </w:r>
      <w:r w:rsidRPr="00A31F39">
        <w:rPr>
          <w:rFonts w:ascii="宋体" w:hAnsi="宋体" w:cs="宋体" w:hint="eastAsia"/>
          <w:b/>
          <w:bCs/>
          <w:kern w:val="0"/>
          <w:sz w:val="24"/>
          <w:szCs w:val="24"/>
        </w:rPr>
        <w:t>？</w:t>
      </w:r>
    </w:p>
    <w:p w14:paraId="344D7B8B" w14:textId="77777777" w:rsidR="00030194" w:rsidRPr="00030194" w:rsidRDefault="008B0A3C" w:rsidP="00030194">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00030194" w:rsidRPr="00030194">
        <w:rPr>
          <w:rFonts w:ascii="宋体" w:hAnsi="宋体" w:cs="Times New Roman" w:hint="eastAsia"/>
          <w:kern w:val="0"/>
          <w:sz w:val="24"/>
          <w:szCs w:val="24"/>
        </w:rPr>
        <w:t>公司长期坚持“内生研发+外延整合”双轮驱动的发展战略。</w:t>
      </w:r>
      <w:proofErr w:type="gramStart"/>
      <w:r w:rsidR="00030194" w:rsidRPr="00030194">
        <w:rPr>
          <w:rFonts w:ascii="宋体" w:hAnsi="宋体" w:cs="Times New Roman" w:hint="eastAsia"/>
          <w:kern w:val="0"/>
          <w:sz w:val="24"/>
          <w:szCs w:val="24"/>
        </w:rPr>
        <w:t>源叶生物</w:t>
      </w:r>
      <w:proofErr w:type="gramEnd"/>
      <w:r w:rsidR="00030194" w:rsidRPr="00030194">
        <w:rPr>
          <w:rFonts w:ascii="宋体" w:hAnsi="宋体" w:cs="Times New Roman" w:hint="eastAsia"/>
          <w:kern w:val="0"/>
          <w:sz w:val="24"/>
          <w:szCs w:val="24"/>
        </w:rPr>
        <w:t>的并入有效补充丰富了公司生化试剂产品线，丰富了自主品牌的产品矩阵；喀斯</w:t>
      </w:r>
      <w:proofErr w:type="gramStart"/>
      <w:r w:rsidR="00030194" w:rsidRPr="00030194">
        <w:rPr>
          <w:rFonts w:ascii="宋体" w:hAnsi="宋体" w:cs="Times New Roman" w:hint="eastAsia"/>
          <w:kern w:val="0"/>
          <w:sz w:val="24"/>
          <w:szCs w:val="24"/>
        </w:rPr>
        <w:t>玛</w:t>
      </w:r>
      <w:proofErr w:type="gramEnd"/>
      <w:r w:rsidR="00030194" w:rsidRPr="00030194">
        <w:rPr>
          <w:rFonts w:ascii="宋体" w:hAnsi="宋体" w:cs="Times New Roman" w:hint="eastAsia"/>
          <w:kern w:val="0"/>
          <w:sz w:val="24"/>
          <w:szCs w:val="24"/>
        </w:rPr>
        <w:t>商城作为国内领先的</w:t>
      </w:r>
      <w:proofErr w:type="gramStart"/>
      <w:r w:rsidR="00030194" w:rsidRPr="00030194">
        <w:rPr>
          <w:rFonts w:ascii="宋体" w:hAnsi="宋体" w:cs="Times New Roman" w:hint="eastAsia"/>
          <w:kern w:val="0"/>
          <w:sz w:val="24"/>
          <w:szCs w:val="24"/>
        </w:rPr>
        <w:t>科研电商综合</w:t>
      </w:r>
      <w:proofErr w:type="gramEnd"/>
      <w:r w:rsidR="00030194" w:rsidRPr="00030194">
        <w:rPr>
          <w:rFonts w:ascii="宋体" w:hAnsi="宋体" w:cs="Times New Roman" w:hint="eastAsia"/>
          <w:kern w:val="0"/>
          <w:sz w:val="24"/>
          <w:szCs w:val="24"/>
        </w:rPr>
        <w:t>服务平台，保持独立运营并持续为全行业提供公正、透明的采购服务；</w:t>
      </w:r>
      <w:proofErr w:type="gramStart"/>
      <w:r w:rsidR="00030194" w:rsidRPr="00030194">
        <w:rPr>
          <w:rFonts w:ascii="宋体" w:hAnsi="宋体" w:cs="Times New Roman" w:hint="eastAsia"/>
          <w:kern w:val="0"/>
          <w:sz w:val="24"/>
          <w:szCs w:val="24"/>
        </w:rPr>
        <w:t>参股雅酶生物与佑科仪器</w:t>
      </w:r>
      <w:proofErr w:type="gramEnd"/>
      <w:r w:rsidR="00030194" w:rsidRPr="00030194">
        <w:rPr>
          <w:rFonts w:ascii="宋体" w:hAnsi="宋体" w:cs="Times New Roman" w:hint="eastAsia"/>
          <w:kern w:val="0"/>
          <w:sz w:val="24"/>
          <w:szCs w:val="24"/>
        </w:rPr>
        <w:t>，则布局了蛋白免疫印迹方向与实验室分析仪器等细分领域，为公司未来品类延伸和业务协同奠定了基础。上述战略布局推动公司逐步成为覆盖全品类科学试剂及实验室仪器、耗材的一站</w:t>
      </w:r>
      <w:proofErr w:type="gramStart"/>
      <w:r w:rsidR="00030194" w:rsidRPr="00030194">
        <w:rPr>
          <w:rFonts w:ascii="宋体" w:hAnsi="宋体" w:cs="Times New Roman" w:hint="eastAsia"/>
          <w:kern w:val="0"/>
          <w:sz w:val="24"/>
          <w:szCs w:val="24"/>
        </w:rPr>
        <w:t>式科研</w:t>
      </w:r>
      <w:proofErr w:type="gramEnd"/>
      <w:r w:rsidR="00030194" w:rsidRPr="00030194">
        <w:rPr>
          <w:rFonts w:ascii="宋体" w:hAnsi="宋体" w:cs="Times New Roman" w:hint="eastAsia"/>
          <w:kern w:val="0"/>
          <w:sz w:val="24"/>
          <w:szCs w:val="24"/>
        </w:rPr>
        <w:t>服务综合平台，公司的品类广度、渠道深度与行业综合竞争力均迈上了新台阶。</w:t>
      </w:r>
    </w:p>
    <w:p w14:paraId="7506B655" w14:textId="1B895445" w:rsidR="008B0A3C" w:rsidRDefault="00030194" w:rsidP="00030194">
      <w:pPr>
        <w:widowControl/>
        <w:spacing w:line="360" w:lineRule="auto"/>
        <w:ind w:firstLine="420"/>
        <w:rPr>
          <w:rFonts w:ascii="宋体" w:hAnsi="宋体" w:cs="Times New Roman"/>
          <w:kern w:val="0"/>
          <w:sz w:val="24"/>
          <w:szCs w:val="24"/>
        </w:rPr>
      </w:pPr>
      <w:r w:rsidRPr="00030194">
        <w:rPr>
          <w:rFonts w:ascii="宋体" w:hAnsi="宋体" w:cs="Times New Roman" w:hint="eastAsia"/>
          <w:kern w:val="0"/>
          <w:sz w:val="24"/>
          <w:szCs w:val="24"/>
        </w:rPr>
        <w:t>公司持续推进对既有标的</w:t>
      </w:r>
      <w:proofErr w:type="gramStart"/>
      <w:r w:rsidRPr="00030194">
        <w:rPr>
          <w:rFonts w:ascii="宋体" w:hAnsi="宋体" w:cs="Times New Roman" w:hint="eastAsia"/>
          <w:kern w:val="0"/>
          <w:sz w:val="24"/>
          <w:szCs w:val="24"/>
        </w:rPr>
        <w:t>的</w:t>
      </w:r>
      <w:proofErr w:type="gramEnd"/>
      <w:r w:rsidRPr="00030194">
        <w:rPr>
          <w:rFonts w:ascii="宋体" w:hAnsi="宋体" w:cs="Times New Roman" w:hint="eastAsia"/>
          <w:kern w:val="0"/>
          <w:sz w:val="24"/>
          <w:szCs w:val="24"/>
        </w:rPr>
        <w:t>整合与赋能，围绕控股及参股公司进一步强化投后管理，持续完善治理机制、经营协同和资源整合，推动各标的在战略执行、业务拓展、运营提效等方面稳步提升。依托前期并购形成的产业布局，公司不断深化内</w:t>
      </w:r>
      <w:proofErr w:type="gramStart"/>
      <w:r w:rsidRPr="00030194">
        <w:rPr>
          <w:rFonts w:ascii="宋体" w:hAnsi="宋体" w:cs="Times New Roman" w:hint="eastAsia"/>
          <w:kern w:val="0"/>
          <w:sz w:val="24"/>
          <w:szCs w:val="24"/>
        </w:rPr>
        <w:t>生增长</w:t>
      </w:r>
      <w:proofErr w:type="gramEnd"/>
      <w:r w:rsidRPr="00030194">
        <w:rPr>
          <w:rFonts w:ascii="宋体" w:hAnsi="宋体" w:cs="Times New Roman" w:hint="eastAsia"/>
          <w:kern w:val="0"/>
          <w:sz w:val="24"/>
          <w:szCs w:val="24"/>
        </w:rPr>
        <w:t>与外延拓展的协同效应，一方面挖掘现有业务潜力，提升经营质量和发展韧性；另一方面结合行业趋势和战略方向，持续关注并审慎筛选与公司主业具有协同价值的新标的，积极开展调研、论证和储备，为公司未来持续增长奠定基础</w:t>
      </w:r>
      <w:r w:rsidR="008B0A3C" w:rsidRPr="00574DF6">
        <w:rPr>
          <w:rFonts w:ascii="宋体" w:hAnsi="宋体" w:cs="Times New Roman" w:hint="eastAsia"/>
          <w:kern w:val="0"/>
          <w:sz w:val="24"/>
          <w:szCs w:val="24"/>
        </w:rPr>
        <w:t>。</w:t>
      </w:r>
    </w:p>
    <w:p w14:paraId="149C6783" w14:textId="184E580F" w:rsidR="00A4763C" w:rsidRPr="008C408B" w:rsidRDefault="00A4763C" w:rsidP="00A4763C">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00030194" w:rsidRPr="00030194">
        <w:rPr>
          <w:rFonts w:ascii="宋体" w:hAnsi="宋体" w:cs="宋体" w:hint="eastAsia"/>
          <w:b/>
          <w:bCs/>
          <w:kern w:val="0"/>
          <w:sz w:val="24"/>
          <w:szCs w:val="24"/>
        </w:rPr>
        <w:t>海外市场可以怎样展望</w:t>
      </w:r>
      <w:r w:rsidRPr="00A31F39">
        <w:rPr>
          <w:rFonts w:ascii="宋体" w:hAnsi="宋体" w:cs="宋体" w:hint="eastAsia"/>
          <w:b/>
          <w:bCs/>
          <w:kern w:val="0"/>
          <w:sz w:val="24"/>
          <w:szCs w:val="24"/>
        </w:rPr>
        <w:t>？</w:t>
      </w:r>
    </w:p>
    <w:p w14:paraId="4F3BD379" w14:textId="31668333" w:rsidR="00A4763C" w:rsidRDefault="00A4763C" w:rsidP="00CE3A20">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00030194" w:rsidRPr="00030194">
        <w:rPr>
          <w:rFonts w:ascii="宋体" w:hAnsi="宋体" w:cs="Times New Roman" w:hint="eastAsia"/>
          <w:kern w:val="0"/>
          <w:sz w:val="24"/>
          <w:szCs w:val="24"/>
        </w:rPr>
        <w:t>在业务布局方面，公司加快海外市场拓展的步伐，推进阿拉丁美国区域常态化运营，加快德国子公司筹备工作，逐步完善全球化布局。公司在北美市场的业务稳步推进。在欧洲市场，公司已初步完成德国仓储与配送节点的前期布局，本地化交付能力初步建立，后续将以此为支点逐步开拓欧洲客户。国际业务虽在整体营收中占比仍较小，但有助于公司品牌溢价的逐步建立，为公司中长期成长打开了可观的增量空间</w:t>
      </w:r>
      <w:r>
        <w:rPr>
          <w:rFonts w:ascii="宋体" w:hAnsi="宋体" w:cs="Times New Roman" w:hint="eastAsia"/>
          <w:kern w:val="0"/>
          <w:sz w:val="24"/>
          <w:szCs w:val="24"/>
        </w:rPr>
        <w:t>。</w:t>
      </w:r>
    </w:p>
    <w:p w14:paraId="452C9C5A" w14:textId="3D3F3292" w:rsidR="00A4763C" w:rsidRPr="008C408B" w:rsidRDefault="00A4763C" w:rsidP="00A4763C">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00030194" w:rsidRPr="00030194">
        <w:rPr>
          <w:rFonts w:ascii="宋体" w:hAnsi="宋体" w:cs="宋体" w:hint="eastAsia"/>
          <w:b/>
          <w:bCs/>
          <w:kern w:val="0"/>
          <w:sz w:val="24"/>
          <w:szCs w:val="24"/>
        </w:rPr>
        <w:t>公司与国际科研试剂龙头相比，差距主要体现在哪些方面</w:t>
      </w:r>
      <w:r w:rsidRPr="00A31F39">
        <w:rPr>
          <w:rFonts w:ascii="宋体" w:hAnsi="宋体" w:cs="宋体" w:hint="eastAsia"/>
          <w:b/>
          <w:bCs/>
          <w:kern w:val="0"/>
          <w:sz w:val="24"/>
          <w:szCs w:val="24"/>
        </w:rPr>
        <w:t>？</w:t>
      </w:r>
    </w:p>
    <w:p w14:paraId="5B7708E7" w14:textId="5250FE3B" w:rsidR="00A4763C" w:rsidRPr="00C3491C" w:rsidRDefault="00A4763C" w:rsidP="00CE3A20">
      <w:pPr>
        <w:widowControl/>
        <w:spacing w:line="360" w:lineRule="auto"/>
        <w:rPr>
          <w:rFonts w:ascii="宋体" w:eastAsia="宋体" w:hAnsi="宋体" w:cs="Segoe UI"/>
          <w:color w:val="0F1115"/>
          <w:kern w:val="0"/>
          <w:sz w:val="24"/>
          <w:szCs w:val="24"/>
        </w:rPr>
      </w:pPr>
      <w:r w:rsidRPr="008C408B">
        <w:rPr>
          <w:rFonts w:ascii="宋体" w:hAnsi="宋体" w:cs="Times New Roman" w:hint="eastAsia"/>
          <w:kern w:val="0"/>
          <w:sz w:val="24"/>
          <w:szCs w:val="24"/>
        </w:rPr>
        <w:lastRenderedPageBreak/>
        <w:t>A：</w:t>
      </w:r>
      <w:r w:rsidR="00030194" w:rsidRPr="00030194">
        <w:rPr>
          <w:rFonts w:ascii="宋体" w:hAnsi="宋体" w:cs="Times New Roman" w:hint="eastAsia"/>
          <w:kern w:val="0"/>
          <w:sz w:val="24"/>
          <w:szCs w:val="24"/>
        </w:rPr>
        <w:t>科研试剂行业客户黏性较强，用户一旦建立起实验习惯，通常不会轻易更换品牌。当前国际供应链不确定性提升，为国产替代带来了更好的发展窗口。公司的质量控制体系对</w:t>
      </w:r>
      <w:proofErr w:type="gramStart"/>
      <w:r w:rsidR="00030194" w:rsidRPr="00030194">
        <w:rPr>
          <w:rFonts w:ascii="宋体" w:hAnsi="宋体" w:cs="Times New Roman" w:hint="eastAsia"/>
          <w:kern w:val="0"/>
          <w:sz w:val="24"/>
          <w:szCs w:val="24"/>
        </w:rPr>
        <w:t>标国际</w:t>
      </w:r>
      <w:proofErr w:type="gramEnd"/>
      <w:r w:rsidR="00030194" w:rsidRPr="00030194">
        <w:rPr>
          <w:rFonts w:ascii="宋体" w:hAnsi="宋体" w:cs="Times New Roman" w:hint="eastAsia"/>
          <w:kern w:val="0"/>
          <w:sz w:val="24"/>
          <w:szCs w:val="24"/>
        </w:rPr>
        <w:t>先进标准。与国际龙头相比，差距并不主要在单一产品性能，而更多体现在批次稳定性、一致性、标准体系积累，以及SKU丰富度等方面。国际巨头经过多年发展，形成了成熟的质量控制体系、方法沉淀和产品矩阵，这些都需要时间积累。公司正在通过持续研发、工艺优化和品类拓展，逐步缩小与国际龙头的差距</w:t>
      </w:r>
      <w:r>
        <w:rPr>
          <w:rFonts w:ascii="宋体" w:hAnsi="宋体" w:cs="Times New Roman" w:hint="eastAsia"/>
          <w:kern w:val="0"/>
          <w:sz w:val="24"/>
          <w:szCs w:val="24"/>
        </w:rPr>
        <w:t>。</w:t>
      </w:r>
    </w:p>
    <w:p w14:paraId="009D6874" w14:textId="1D4B08AA" w:rsidR="00A4763C" w:rsidRPr="008C408B" w:rsidRDefault="00A4763C" w:rsidP="00A4763C">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00030194" w:rsidRPr="00030194">
        <w:rPr>
          <w:rFonts w:ascii="宋体" w:hAnsi="宋体" w:cs="宋体" w:hint="eastAsia"/>
          <w:b/>
          <w:bCs/>
          <w:kern w:val="0"/>
          <w:sz w:val="24"/>
          <w:szCs w:val="24"/>
        </w:rPr>
        <w:t>批次之间的品质如何保证稳定性</w:t>
      </w:r>
      <w:r w:rsidRPr="00A31F39">
        <w:rPr>
          <w:rFonts w:ascii="宋体" w:hAnsi="宋体" w:cs="宋体" w:hint="eastAsia"/>
          <w:b/>
          <w:bCs/>
          <w:kern w:val="0"/>
          <w:sz w:val="24"/>
          <w:szCs w:val="24"/>
        </w:rPr>
        <w:t>？</w:t>
      </w:r>
    </w:p>
    <w:p w14:paraId="31BCD826" w14:textId="16C56CD7" w:rsidR="00A4763C" w:rsidRDefault="00A4763C" w:rsidP="00A4763C">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00030194" w:rsidRPr="00030194">
        <w:rPr>
          <w:rFonts w:ascii="宋体" w:hAnsi="宋体" w:cs="Times New Roman" w:hint="eastAsia"/>
          <w:kern w:val="0"/>
          <w:sz w:val="24"/>
          <w:szCs w:val="24"/>
        </w:rPr>
        <w:t>产品的质量控制是公司的工作，在质量控制方面，公司投入的人力、资金</w:t>
      </w:r>
      <w:proofErr w:type="gramStart"/>
      <w:r w:rsidR="00030194" w:rsidRPr="00030194">
        <w:rPr>
          <w:rFonts w:ascii="宋体" w:hAnsi="宋体" w:cs="Times New Roman" w:hint="eastAsia"/>
          <w:kern w:val="0"/>
          <w:sz w:val="24"/>
          <w:szCs w:val="24"/>
        </w:rPr>
        <w:t>量规模</w:t>
      </w:r>
      <w:proofErr w:type="gramEnd"/>
      <w:r w:rsidR="00030194" w:rsidRPr="00030194">
        <w:rPr>
          <w:rFonts w:ascii="宋体" w:hAnsi="宋体" w:cs="Times New Roman" w:hint="eastAsia"/>
          <w:kern w:val="0"/>
          <w:sz w:val="24"/>
          <w:szCs w:val="24"/>
        </w:rPr>
        <w:t>大，投入时间长。公司通过加强方法的开发和优化，建立完整的质量控制体系，构建了科研试剂质量控制标准平台，为公司新品种研发、原材料检验、产品质量控制提供了重要支撑和根本保障</w:t>
      </w:r>
      <w:r w:rsidRPr="00574DF6">
        <w:rPr>
          <w:rFonts w:ascii="宋体" w:hAnsi="宋体" w:cs="Times New Roman" w:hint="eastAsia"/>
          <w:kern w:val="0"/>
          <w:sz w:val="24"/>
          <w:szCs w:val="24"/>
        </w:rPr>
        <w:t>。</w:t>
      </w:r>
    </w:p>
    <w:p w14:paraId="4F490A86" w14:textId="7ADBA295" w:rsidR="00A4763C" w:rsidRPr="008C408B" w:rsidRDefault="00A4763C" w:rsidP="00A4763C">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00030194" w:rsidRPr="00030194">
        <w:rPr>
          <w:rFonts w:ascii="宋体" w:hAnsi="宋体" w:cs="宋体" w:hint="eastAsia"/>
          <w:b/>
          <w:bCs/>
          <w:kern w:val="0"/>
          <w:sz w:val="24"/>
          <w:szCs w:val="24"/>
        </w:rPr>
        <w:t>公司的产品品种丰富，公司对长尾存货是如何管理的</w:t>
      </w:r>
      <w:r w:rsidRPr="00A31F39">
        <w:rPr>
          <w:rFonts w:ascii="宋体" w:hAnsi="宋体" w:cs="宋体" w:hint="eastAsia"/>
          <w:b/>
          <w:bCs/>
          <w:kern w:val="0"/>
          <w:sz w:val="24"/>
          <w:szCs w:val="24"/>
        </w:rPr>
        <w:t>？</w:t>
      </w:r>
    </w:p>
    <w:p w14:paraId="40258C06" w14:textId="0A4D159D" w:rsidR="00A4763C" w:rsidRDefault="00A4763C" w:rsidP="00CE3A20">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00030194" w:rsidRPr="00030194">
        <w:rPr>
          <w:rFonts w:ascii="宋体" w:hAnsi="宋体" w:cs="Times New Roman" w:hint="eastAsia"/>
          <w:kern w:val="0"/>
          <w:sz w:val="24"/>
          <w:szCs w:val="24"/>
        </w:rPr>
        <w:t>科研试剂及实验耗材具有单品体积小、产品规格多、安全要求高等特点，精细化管理水平是衡量科研用品生产商核心竞争力的重要标准之一。公司向来注重信息化管理，通过信息化、数字化管理实现管理精细化，上线并持续完善各种信息管理系统。目前，公司各信息系统数据完全打通，客户在</w:t>
      </w:r>
      <w:proofErr w:type="gramStart"/>
      <w:r w:rsidR="00030194" w:rsidRPr="00030194">
        <w:rPr>
          <w:rFonts w:ascii="宋体" w:hAnsi="宋体" w:cs="Times New Roman" w:hint="eastAsia"/>
          <w:kern w:val="0"/>
          <w:sz w:val="24"/>
          <w:szCs w:val="24"/>
        </w:rPr>
        <w:t>公司电</w:t>
      </w:r>
      <w:proofErr w:type="gramEnd"/>
      <w:r w:rsidR="00030194" w:rsidRPr="00030194">
        <w:rPr>
          <w:rFonts w:ascii="宋体" w:hAnsi="宋体" w:cs="Times New Roman" w:hint="eastAsia"/>
          <w:kern w:val="0"/>
          <w:sz w:val="24"/>
          <w:szCs w:val="24"/>
        </w:rPr>
        <w:t>商平台上下单后，相关信息流依次经过CRM系统—ERP系统—WMS系统—智能物流管理系统，涵盖线上下单、在线支付、信息提醒、仓储配货、智能发货、售后服务等全过程，实现了信息自动化、操作流程化。通过ERP系统对存货进行管理，入库出库有条码，拣货用条码枪扫，货期随时受到监控，管理效率高，出错率低</w:t>
      </w:r>
      <w:r>
        <w:rPr>
          <w:rFonts w:ascii="宋体" w:hAnsi="宋体" w:cs="Times New Roman" w:hint="eastAsia"/>
          <w:kern w:val="0"/>
          <w:sz w:val="24"/>
          <w:szCs w:val="24"/>
        </w:rPr>
        <w:t>。</w:t>
      </w:r>
    </w:p>
    <w:p w14:paraId="038D2A1C" w14:textId="5E5452DB" w:rsidR="00A4763C" w:rsidRPr="008C408B" w:rsidRDefault="00A4763C" w:rsidP="00A4763C">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00030194" w:rsidRPr="00030194">
        <w:rPr>
          <w:rFonts w:ascii="宋体" w:hAnsi="宋体" w:cs="宋体" w:hint="eastAsia"/>
          <w:b/>
          <w:bCs/>
          <w:kern w:val="0"/>
          <w:sz w:val="24"/>
          <w:szCs w:val="24"/>
        </w:rPr>
        <w:t>公司原有主营业务主要集中于科研试剂的研发、生产和销售。自去年喀斯</w:t>
      </w:r>
      <w:proofErr w:type="gramStart"/>
      <w:r w:rsidR="00030194" w:rsidRPr="00030194">
        <w:rPr>
          <w:rFonts w:ascii="宋体" w:hAnsi="宋体" w:cs="宋体" w:hint="eastAsia"/>
          <w:b/>
          <w:bCs/>
          <w:kern w:val="0"/>
          <w:sz w:val="24"/>
          <w:szCs w:val="24"/>
        </w:rPr>
        <w:t>玛</w:t>
      </w:r>
      <w:proofErr w:type="gramEnd"/>
      <w:r w:rsidR="00030194" w:rsidRPr="00030194">
        <w:rPr>
          <w:rFonts w:ascii="宋体" w:hAnsi="宋体" w:cs="宋体" w:hint="eastAsia"/>
          <w:b/>
          <w:bCs/>
          <w:kern w:val="0"/>
          <w:sz w:val="24"/>
          <w:szCs w:val="24"/>
        </w:rPr>
        <w:t>并入后，公司新增了采购平台相关业务。相较于原有业务，新业务在商业模式、现金流特征、应收应付结构、客户关系以及利润实现方式等方面都存在较大差异，因此市场对公司的理解可能随之发生变化。想请问管理层，未来2至3年，公司希望市场如何定位和理解公司：是将公司视为一家规模持续扩大的科研试剂龙头企业，还是视为一家逐步向科学服务延伸的平台型公司</w:t>
      </w:r>
      <w:r w:rsidRPr="00A31F39">
        <w:rPr>
          <w:rFonts w:ascii="宋体" w:hAnsi="宋体" w:cs="宋体" w:hint="eastAsia"/>
          <w:b/>
          <w:bCs/>
          <w:kern w:val="0"/>
          <w:sz w:val="24"/>
          <w:szCs w:val="24"/>
        </w:rPr>
        <w:t>？</w:t>
      </w:r>
    </w:p>
    <w:p w14:paraId="28A5FF91" w14:textId="77777777" w:rsidR="00030194" w:rsidRPr="00030194" w:rsidRDefault="00A4763C" w:rsidP="00030194">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00030194" w:rsidRPr="00030194">
        <w:rPr>
          <w:rFonts w:ascii="宋体" w:hAnsi="宋体" w:cs="Times New Roman" w:hint="eastAsia"/>
          <w:kern w:val="0"/>
          <w:sz w:val="24"/>
          <w:szCs w:val="24"/>
        </w:rPr>
        <w:t>公司系统性推进“内生研发+外延整合”的双轮驱动战略。2026年上半年，公司科研试剂主业稳中提质，品种、客户正向循环加深；平台层面，入驻供应商数</w:t>
      </w:r>
      <w:r w:rsidR="00030194" w:rsidRPr="00030194">
        <w:rPr>
          <w:rFonts w:ascii="宋体" w:hAnsi="宋体" w:cs="Times New Roman" w:hint="eastAsia"/>
          <w:kern w:val="0"/>
          <w:sz w:val="24"/>
          <w:szCs w:val="24"/>
        </w:rPr>
        <w:lastRenderedPageBreak/>
        <w:t>量较上年末进一步增加，保持行业领先，服务范围覆盖高等院校、科研院所及企业研发机构等多元终端。喀斯</w:t>
      </w:r>
      <w:proofErr w:type="gramStart"/>
      <w:r w:rsidR="00030194" w:rsidRPr="00030194">
        <w:rPr>
          <w:rFonts w:ascii="宋体" w:hAnsi="宋体" w:cs="Times New Roman" w:hint="eastAsia"/>
          <w:kern w:val="0"/>
          <w:sz w:val="24"/>
          <w:szCs w:val="24"/>
        </w:rPr>
        <w:t>玛</w:t>
      </w:r>
      <w:proofErr w:type="gramEnd"/>
      <w:r w:rsidR="00030194" w:rsidRPr="00030194">
        <w:rPr>
          <w:rFonts w:ascii="宋体" w:hAnsi="宋体" w:cs="Times New Roman" w:hint="eastAsia"/>
          <w:kern w:val="0"/>
          <w:sz w:val="24"/>
          <w:szCs w:val="24"/>
        </w:rPr>
        <w:t>保持第三方平台独立运营的原则继续得到市场认可，其围绕公开、公平、公正原则构建采购交易与管理体系，平台交易活跃度稳步提升。公司自建电商平台聚焦于公司自有品牌试剂的线上直销，强化品牌影响力；喀斯</w:t>
      </w:r>
      <w:proofErr w:type="gramStart"/>
      <w:r w:rsidR="00030194" w:rsidRPr="00030194">
        <w:rPr>
          <w:rFonts w:ascii="宋体" w:hAnsi="宋体" w:cs="Times New Roman" w:hint="eastAsia"/>
          <w:kern w:val="0"/>
          <w:sz w:val="24"/>
          <w:szCs w:val="24"/>
        </w:rPr>
        <w:t>玛</w:t>
      </w:r>
      <w:proofErr w:type="gramEnd"/>
      <w:r w:rsidR="00030194" w:rsidRPr="00030194">
        <w:rPr>
          <w:rFonts w:ascii="宋体" w:hAnsi="宋体" w:cs="Times New Roman" w:hint="eastAsia"/>
          <w:kern w:val="0"/>
          <w:sz w:val="24"/>
          <w:szCs w:val="24"/>
        </w:rPr>
        <w:t>则聚焦于全品类、全行业科研物资的阳光化、规范化采购，双平台在数据洞察、品类规划和客户服务方面形成了互为支撑的协同格局。</w:t>
      </w:r>
    </w:p>
    <w:p w14:paraId="59953403" w14:textId="319DABC2" w:rsidR="00A4763C" w:rsidRDefault="00030194" w:rsidP="00030194">
      <w:pPr>
        <w:widowControl/>
        <w:spacing w:line="360" w:lineRule="auto"/>
        <w:ind w:firstLine="420"/>
        <w:rPr>
          <w:rFonts w:ascii="宋体" w:hAnsi="宋体" w:cs="Times New Roman"/>
          <w:kern w:val="0"/>
          <w:sz w:val="24"/>
          <w:szCs w:val="24"/>
        </w:rPr>
      </w:pPr>
      <w:r w:rsidRPr="00030194">
        <w:rPr>
          <w:rFonts w:ascii="宋体" w:hAnsi="宋体" w:cs="Times New Roman" w:hint="eastAsia"/>
          <w:kern w:val="0"/>
          <w:sz w:val="24"/>
          <w:szCs w:val="24"/>
        </w:rPr>
        <w:t>产品方面，公司产品体系由科研试剂与实验耗材及科研服务平台构成。科研试剂与实验耗材是公司核心业务，试剂常备库存产品SKU超过40万种，是国内科研试剂领域品种覆盖最广的本土品牌之一；实验耗材则为实验室日常运转提供配套支持；平台服务由喀斯</w:t>
      </w:r>
      <w:proofErr w:type="gramStart"/>
      <w:r w:rsidRPr="00030194">
        <w:rPr>
          <w:rFonts w:ascii="宋体" w:hAnsi="宋体" w:cs="Times New Roman" w:hint="eastAsia"/>
          <w:kern w:val="0"/>
          <w:sz w:val="24"/>
          <w:szCs w:val="24"/>
        </w:rPr>
        <w:t>玛</w:t>
      </w:r>
      <w:proofErr w:type="gramEnd"/>
      <w:r w:rsidRPr="00030194">
        <w:rPr>
          <w:rFonts w:ascii="宋体" w:hAnsi="宋体" w:cs="Times New Roman" w:hint="eastAsia"/>
          <w:kern w:val="0"/>
          <w:sz w:val="24"/>
          <w:szCs w:val="24"/>
        </w:rPr>
        <w:t>商城（www.casmart.com.cn）承载，是国内领先的面向科研、教育及产业机构的第三方电子商务平台。公司自有品牌试剂与耗材构成了产品力的根基，喀斯</w:t>
      </w:r>
      <w:proofErr w:type="gramStart"/>
      <w:r w:rsidRPr="00030194">
        <w:rPr>
          <w:rFonts w:ascii="宋体" w:hAnsi="宋体" w:cs="Times New Roman" w:hint="eastAsia"/>
          <w:kern w:val="0"/>
          <w:sz w:val="24"/>
          <w:szCs w:val="24"/>
        </w:rPr>
        <w:t>玛</w:t>
      </w:r>
      <w:proofErr w:type="gramEnd"/>
      <w:r w:rsidRPr="00030194">
        <w:rPr>
          <w:rFonts w:ascii="宋体" w:hAnsi="宋体" w:cs="Times New Roman" w:hint="eastAsia"/>
          <w:kern w:val="0"/>
          <w:sz w:val="24"/>
          <w:szCs w:val="24"/>
        </w:rPr>
        <w:t>平台则提供了独立的</w:t>
      </w:r>
      <w:proofErr w:type="gramStart"/>
      <w:r w:rsidRPr="00030194">
        <w:rPr>
          <w:rFonts w:ascii="宋体" w:hAnsi="宋体" w:cs="Times New Roman" w:hint="eastAsia"/>
          <w:kern w:val="0"/>
          <w:sz w:val="24"/>
          <w:szCs w:val="24"/>
        </w:rPr>
        <w:t>行业级渠道</w:t>
      </w:r>
      <w:proofErr w:type="gramEnd"/>
      <w:r w:rsidRPr="00030194">
        <w:rPr>
          <w:rFonts w:ascii="宋体" w:hAnsi="宋体" w:cs="Times New Roman" w:hint="eastAsia"/>
          <w:kern w:val="0"/>
          <w:sz w:val="24"/>
          <w:szCs w:val="24"/>
        </w:rPr>
        <w:t>入口与终端需求洞察，两者共同支撑公司从科研试剂品牌商向科研服务综合运营商稳步迈进</w:t>
      </w:r>
      <w:r w:rsidR="00A4763C" w:rsidRPr="00574DF6">
        <w:rPr>
          <w:rFonts w:ascii="宋体" w:hAnsi="宋体" w:cs="Times New Roman" w:hint="eastAsia"/>
          <w:kern w:val="0"/>
          <w:sz w:val="24"/>
          <w:szCs w:val="24"/>
        </w:rPr>
        <w:t>。</w:t>
      </w:r>
    </w:p>
    <w:p w14:paraId="2B022843" w14:textId="35F722E3" w:rsidR="0093066F" w:rsidRPr="008C408B" w:rsidRDefault="0093066F" w:rsidP="0093066F">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Pr="0093066F">
        <w:rPr>
          <w:rFonts w:ascii="宋体" w:hAnsi="宋体" w:cs="宋体" w:hint="eastAsia"/>
          <w:b/>
          <w:bCs/>
          <w:kern w:val="0"/>
          <w:sz w:val="24"/>
          <w:szCs w:val="24"/>
        </w:rPr>
        <w:t>公司规模效应明显吗</w:t>
      </w:r>
      <w:r w:rsidRPr="00A31F39">
        <w:rPr>
          <w:rFonts w:ascii="宋体" w:hAnsi="宋体" w:cs="宋体" w:hint="eastAsia"/>
          <w:b/>
          <w:bCs/>
          <w:kern w:val="0"/>
          <w:sz w:val="24"/>
          <w:szCs w:val="24"/>
        </w:rPr>
        <w:t>？</w:t>
      </w:r>
    </w:p>
    <w:p w14:paraId="0CCF6331" w14:textId="66EE10FF" w:rsidR="0093066F" w:rsidRDefault="0093066F" w:rsidP="0093066F">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Pr="0093066F">
        <w:rPr>
          <w:rFonts w:ascii="宋体" w:hAnsi="宋体" w:cs="Times New Roman" w:hint="eastAsia"/>
          <w:kern w:val="0"/>
          <w:sz w:val="24"/>
          <w:szCs w:val="24"/>
        </w:rPr>
        <w:t>规模效应明显。公司产品品种越多，规模越大，客户在网站上浏览下单的几率越高，公司产品的销量越高，费用率越低。正反馈效果比较明显</w:t>
      </w:r>
      <w:r>
        <w:rPr>
          <w:rFonts w:ascii="宋体" w:hAnsi="宋体" w:cs="Times New Roman" w:hint="eastAsia"/>
          <w:kern w:val="0"/>
          <w:sz w:val="24"/>
          <w:szCs w:val="24"/>
        </w:rPr>
        <w:t>。</w:t>
      </w:r>
    </w:p>
    <w:p w14:paraId="52A85690" w14:textId="09F1AC5E" w:rsidR="0093066F" w:rsidRPr="008C408B" w:rsidRDefault="0093066F" w:rsidP="0093066F">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Pr="0093066F">
        <w:rPr>
          <w:rFonts w:ascii="宋体" w:hAnsi="宋体" w:cs="宋体" w:hint="eastAsia"/>
          <w:b/>
          <w:bCs/>
          <w:kern w:val="0"/>
          <w:sz w:val="24"/>
          <w:szCs w:val="24"/>
        </w:rPr>
        <w:t>试剂的市场规模有多大</w:t>
      </w:r>
      <w:r w:rsidRPr="00A31F39">
        <w:rPr>
          <w:rFonts w:ascii="宋体" w:hAnsi="宋体" w:cs="宋体" w:hint="eastAsia"/>
          <w:b/>
          <w:bCs/>
          <w:kern w:val="0"/>
          <w:sz w:val="24"/>
          <w:szCs w:val="24"/>
        </w:rPr>
        <w:t>？</w:t>
      </w:r>
    </w:p>
    <w:p w14:paraId="4E0DC1BA" w14:textId="6A06C701" w:rsidR="00585C26" w:rsidRDefault="0093066F" w:rsidP="0093066F">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Pr="0093066F">
        <w:rPr>
          <w:rFonts w:ascii="宋体" w:hAnsi="宋体" w:cs="Times New Roman" w:hint="eastAsia"/>
          <w:kern w:val="0"/>
          <w:sz w:val="24"/>
          <w:szCs w:val="24"/>
        </w:rPr>
        <w:t>为促进上海市科学仪器和科研试剂产业创新发展，上海市科学技术委员会发布的《上海市促进科学仪器和科研试剂创新发展行动方案（2025-2027年）》为科研试剂企业的创新发展指明了方向，方案指出：“到2027年，我市科学仪器、科研试剂科技创新能力进一步增强，产业创新生态进一步完善，培育5家以上细分赛道科技领军企业，形成5个以上达到国际领先水平的科学仪器、10个以上达到国际领先水平的科研试剂，科学仪器和科研试剂产业产值450亿元左右。”</w:t>
      </w:r>
      <w:r w:rsidRPr="00400F5B">
        <w:rPr>
          <w:rFonts w:ascii="宋体" w:hAnsi="宋体" w:cs="Times New Roman" w:hint="eastAsia"/>
          <w:kern w:val="0"/>
          <w:sz w:val="24"/>
          <w:szCs w:val="24"/>
        </w:rPr>
        <w:t>同时，“支持企业发展壮大。支持企业围绕拳头产品线和核心技术体系，开展收购并购和产业链资源整合，加快成长为行业龙头企业。支持企业国际化发展，推动与国际知名公司或单位开展合作，以优势产品为突破，建设全球化的技术创新支持体系，拓展全球市场”。</w:t>
      </w:r>
      <w:r w:rsidR="00585C26" w:rsidRPr="00400F5B">
        <w:rPr>
          <w:rFonts w:ascii="宋体" w:hAnsi="宋体" w:cs="Times New Roman" w:hint="eastAsia"/>
          <w:kern w:val="0"/>
          <w:sz w:val="24"/>
          <w:szCs w:val="24"/>
        </w:rPr>
        <w:t>由此可见，上海相关产业规模预计达450亿元左右；而从全国层面看，相关产业规模预计超过千亿元，市场空间更加广阔。</w:t>
      </w:r>
    </w:p>
    <w:p w14:paraId="35285995" w14:textId="307FE1BD" w:rsidR="0093066F" w:rsidRPr="008C408B" w:rsidRDefault="0093066F" w:rsidP="0093066F">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Pr="0093066F">
        <w:rPr>
          <w:rFonts w:ascii="宋体" w:hAnsi="宋体" w:cs="宋体" w:hint="eastAsia"/>
          <w:b/>
          <w:bCs/>
          <w:kern w:val="0"/>
          <w:sz w:val="24"/>
          <w:szCs w:val="24"/>
        </w:rPr>
        <w:t>公司生物试剂发展情况</w:t>
      </w:r>
      <w:r w:rsidRPr="00A31F39">
        <w:rPr>
          <w:rFonts w:ascii="宋体" w:hAnsi="宋体" w:cs="宋体" w:hint="eastAsia"/>
          <w:b/>
          <w:bCs/>
          <w:kern w:val="0"/>
          <w:sz w:val="24"/>
          <w:szCs w:val="24"/>
        </w:rPr>
        <w:t>？</w:t>
      </w:r>
    </w:p>
    <w:p w14:paraId="6801830A" w14:textId="40A88C18" w:rsidR="0093066F" w:rsidRDefault="0093066F" w:rsidP="0093066F">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lastRenderedPageBreak/>
        <w:t>A：</w:t>
      </w:r>
      <w:r w:rsidRPr="0093066F">
        <w:rPr>
          <w:rFonts w:ascii="宋体" w:hAnsi="宋体" w:cs="Times New Roman" w:hint="eastAsia"/>
          <w:kern w:val="0"/>
          <w:sz w:val="24"/>
          <w:szCs w:val="24"/>
        </w:rPr>
        <w:t>公司产品结构不断优化，在生物试剂方面公司的研发重点聚焦于细胞培养与分析检测、蛋白纯化与分析、分子生物学、重组蛋白、天然蛋白、抗体</w:t>
      </w:r>
      <w:proofErr w:type="gramStart"/>
      <w:r w:rsidRPr="0093066F">
        <w:rPr>
          <w:rFonts w:ascii="宋体" w:hAnsi="宋体" w:cs="Times New Roman" w:hint="eastAsia"/>
          <w:kern w:val="0"/>
          <w:sz w:val="24"/>
          <w:szCs w:val="24"/>
        </w:rPr>
        <w:t>及药靶配体</w:t>
      </w:r>
      <w:proofErr w:type="gramEnd"/>
      <w:r w:rsidRPr="0093066F">
        <w:rPr>
          <w:rFonts w:ascii="宋体" w:hAnsi="宋体" w:cs="Times New Roman" w:hint="eastAsia"/>
          <w:kern w:val="0"/>
          <w:sz w:val="24"/>
          <w:szCs w:val="24"/>
        </w:rPr>
        <w:t>等领域。截至上半年末，生物试剂产品总数已达2万余种，其中细胞培养与分析检测试剂及试剂</w:t>
      </w:r>
      <w:proofErr w:type="gramStart"/>
      <w:r w:rsidRPr="0093066F">
        <w:rPr>
          <w:rFonts w:ascii="宋体" w:hAnsi="宋体" w:cs="Times New Roman" w:hint="eastAsia"/>
          <w:kern w:val="0"/>
          <w:sz w:val="24"/>
          <w:szCs w:val="24"/>
        </w:rPr>
        <w:t>盒超过</w:t>
      </w:r>
      <w:proofErr w:type="gramEnd"/>
      <w:r w:rsidRPr="0093066F">
        <w:rPr>
          <w:rFonts w:ascii="宋体" w:hAnsi="宋体" w:cs="Times New Roman" w:hint="eastAsia"/>
          <w:kern w:val="0"/>
          <w:sz w:val="24"/>
          <w:szCs w:val="24"/>
        </w:rPr>
        <w:t>2,400种、蛋白纯化与分析试剂及试剂</w:t>
      </w:r>
      <w:proofErr w:type="gramStart"/>
      <w:r w:rsidRPr="0093066F">
        <w:rPr>
          <w:rFonts w:ascii="宋体" w:hAnsi="宋体" w:cs="Times New Roman" w:hint="eastAsia"/>
          <w:kern w:val="0"/>
          <w:sz w:val="24"/>
          <w:szCs w:val="24"/>
        </w:rPr>
        <w:t>盒超过</w:t>
      </w:r>
      <w:proofErr w:type="gramEnd"/>
      <w:r w:rsidRPr="0093066F">
        <w:rPr>
          <w:rFonts w:ascii="宋体" w:hAnsi="宋体" w:cs="Times New Roman" w:hint="eastAsia"/>
          <w:kern w:val="0"/>
          <w:sz w:val="24"/>
          <w:szCs w:val="24"/>
        </w:rPr>
        <w:t>3,000种、ELISA试剂</w:t>
      </w:r>
      <w:proofErr w:type="gramStart"/>
      <w:r w:rsidRPr="0093066F">
        <w:rPr>
          <w:rFonts w:ascii="宋体" w:hAnsi="宋体" w:cs="Times New Roman" w:hint="eastAsia"/>
          <w:kern w:val="0"/>
          <w:sz w:val="24"/>
          <w:szCs w:val="24"/>
        </w:rPr>
        <w:t>盒超过</w:t>
      </w:r>
      <w:proofErr w:type="gramEnd"/>
      <w:r w:rsidRPr="0093066F">
        <w:rPr>
          <w:rFonts w:ascii="宋体" w:hAnsi="宋体" w:cs="Times New Roman" w:hint="eastAsia"/>
          <w:kern w:val="0"/>
          <w:sz w:val="24"/>
          <w:szCs w:val="24"/>
        </w:rPr>
        <w:t>4,000种、分子生物学试剂及试剂</w:t>
      </w:r>
      <w:proofErr w:type="gramStart"/>
      <w:r w:rsidRPr="0093066F">
        <w:rPr>
          <w:rFonts w:ascii="宋体" w:hAnsi="宋体" w:cs="Times New Roman" w:hint="eastAsia"/>
          <w:kern w:val="0"/>
          <w:sz w:val="24"/>
          <w:szCs w:val="24"/>
        </w:rPr>
        <w:t>盒超过</w:t>
      </w:r>
      <w:proofErr w:type="gramEnd"/>
      <w:r w:rsidRPr="0093066F">
        <w:rPr>
          <w:rFonts w:ascii="宋体" w:hAnsi="宋体" w:cs="Times New Roman" w:hint="eastAsia"/>
          <w:kern w:val="0"/>
          <w:sz w:val="24"/>
          <w:szCs w:val="24"/>
        </w:rPr>
        <w:t>700种、蛋白质产品超过5,000种、抗体产品超过9,600种，丰富了公司科研试剂的产品线，增强了公司科研试剂在生命科学领域的竞争力</w:t>
      </w:r>
      <w:r>
        <w:rPr>
          <w:rFonts w:ascii="宋体" w:hAnsi="宋体" w:cs="Times New Roman" w:hint="eastAsia"/>
          <w:kern w:val="0"/>
          <w:sz w:val="24"/>
          <w:szCs w:val="24"/>
        </w:rPr>
        <w:t>。</w:t>
      </w:r>
    </w:p>
    <w:p w14:paraId="056FADD9" w14:textId="00AE2EF6" w:rsidR="0093066F" w:rsidRPr="008C408B" w:rsidRDefault="0093066F" w:rsidP="0093066F">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Pr="0093066F">
        <w:rPr>
          <w:rFonts w:ascii="宋体" w:hAnsi="宋体" w:cs="宋体" w:hint="eastAsia"/>
          <w:b/>
          <w:bCs/>
          <w:kern w:val="0"/>
          <w:sz w:val="24"/>
          <w:szCs w:val="24"/>
        </w:rPr>
        <w:t>公司产品交付一般集中在下半年吗？</w:t>
      </w:r>
      <w:proofErr w:type="gramStart"/>
      <w:r w:rsidRPr="0093066F">
        <w:rPr>
          <w:rFonts w:ascii="宋体" w:hAnsi="宋体" w:cs="宋体" w:hint="eastAsia"/>
          <w:b/>
          <w:bCs/>
          <w:kern w:val="0"/>
          <w:sz w:val="24"/>
          <w:szCs w:val="24"/>
        </w:rPr>
        <w:t>账期是</w:t>
      </w:r>
      <w:proofErr w:type="gramEnd"/>
      <w:r w:rsidRPr="0093066F">
        <w:rPr>
          <w:rFonts w:ascii="宋体" w:hAnsi="宋体" w:cs="宋体" w:hint="eastAsia"/>
          <w:b/>
          <w:bCs/>
          <w:kern w:val="0"/>
          <w:sz w:val="24"/>
          <w:szCs w:val="24"/>
        </w:rPr>
        <w:t>怎么样的</w:t>
      </w:r>
      <w:r w:rsidRPr="00A31F39">
        <w:rPr>
          <w:rFonts w:ascii="宋体" w:hAnsi="宋体" w:cs="宋体" w:hint="eastAsia"/>
          <w:b/>
          <w:bCs/>
          <w:kern w:val="0"/>
          <w:sz w:val="24"/>
          <w:szCs w:val="24"/>
        </w:rPr>
        <w:t>？</w:t>
      </w:r>
    </w:p>
    <w:p w14:paraId="286D0EC3" w14:textId="22D985D6" w:rsidR="0093066F" w:rsidRDefault="0093066F" w:rsidP="0093066F">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Pr="0093066F">
        <w:rPr>
          <w:rFonts w:ascii="宋体" w:hAnsi="宋体" w:cs="Times New Roman" w:hint="eastAsia"/>
          <w:kern w:val="0"/>
          <w:sz w:val="24"/>
          <w:szCs w:val="24"/>
        </w:rPr>
        <w:t>公司利用电商平台进行销售，大部分直接客户实行先款后货的销售形式，但也给经销商、大客户等一定的账期。总体来说，</w:t>
      </w:r>
      <w:proofErr w:type="gramStart"/>
      <w:r w:rsidRPr="0093066F">
        <w:rPr>
          <w:rFonts w:ascii="宋体" w:hAnsi="宋体" w:cs="Times New Roman" w:hint="eastAsia"/>
          <w:kern w:val="0"/>
          <w:sz w:val="24"/>
          <w:szCs w:val="24"/>
        </w:rPr>
        <w:t>公司账期较短</w:t>
      </w:r>
      <w:proofErr w:type="gramEnd"/>
      <w:r w:rsidRPr="0093066F">
        <w:rPr>
          <w:rFonts w:ascii="宋体" w:hAnsi="宋体" w:cs="Times New Roman" w:hint="eastAsia"/>
          <w:kern w:val="0"/>
          <w:sz w:val="24"/>
          <w:szCs w:val="24"/>
        </w:rPr>
        <w:t>，回款快，现金流量好</w:t>
      </w:r>
      <w:r>
        <w:rPr>
          <w:rFonts w:ascii="宋体" w:hAnsi="宋体" w:cs="Times New Roman" w:hint="eastAsia"/>
          <w:kern w:val="0"/>
          <w:sz w:val="24"/>
          <w:szCs w:val="24"/>
        </w:rPr>
        <w:t>。</w:t>
      </w:r>
    </w:p>
    <w:p w14:paraId="2D2D1A80" w14:textId="7435961C" w:rsidR="0093066F" w:rsidRPr="008C408B" w:rsidRDefault="0093066F" w:rsidP="0093066F">
      <w:pPr>
        <w:widowControl/>
        <w:spacing w:line="360" w:lineRule="auto"/>
        <w:outlineLvl w:val="0"/>
        <w:rPr>
          <w:rFonts w:ascii="宋体" w:hAnsi="宋体" w:cs="宋体"/>
          <w:b/>
          <w:bCs/>
          <w:kern w:val="0"/>
          <w:sz w:val="24"/>
          <w:szCs w:val="24"/>
        </w:rPr>
      </w:pPr>
      <w:r w:rsidRPr="008C408B">
        <w:rPr>
          <w:rFonts w:ascii="宋体" w:hAnsi="宋体" w:cs="宋体" w:hint="eastAsia"/>
          <w:b/>
          <w:bCs/>
          <w:kern w:val="0"/>
          <w:sz w:val="24"/>
          <w:szCs w:val="24"/>
        </w:rPr>
        <w:t>Q：</w:t>
      </w:r>
      <w:r w:rsidRPr="0093066F">
        <w:rPr>
          <w:rFonts w:ascii="宋体" w:hAnsi="宋体" w:cs="宋体" w:hint="eastAsia"/>
          <w:b/>
          <w:bCs/>
          <w:kern w:val="0"/>
          <w:sz w:val="24"/>
          <w:szCs w:val="24"/>
        </w:rPr>
        <w:t>存货计提减值准备的情况</w:t>
      </w:r>
      <w:r w:rsidRPr="00A31F39">
        <w:rPr>
          <w:rFonts w:ascii="宋体" w:hAnsi="宋体" w:cs="宋体" w:hint="eastAsia"/>
          <w:b/>
          <w:bCs/>
          <w:kern w:val="0"/>
          <w:sz w:val="24"/>
          <w:szCs w:val="24"/>
        </w:rPr>
        <w:t>？</w:t>
      </w:r>
    </w:p>
    <w:p w14:paraId="365E6E94" w14:textId="28EE70BC" w:rsidR="0093066F" w:rsidRDefault="0093066F" w:rsidP="0093066F">
      <w:pPr>
        <w:widowControl/>
        <w:spacing w:line="360" w:lineRule="auto"/>
        <w:rPr>
          <w:rFonts w:ascii="宋体" w:hAnsi="宋体" w:cs="Times New Roman"/>
          <w:kern w:val="0"/>
          <w:sz w:val="24"/>
          <w:szCs w:val="24"/>
        </w:rPr>
      </w:pPr>
      <w:r w:rsidRPr="008C408B">
        <w:rPr>
          <w:rFonts w:ascii="宋体" w:hAnsi="宋体" w:cs="Times New Roman" w:hint="eastAsia"/>
          <w:kern w:val="0"/>
          <w:sz w:val="24"/>
          <w:szCs w:val="24"/>
        </w:rPr>
        <w:t>A：</w:t>
      </w:r>
      <w:r w:rsidRPr="0093066F">
        <w:rPr>
          <w:rFonts w:ascii="宋体" w:hAnsi="宋体" w:cs="Times New Roman" w:hint="eastAsia"/>
          <w:kern w:val="0"/>
          <w:sz w:val="24"/>
          <w:szCs w:val="24"/>
        </w:rPr>
        <w:t>公司会根据盘点结果，分类按照存货</w:t>
      </w:r>
      <w:proofErr w:type="gramStart"/>
      <w:r w:rsidRPr="0093066F">
        <w:rPr>
          <w:rFonts w:ascii="宋体" w:hAnsi="宋体" w:cs="Times New Roman" w:hint="eastAsia"/>
          <w:kern w:val="0"/>
          <w:sz w:val="24"/>
          <w:szCs w:val="24"/>
        </w:rPr>
        <w:t>的库龄和</w:t>
      </w:r>
      <w:proofErr w:type="gramEnd"/>
      <w:r w:rsidRPr="0093066F">
        <w:rPr>
          <w:rFonts w:ascii="宋体" w:hAnsi="宋体" w:cs="Times New Roman" w:hint="eastAsia"/>
          <w:kern w:val="0"/>
          <w:sz w:val="24"/>
          <w:szCs w:val="24"/>
        </w:rPr>
        <w:t>销售（使用）情况计提存货跌价准备</w:t>
      </w:r>
      <w:r>
        <w:rPr>
          <w:rFonts w:ascii="宋体" w:hAnsi="宋体" w:cs="Times New Roman" w:hint="eastAsia"/>
          <w:kern w:val="0"/>
          <w:sz w:val="24"/>
          <w:szCs w:val="24"/>
        </w:rPr>
        <w:t>。</w:t>
      </w:r>
    </w:p>
    <w:p w14:paraId="3F5044C5" w14:textId="77777777" w:rsidR="00BF1529" w:rsidRPr="00D562F9" w:rsidRDefault="00BF1529" w:rsidP="00B305A9">
      <w:pPr>
        <w:widowControl/>
        <w:spacing w:line="480" w:lineRule="auto"/>
        <w:rPr>
          <w:rFonts w:ascii="宋体" w:hAnsi="宋体" w:cs="宋体"/>
          <w:kern w:val="0"/>
          <w:sz w:val="24"/>
          <w:szCs w:val="24"/>
        </w:rPr>
      </w:pPr>
      <w:r w:rsidRPr="00D562F9">
        <w:rPr>
          <w:rFonts w:ascii="宋体" w:hAnsi="宋体" w:cs="宋体" w:hint="eastAsia"/>
          <w:b/>
          <w:bCs/>
          <w:kern w:val="0"/>
          <w:sz w:val="24"/>
          <w:szCs w:val="24"/>
        </w:rPr>
        <w:t>三、关于本次活动是否涉及应当披露重大信息的说明</w:t>
      </w:r>
    </w:p>
    <w:p w14:paraId="7BD5B39C" w14:textId="7DBE7D1C" w:rsidR="00BF1529" w:rsidRPr="00BF1529" w:rsidRDefault="00BF1529" w:rsidP="00B305A9">
      <w:pPr>
        <w:widowControl/>
        <w:spacing w:line="360" w:lineRule="auto"/>
        <w:rPr>
          <w:rFonts w:ascii="宋体" w:hAnsi="宋体" w:cs="Times New Roman"/>
          <w:kern w:val="0"/>
          <w:sz w:val="24"/>
          <w:szCs w:val="24"/>
        </w:rPr>
      </w:pPr>
      <w:r w:rsidRPr="00B0592B">
        <w:rPr>
          <w:rFonts w:ascii="宋体" w:hAnsi="宋体" w:cs="Times New Roman" w:hint="eastAsia"/>
          <w:sz w:val="24"/>
          <w:szCs w:val="24"/>
        </w:rPr>
        <w:t>本次活动不涉及应当披露的重大信息。</w:t>
      </w:r>
    </w:p>
    <w:sectPr w:rsidR="00BF1529" w:rsidRPr="00BF1529" w:rsidSect="000B24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9FDE9" w14:textId="77777777" w:rsidR="00E14119" w:rsidRDefault="00E14119" w:rsidP="00186984">
      <w:r>
        <w:separator/>
      </w:r>
    </w:p>
  </w:endnote>
  <w:endnote w:type="continuationSeparator" w:id="0">
    <w:p w14:paraId="13B17CE0" w14:textId="77777777" w:rsidR="00E14119" w:rsidRDefault="00E14119" w:rsidP="00186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176AA" w14:textId="77777777" w:rsidR="00E14119" w:rsidRDefault="00E14119" w:rsidP="00186984">
      <w:r>
        <w:separator/>
      </w:r>
    </w:p>
  </w:footnote>
  <w:footnote w:type="continuationSeparator" w:id="0">
    <w:p w14:paraId="50758800" w14:textId="77777777" w:rsidR="00E14119" w:rsidRDefault="00E14119" w:rsidP="001869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26B"/>
    <w:rsid w:val="00005D7B"/>
    <w:rsid w:val="00012A49"/>
    <w:rsid w:val="00012F02"/>
    <w:rsid w:val="00014832"/>
    <w:rsid w:val="00017C9D"/>
    <w:rsid w:val="000230B6"/>
    <w:rsid w:val="00030194"/>
    <w:rsid w:val="00031D8B"/>
    <w:rsid w:val="00037B3E"/>
    <w:rsid w:val="000407CB"/>
    <w:rsid w:val="000423E5"/>
    <w:rsid w:val="00042D26"/>
    <w:rsid w:val="00044999"/>
    <w:rsid w:val="00057E28"/>
    <w:rsid w:val="00064E02"/>
    <w:rsid w:val="0007021C"/>
    <w:rsid w:val="00071991"/>
    <w:rsid w:val="00074C36"/>
    <w:rsid w:val="000775FD"/>
    <w:rsid w:val="000808C6"/>
    <w:rsid w:val="00082E5D"/>
    <w:rsid w:val="00085C23"/>
    <w:rsid w:val="00085EFA"/>
    <w:rsid w:val="00087318"/>
    <w:rsid w:val="0009169C"/>
    <w:rsid w:val="0009572A"/>
    <w:rsid w:val="000965F2"/>
    <w:rsid w:val="00097528"/>
    <w:rsid w:val="000A3559"/>
    <w:rsid w:val="000B2223"/>
    <w:rsid w:val="000B2424"/>
    <w:rsid w:val="000B4B05"/>
    <w:rsid w:val="000B4F60"/>
    <w:rsid w:val="000B596D"/>
    <w:rsid w:val="000B5D33"/>
    <w:rsid w:val="000B724B"/>
    <w:rsid w:val="000B7B33"/>
    <w:rsid w:val="000C1BBD"/>
    <w:rsid w:val="000C479B"/>
    <w:rsid w:val="000D6D4C"/>
    <w:rsid w:val="000D703C"/>
    <w:rsid w:val="000D7537"/>
    <w:rsid w:val="000D772E"/>
    <w:rsid w:val="000E0087"/>
    <w:rsid w:val="000E0FA0"/>
    <w:rsid w:val="000E4506"/>
    <w:rsid w:val="000E6FAC"/>
    <w:rsid w:val="000E6FED"/>
    <w:rsid w:val="000F2176"/>
    <w:rsid w:val="000F2731"/>
    <w:rsid w:val="000F3FD7"/>
    <w:rsid w:val="000F71F1"/>
    <w:rsid w:val="00100AD4"/>
    <w:rsid w:val="00110A62"/>
    <w:rsid w:val="001137DE"/>
    <w:rsid w:val="00115679"/>
    <w:rsid w:val="00124217"/>
    <w:rsid w:val="001348C4"/>
    <w:rsid w:val="00134B8B"/>
    <w:rsid w:val="00137A98"/>
    <w:rsid w:val="00140189"/>
    <w:rsid w:val="001414FD"/>
    <w:rsid w:val="00145B59"/>
    <w:rsid w:val="00150604"/>
    <w:rsid w:val="00152E98"/>
    <w:rsid w:val="001627E5"/>
    <w:rsid w:val="00162AC0"/>
    <w:rsid w:val="00162B96"/>
    <w:rsid w:val="00163FAF"/>
    <w:rsid w:val="0017198A"/>
    <w:rsid w:val="00176645"/>
    <w:rsid w:val="00180E2C"/>
    <w:rsid w:val="00183B97"/>
    <w:rsid w:val="00185FD8"/>
    <w:rsid w:val="00186984"/>
    <w:rsid w:val="00191899"/>
    <w:rsid w:val="001B325B"/>
    <w:rsid w:val="001B47A4"/>
    <w:rsid w:val="001B75A7"/>
    <w:rsid w:val="001B787C"/>
    <w:rsid w:val="001C6229"/>
    <w:rsid w:val="001C7769"/>
    <w:rsid w:val="001D10FC"/>
    <w:rsid w:val="001D2652"/>
    <w:rsid w:val="001E3AE8"/>
    <w:rsid w:val="001F2D49"/>
    <w:rsid w:val="001F3306"/>
    <w:rsid w:val="001F4C1C"/>
    <w:rsid w:val="0021114E"/>
    <w:rsid w:val="00212EB7"/>
    <w:rsid w:val="0021448E"/>
    <w:rsid w:val="00214FAA"/>
    <w:rsid w:val="00215D47"/>
    <w:rsid w:val="002161D1"/>
    <w:rsid w:val="00221F65"/>
    <w:rsid w:val="00224F01"/>
    <w:rsid w:val="0023626C"/>
    <w:rsid w:val="00244482"/>
    <w:rsid w:val="00245AD2"/>
    <w:rsid w:val="00251D52"/>
    <w:rsid w:val="0025363E"/>
    <w:rsid w:val="00253675"/>
    <w:rsid w:val="00255362"/>
    <w:rsid w:val="00255F22"/>
    <w:rsid w:val="00260813"/>
    <w:rsid w:val="0026505F"/>
    <w:rsid w:val="0026541C"/>
    <w:rsid w:val="00265807"/>
    <w:rsid w:val="00266BFB"/>
    <w:rsid w:val="00273C3A"/>
    <w:rsid w:val="002748FD"/>
    <w:rsid w:val="00277264"/>
    <w:rsid w:val="0028107B"/>
    <w:rsid w:val="002816A4"/>
    <w:rsid w:val="00281AFC"/>
    <w:rsid w:val="002833F9"/>
    <w:rsid w:val="0028520D"/>
    <w:rsid w:val="002933A9"/>
    <w:rsid w:val="002943B0"/>
    <w:rsid w:val="0029585B"/>
    <w:rsid w:val="00296344"/>
    <w:rsid w:val="002A27E0"/>
    <w:rsid w:val="002A404A"/>
    <w:rsid w:val="002B2389"/>
    <w:rsid w:val="002B4235"/>
    <w:rsid w:val="002B660E"/>
    <w:rsid w:val="002B75BC"/>
    <w:rsid w:val="002C1C30"/>
    <w:rsid w:val="002C463C"/>
    <w:rsid w:val="002C5114"/>
    <w:rsid w:val="002C518E"/>
    <w:rsid w:val="002D71DA"/>
    <w:rsid w:val="002D79E1"/>
    <w:rsid w:val="002E10ED"/>
    <w:rsid w:val="002F2DAD"/>
    <w:rsid w:val="002F4C02"/>
    <w:rsid w:val="002F4E27"/>
    <w:rsid w:val="00302929"/>
    <w:rsid w:val="00315FAD"/>
    <w:rsid w:val="003417A6"/>
    <w:rsid w:val="0034381B"/>
    <w:rsid w:val="00345429"/>
    <w:rsid w:val="00347479"/>
    <w:rsid w:val="00350E07"/>
    <w:rsid w:val="00350E90"/>
    <w:rsid w:val="00351F04"/>
    <w:rsid w:val="003572AF"/>
    <w:rsid w:val="00357BA5"/>
    <w:rsid w:val="00357C98"/>
    <w:rsid w:val="00361416"/>
    <w:rsid w:val="00361A13"/>
    <w:rsid w:val="00362ADE"/>
    <w:rsid w:val="00362F95"/>
    <w:rsid w:val="00372974"/>
    <w:rsid w:val="00376316"/>
    <w:rsid w:val="00383523"/>
    <w:rsid w:val="00384E1C"/>
    <w:rsid w:val="003901A1"/>
    <w:rsid w:val="00390774"/>
    <w:rsid w:val="00394681"/>
    <w:rsid w:val="003A1266"/>
    <w:rsid w:val="003A6182"/>
    <w:rsid w:val="003A7A82"/>
    <w:rsid w:val="003B248F"/>
    <w:rsid w:val="003B2508"/>
    <w:rsid w:val="003B2967"/>
    <w:rsid w:val="003B3143"/>
    <w:rsid w:val="003B4043"/>
    <w:rsid w:val="003B6EC0"/>
    <w:rsid w:val="003C192D"/>
    <w:rsid w:val="003C3B4E"/>
    <w:rsid w:val="003C600F"/>
    <w:rsid w:val="003C7E2E"/>
    <w:rsid w:val="003D50D7"/>
    <w:rsid w:val="003E09EC"/>
    <w:rsid w:val="003E32E5"/>
    <w:rsid w:val="003F1E0F"/>
    <w:rsid w:val="003F77E4"/>
    <w:rsid w:val="003F79B7"/>
    <w:rsid w:val="00400F5B"/>
    <w:rsid w:val="00402623"/>
    <w:rsid w:val="0041718A"/>
    <w:rsid w:val="004224F5"/>
    <w:rsid w:val="00423458"/>
    <w:rsid w:val="00423881"/>
    <w:rsid w:val="00424C77"/>
    <w:rsid w:val="00425A98"/>
    <w:rsid w:val="00425BF1"/>
    <w:rsid w:val="00432872"/>
    <w:rsid w:val="00432AB8"/>
    <w:rsid w:val="0043315A"/>
    <w:rsid w:val="0044123E"/>
    <w:rsid w:val="0045033F"/>
    <w:rsid w:val="004549F2"/>
    <w:rsid w:val="00457C62"/>
    <w:rsid w:val="00462DDD"/>
    <w:rsid w:val="00475494"/>
    <w:rsid w:val="00483A63"/>
    <w:rsid w:val="00483E8C"/>
    <w:rsid w:val="004845FD"/>
    <w:rsid w:val="00490C47"/>
    <w:rsid w:val="00493343"/>
    <w:rsid w:val="0049387F"/>
    <w:rsid w:val="004960F1"/>
    <w:rsid w:val="004A5CBE"/>
    <w:rsid w:val="004A734A"/>
    <w:rsid w:val="004B08E2"/>
    <w:rsid w:val="004B1645"/>
    <w:rsid w:val="004C033D"/>
    <w:rsid w:val="004C16AB"/>
    <w:rsid w:val="004C73E0"/>
    <w:rsid w:val="004D0E4D"/>
    <w:rsid w:val="004D777D"/>
    <w:rsid w:val="004E1DBD"/>
    <w:rsid w:val="004E2FF9"/>
    <w:rsid w:val="004F312F"/>
    <w:rsid w:val="004F321D"/>
    <w:rsid w:val="004F74FA"/>
    <w:rsid w:val="00500C28"/>
    <w:rsid w:val="00510EAD"/>
    <w:rsid w:val="00512A0E"/>
    <w:rsid w:val="00513FBF"/>
    <w:rsid w:val="00514C0D"/>
    <w:rsid w:val="00520C30"/>
    <w:rsid w:val="00522C56"/>
    <w:rsid w:val="005331F7"/>
    <w:rsid w:val="0053322C"/>
    <w:rsid w:val="00535B5A"/>
    <w:rsid w:val="005370B5"/>
    <w:rsid w:val="00546575"/>
    <w:rsid w:val="005625B7"/>
    <w:rsid w:val="00562C90"/>
    <w:rsid w:val="00564B65"/>
    <w:rsid w:val="00565262"/>
    <w:rsid w:val="00565C03"/>
    <w:rsid w:val="0056719B"/>
    <w:rsid w:val="00574DF6"/>
    <w:rsid w:val="005754B4"/>
    <w:rsid w:val="00585B58"/>
    <w:rsid w:val="00585C26"/>
    <w:rsid w:val="0059250E"/>
    <w:rsid w:val="00595B67"/>
    <w:rsid w:val="005A0BA9"/>
    <w:rsid w:val="005B240C"/>
    <w:rsid w:val="005B251C"/>
    <w:rsid w:val="005B5BDA"/>
    <w:rsid w:val="005D4BC0"/>
    <w:rsid w:val="005D7657"/>
    <w:rsid w:val="005E0832"/>
    <w:rsid w:val="005E0EEB"/>
    <w:rsid w:val="005E5259"/>
    <w:rsid w:val="005F1519"/>
    <w:rsid w:val="005F276C"/>
    <w:rsid w:val="005F655E"/>
    <w:rsid w:val="0060191E"/>
    <w:rsid w:val="00603B54"/>
    <w:rsid w:val="006069C8"/>
    <w:rsid w:val="00607867"/>
    <w:rsid w:val="006108AC"/>
    <w:rsid w:val="00610B5B"/>
    <w:rsid w:val="00613A48"/>
    <w:rsid w:val="00613C55"/>
    <w:rsid w:val="00613C97"/>
    <w:rsid w:val="00622E67"/>
    <w:rsid w:val="006243F6"/>
    <w:rsid w:val="00627874"/>
    <w:rsid w:val="006374B0"/>
    <w:rsid w:val="00651B35"/>
    <w:rsid w:val="00652F22"/>
    <w:rsid w:val="0065651A"/>
    <w:rsid w:val="006605AA"/>
    <w:rsid w:val="00663158"/>
    <w:rsid w:val="006650AB"/>
    <w:rsid w:val="00667E72"/>
    <w:rsid w:val="00670CC1"/>
    <w:rsid w:val="00670CD7"/>
    <w:rsid w:val="00672AE0"/>
    <w:rsid w:val="00673E9F"/>
    <w:rsid w:val="006825A5"/>
    <w:rsid w:val="006829B7"/>
    <w:rsid w:val="00683C75"/>
    <w:rsid w:val="00685EEC"/>
    <w:rsid w:val="00687645"/>
    <w:rsid w:val="00694E6B"/>
    <w:rsid w:val="00696E1B"/>
    <w:rsid w:val="006A0FD5"/>
    <w:rsid w:val="006A3BAD"/>
    <w:rsid w:val="006B09AE"/>
    <w:rsid w:val="006B5719"/>
    <w:rsid w:val="006C2F4E"/>
    <w:rsid w:val="006C38AA"/>
    <w:rsid w:val="006C5827"/>
    <w:rsid w:val="006D1F87"/>
    <w:rsid w:val="006D7796"/>
    <w:rsid w:val="006E1CE9"/>
    <w:rsid w:val="006E47B0"/>
    <w:rsid w:val="006E534C"/>
    <w:rsid w:val="006E5A19"/>
    <w:rsid w:val="006E7E79"/>
    <w:rsid w:val="006F66F9"/>
    <w:rsid w:val="00703280"/>
    <w:rsid w:val="007078B9"/>
    <w:rsid w:val="00710378"/>
    <w:rsid w:val="00721E4F"/>
    <w:rsid w:val="00723096"/>
    <w:rsid w:val="00723E02"/>
    <w:rsid w:val="00724344"/>
    <w:rsid w:val="00734820"/>
    <w:rsid w:val="00734CD9"/>
    <w:rsid w:val="00735A83"/>
    <w:rsid w:val="00737005"/>
    <w:rsid w:val="0073775C"/>
    <w:rsid w:val="00743CBB"/>
    <w:rsid w:val="00745EE5"/>
    <w:rsid w:val="007463DD"/>
    <w:rsid w:val="0076256D"/>
    <w:rsid w:val="00773867"/>
    <w:rsid w:val="007768CB"/>
    <w:rsid w:val="00776EFF"/>
    <w:rsid w:val="00777EFE"/>
    <w:rsid w:val="00780D13"/>
    <w:rsid w:val="007844D4"/>
    <w:rsid w:val="00785295"/>
    <w:rsid w:val="0078549D"/>
    <w:rsid w:val="007A13B3"/>
    <w:rsid w:val="007A4B2E"/>
    <w:rsid w:val="007B05DF"/>
    <w:rsid w:val="007B1C9B"/>
    <w:rsid w:val="007B21C0"/>
    <w:rsid w:val="007B3F9A"/>
    <w:rsid w:val="007C35EF"/>
    <w:rsid w:val="007C53C5"/>
    <w:rsid w:val="007C61C7"/>
    <w:rsid w:val="007D3C24"/>
    <w:rsid w:val="007F496E"/>
    <w:rsid w:val="007F5E1A"/>
    <w:rsid w:val="007F7246"/>
    <w:rsid w:val="008057AF"/>
    <w:rsid w:val="00807293"/>
    <w:rsid w:val="00807DB2"/>
    <w:rsid w:val="008107CA"/>
    <w:rsid w:val="00814254"/>
    <w:rsid w:val="00822A57"/>
    <w:rsid w:val="00827275"/>
    <w:rsid w:val="0082730E"/>
    <w:rsid w:val="008307EA"/>
    <w:rsid w:val="00831E2C"/>
    <w:rsid w:val="00831FF6"/>
    <w:rsid w:val="00832139"/>
    <w:rsid w:val="00850645"/>
    <w:rsid w:val="00850823"/>
    <w:rsid w:val="0085494A"/>
    <w:rsid w:val="00854A0F"/>
    <w:rsid w:val="008551BC"/>
    <w:rsid w:val="0085700E"/>
    <w:rsid w:val="0085706A"/>
    <w:rsid w:val="00857B52"/>
    <w:rsid w:val="00861E23"/>
    <w:rsid w:val="0087143C"/>
    <w:rsid w:val="00880A43"/>
    <w:rsid w:val="008A6F44"/>
    <w:rsid w:val="008B0A3C"/>
    <w:rsid w:val="008B419A"/>
    <w:rsid w:val="008B4248"/>
    <w:rsid w:val="008B59F9"/>
    <w:rsid w:val="008C408B"/>
    <w:rsid w:val="008C658A"/>
    <w:rsid w:val="008D10C8"/>
    <w:rsid w:val="008D1113"/>
    <w:rsid w:val="008D26D4"/>
    <w:rsid w:val="008D405A"/>
    <w:rsid w:val="008D435B"/>
    <w:rsid w:val="008E2600"/>
    <w:rsid w:val="008E51CD"/>
    <w:rsid w:val="008E5AF9"/>
    <w:rsid w:val="008E7880"/>
    <w:rsid w:val="008F158A"/>
    <w:rsid w:val="008F28FD"/>
    <w:rsid w:val="008F3EAF"/>
    <w:rsid w:val="008F6273"/>
    <w:rsid w:val="0090209B"/>
    <w:rsid w:val="00905BCF"/>
    <w:rsid w:val="0091040E"/>
    <w:rsid w:val="0091791E"/>
    <w:rsid w:val="00922ED1"/>
    <w:rsid w:val="009230E3"/>
    <w:rsid w:val="0093066F"/>
    <w:rsid w:val="009322E9"/>
    <w:rsid w:val="00935B07"/>
    <w:rsid w:val="009360DC"/>
    <w:rsid w:val="0094322D"/>
    <w:rsid w:val="0094406C"/>
    <w:rsid w:val="00944911"/>
    <w:rsid w:val="009468D3"/>
    <w:rsid w:val="00951BD1"/>
    <w:rsid w:val="009674FB"/>
    <w:rsid w:val="009727F5"/>
    <w:rsid w:val="009815F2"/>
    <w:rsid w:val="0098407B"/>
    <w:rsid w:val="0098746D"/>
    <w:rsid w:val="00987847"/>
    <w:rsid w:val="009915BD"/>
    <w:rsid w:val="00996F5B"/>
    <w:rsid w:val="00997004"/>
    <w:rsid w:val="009977F2"/>
    <w:rsid w:val="009A09EF"/>
    <w:rsid w:val="009A1F9D"/>
    <w:rsid w:val="009A2F74"/>
    <w:rsid w:val="009A59E2"/>
    <w:rsid w:val="009B7B73"/>
    <w:rsid w:val="009C42F5"/>
    <w:rsid w:val="009C4361"/>
    <w:rsid w:val="009D02D9"/>
    <w:rsid w:val="009D6B81"/>
    <w:rsid w:val="009E1ABD"/>
    <w:rsid w:val="009E692D"/>
    <w:rsid w:val="009F03B6"/>
    <w:rsid w:val="009F1725"/>
    <w:rsid w:val="009F4899"/>
    <w:rsid w:val="009F68FC"/>
    <w:rsid w:val="009F79CE"/>
    <w:rsid w:val="00A10911"/>
    <w:rsid w:val="00A11F4A"/>
    <w:rsid w:val="00A17D4A"/>
    <w:rsid w:val="00A30C2E"/>
    <w:rsid w:val="00A31F39"/>
    <w:rsid w:val="00A35634"/>
    <w:rsid w:val="00A36D2A"/>
    <w:rsid w:val="00A46B21"/>
    <w:rsid w:val="00A4763C"/>
    <w:rsid w:val="00A47AEF"/>
    <w:rsid w:val="00A47D0E"/>
    <w:rsid w:val="00A5298D"/>
    <w:rsid w:val="00A5482B"/>
    <w:rsid w:val="00A57E69"/>
    <w:rsid w:val="00A6159B"/>
    <w:rsid w:val="00A659AF"/>
    <w:rsid w:val="00A65ABD"/>
    <w:rsid w:val="00A65ACD"/>
    <w:rsid w:val="00A6714C"/>
    <w:rsid w:val="00A95966"/>
    <w:rsid w:val="00A97070"/>
    <w:rsid w:val="00AA193F"/>
    <w:rsid w:val="00AA1E82"/>
    <w:rsid w:val="00AA5458"/>
    <w:rsid w:val="00AA70DE"/>
    <w:rsid w:val="00AA7E8D"/>
    <w:rsid w:val="00AB3FA9"/>
    <w:rsid w:val="00AB4C9F"/>
    <w:rsid w:val="00AB6D88"/>
    <w:rsid w:val="00AB79BD"/>
    <w:rsid w:val="00AC0AC3"/>
    <w:rsid w:val="00AC1A53"/>
    <w:rsid w:val="00AC39BC"/>
    <w:rsid w:val="00AC557D"/>
    <w:rsid w:val="00AD284B"/>
    <w:rsid w:val="00AD4D46"/>
    <w:rsid w:val="00AE10C9"/>
    <w:rsid w:val="00AE3165"/>
    <w:rsid w:val="00AE630F"/>
    <w:rsid w:val="00AF3343"/>
    <w:rsid w:val="00AF3662"/>
    <w:rsid w:val="00AF74F0"/>
    <w:rsid w:val="00AF7D29"/>
    <w:rsid w:val="00B0592B"/>
    <w:rsid w:val="00B137E3"/>
    <w:rsid w:val="00B138EA"/>
    <w:rsid w:val="00B16239"/>
    <w:rsid w:val="00B22193"/>
    <w:rsid w:val="00B22CAD"/>
    <w:rsid w:val="00B26007"/>
    <w:rsid w:val="00B277B1"/>
    <w:rsid w:val="00B305A9"/>
    <w:rsid w:val="00B340F5"/>
    <w:rsid w:val="00B46484"/>
    <w:rsid w:val="00B55CA0"/>
    <w:rsid w:val="00B560B4"/>
    <w:rsid w:val="00B574C7"/>
    <w:rsid w:val="00B579FA"/>
    <w:rsid w:val="00B60169"/>
    <w:rsid w:val="00B666B9"/>
    <w:rsid w:val="00B72071"/>
    <w:rsid w:val="00B7245B"/>
    <w:rsid w:val="00B72A3B"/>
    <w:rsid w:val="00B74547"/>
    <w:rsid w:val="00B7543D"/>
    <w:rsid w:val="00B84AED"/>
    <w:rsid w:val="00B84C26"/>
    <w:rsid w:val="00B857E7"/>
    <w:rsid w:val="00B91864"/>
    <w:rsid w:val="00B937F0"/>
    <w:rsid w:val="00B94FE4"/>
    <w:rsid w:val="00BB1FC1"/>
    <w:rsid w:val="00BC1B51"/>
    <w:rsid w:val="00BC409D"/>
    <w:rsid w:val="00BC723F"/>
    <w:rsid w:val="00BD2EB8"/>
    <w:rsid w:val="00BD5AB0"/>
    <w:rsid w:val="00BD6D7E"/>
    <w:rsid w:val="00BD7E89"/>
    <w:rsid w:val="00BE1093"/>
    <w:rsid w:val="00BE1813"/>
    <w:rsid w:val="00BE19E8"/>
    <w:rsid w:val="00BE7355"/>
    <w:rsid w:val="00BF1529"/>
    <w:rsid w:val="00C01007"/>
    <w:rsid w:val="00C02B67"/>
    <w:rsid w:val="00C07965"/>
    <w:rsid w:val="00C17A03"/>
    <w:rsid w:val="00C23CD7"/>
    <w:rsid w:val="00C25749"/>
    <w:rsid w:val="00C26D4F"/>
    <w:rsid w:val="00C26FAB"/>
    <w:rsid w:val="00C27A69"/>
    <w:rsid w:val="00C31CFA"/>
    <w:rsid w:val="00C33131"/>
    <w:rsid w:val="00C3491C"/>
    <w:rsid w:val="00C3637D"/>
    <w:rsid w:val="00C422FF"/>
    <w:rsid w:val="00C429E4"/>
    <w:rsid w:val="00C44A1C"/>
    <w:rsid w:val="00C55C89"/>
    <w:rsid w:val="00C5733A"/>
    <w:rsid w:val="00C62CB4"/>
    <w:rsid w:val="00C65259"/>
    <w:rsid w:val="00C660E6"/>
    <w:rsid w:val="00C70BA6"/>
    <w:rsid w:val="00C70E32"/>
    <w:rsid w:val="00C713D9"/>
    <w:rsid w:val="00C80199"/>
    <w:rsid w:val="00C83257"/>
    <w:rsid w:val="00C87306"/>
    <w:rsid w:val="00C95FFF"/>
    <w:rsid w:val="00C97B9B"/>
    <w:rsid w:val="00CA08CE"/>
    <w:rsid w:val="00CB672B"/>
    <w:rsid w:val="00CB766A"/>
    <w:rsid w:val="00CB7FCB"/>
    <w:rsid w:val="00CC06E6"/>
    <w:rsid w:val="00CD193F"/>
    <w:rsid w:val="00CD2EF3"/>
    <w:rsid w:val="00CE1D99"/>
    <w:rsid w:val="00CE3A20"/>
    <w:rsid w:val="00CF116B"/>
    <w:rsid w:val="00D00492"/>
    <w:rsid w:val="00D00ECB"/>
    <w:rsid w:val="00D0386E"/>
    <w:rsid w:val="00D03F97"/>
    <w:rsid w:val="00D03FC4"/>
    <w:rsid w:val="00D052EB"/>
    <w:rsid w:val="00D10804"/>
    <w:rsid w:val="00D13900"/>
    <w:rsid w:val="00D30E67"/>
    <w:rsid w:val="00D35A77"/>
    <w:rsid w:val="00D373F2"/>
    <w:rsid w:val="00D50518"/>
    <w:rsid w:val="00D511B5"/>
    <w:rsid w:val="00D51232"/>
    <w:rsid w:val="00D539DE"/>
    <w:rsid w:val="00D549CC"/>
    <w:rsid w:val="00D556D6"/>
    <w:rsid w:val="00D55CFB"/>
    <w:rsid w:val="00D562F9"/>
    <w:rsid w:val="00D574A9"/>
    <w:rsid w:val="00D6060E"/>
    <w:rsid w:val="00D62D3F"/>
    <w:rsid w:val="00D62FFE"/>
    <w:rsid w:val="00D76268"/>
    <w:rsid w:val="00D76700"/>
    <w:rsid w:val="00D77076"/>
    <w:rsid w:val="00D807F7"/>
    <w:rsid w:val="00D81D9E"/>
    <w:rsid w:val="00D82B12"/>
    <w:rsid w:val="00D82E23"/>
    <w:rsid w:val="00D83BFC"/>
    <w:rsid w:val="00D83E75"/>
    <w:rsid w:val="00D8426B"/>
    <w:rsid w:val="00D84D28"/>
    <w:rsid w:val="00D854F6"/>
    <w:rsid w:val="00D863F4"/>
    <w:rsid w:val="00D9013B"/>
    <w:rsid w:val="00D95744"/>
    <w:rsid w:val="00DA11B9"/>
    <w:rsid w:val="00DA3153"/>
    <w:rsid w:val="00DA67AD"/>
    <w:rsid w:val="00DA7C37"/>
    <w:rsid w:val="00DB111C"/>
    <w:rsid w:val="00DB5B7B"/>
    <w:rsid w:val="00DC57C9"/>
    <w:rsid w:val="00DC70B7"/>
    <w:rsid w:val="00DE4ECC"/>
    <w:rsid w:val="00DE5B93"/>
    <w:rsid w:val="00DE6660"/>
    <w:rsid w:val="00DE693C"/>
    <w:rsid w:val="00DF4BB8"/>
    <w:rsid w:val="00DF6935"/>
    <w:rsid w:val="00DF6A31"/>
    <w:rsid w:val="00DF7FD0"/>
    <w:rsid w:val="00E01027"/>
    <w:rsid w:val="00E0765E"/>
    <w:rsid w:val="00E111B5"/>
    <w:rsid w:val="00E13F7B"/>
    <w:rsid w:val="00E14119"/>
    <w:rsid w:val="00E232EF"/>
    <w:rsid w:val="00E23C2E"/>
    <w:rsid w:val="00E26E7E"/>
    <w:rsid w:val="00E30C19"/>
    <w:rsid w:val="00E37272"/>
    <w:rsid w:val="00E37772"/>
    <w:rsid w:val="00E37AAD"/>
    <w:rsid w:val="00E4003F"/>
    <w:rsid w:val="00E4473A"/>
    <w:rsid w:val="00E45F06"/>
    <w:rsid w:val="00E50A91"/>
    <w:rsid w:val="00E51E69"/>
    <w:rsid w:val="00E52C0D"/>
    <w:rsid w:val="00E53D91"/>
    <w:rsid w:val="00E546E9"/>
    <w:rsid w:val="00E574EA"/>
    <w:rsid w:val="00E72822"/>
    <w:rsid w:val="00E739A6"/>
    <w:rsid w:val="00E7491E"/>
    <w:rsid w:val="00E845B3"/>
    <w:rsid w:val="00E877E9"/>
    <w:rsid w:val="00E916B5"/>
    <w:rsid w:val="00E92392"/>
    <w:rsid w:val="00E96373"/>
    <w:rsid w:val="00EA4537"/>
    <w:rsid w:val="00EA7430"/>
    <w:rsid w:val="00EB1C1B"/>
    <w:rsid w:val="00EB30CD"/>
    <w:rsid w:val="00EB5B50"/>
    <w:rsid w:val="00EB70A3"/>
    <w:rsid w:val="00EB70F8"/>
    <w:rsid w:val="00EC124D"/>
    <w:rsid w:val="00EC3074"/>
    <w:rsid w:val="00EC5F90"/>
    <w:rsid w:val="00EE1195"/>
    <w:rsid w:val="00EF12C0"/>
    <w:rsid w:val="00EF2D9A"/>
    <w:rsid w:val="00EF368B"/>
    <w:rsid w:val="00EF3FBC"/>
    <w:rsid w:val="00EF4EB4"/>
    <w:rsid w:val="00EF5F53"/>
    <w:rsid w:val="00EF668D"/>
    <w:rsid w:val="00EF743A"/>
    <w:rsid w:val="00F002FD"/>
    <w:rsid w:val="00F01DC1"/>
    <w:rsid w:val="00F02E43"/>
    <w:rsid w:val="00F053AB"/>
    <w:rsid w:val="00F07EFA"/>
    <w:rsid w:val="00F16C42"/>
    <w:rsid w:val="00F20712"/>
    <w:rsid w:val="00F24F70"/>
    <w:rsid w:val="00F30B4F"/>
    <w:rsid w:val="00F31230"/>
    <w:rsid w:val="00F32A44"/>
    <w:rsid w:val="00F34FDD"/>
    <w:rsid w:val="00F37806"/>
    <w:rsid w:val="00F42886"/>
    <w:rsid w:val="00F50920"/>
    <w:rsid w:val="00F55190"/>
    <w:rsid w:val="00F55B56"/>
    <w:rsid w:val="00F65821"/>
    <w:rsid w:val="00F67B8B"/>
    <w:rsid w:val="00F72704"/>
    <w:rsid w:val="00F736BC"/>
    <w:rsid w:val="00F75284"/>
    <w:rsid w:val="00F77F57"/>
    <w:rsid w:val="00F81186"/>
    <w:rsid w:val="00F8406A"/>
    <w:rsid w:val="00F86220"/>
    <w:rsid w:val="00F865AF"/>
    <w:rsid w:val="00F87C26"/>
    <w:rsid w:val="00F97FED"/>
    <w:rsid w:val="00FA1A14"/>
    <w:rsid w:val="00FA5E8E"/>
    <w:rsid w:val="00FB10FC"/>
    <w:rsid w:val="00FB245D"/>
    <w:rsid w:val="00FB76F8"/>
    <w:rsid w:val="00FC093E"/>
    <w:rsid w:val="00FC12FC"/>
    <w:rsid w:val="00FC2E16"/>
    <w:rsid w:val="00FD2B8E"/>
    <w:rsid w:val="00FD5750"/>
    <w:rsid w:val="00FF0CFB"/>
    <w:rsid w:val="00FF0F1F"/>
    <w:rsid w:val="00FF2B5D"/>
    <w:rsid w:val="00FF5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0706FE"/>
  <w15:chartTrackingRefBased/>
  <w15:docId w15:val="{5DDD6326-2DD2-4260-AC0E-7EAB63585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06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698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86984"/>
    <w:rPr>
      <w:sz w:val="18"/>
      <w:szCs w:val="18"/>
    </w:rPr>
  </w:style>
  <w:style w:type="paragraph" w:styleId="a5">
    <w:name w:val="footer"/>
    <w:basedOn w:val="a"/>
    <w:link w:val="a6"/>
    <w:uiPriority w:val="99"/>
    <w:unhideWhenUsed/>
    <w:rsid w:val="00186984"/>
    <w:pPr>
      <w:tabs>
        <w:tab w:val="center" w:pos="4153"/>
        <w:tab w:val="right" w:pos="8306"/>
      </w:tabs>
      <w:snapToGrid w:val="0"/>
      <w:jc w:val="left"/>
    </w:pPr>
    <w:rPr>
      <w:sz w:val="18"/>
      <w:szCs w:val="18"/>
    </w:rPr>
  </w:style>
  <w:style w:type="character" w:customStyle="1" w:styleId="a6">
    <w:name w:val="页脚 字符"/>
    <w:basedOn w:val="a0"/>
    <w:link w:val="a5"/>
    <w:uiPriority w:val="99"/>
    <w:rsid w:val="00186984"/>
    <w:rPr>
      <w:sz w:val="18"/>
      <w:szCs w:val="18"/>
    </w:rPr>
  </w:style>
  <w:style w:type="paragraph" w:styleId="a7">
    <w:name w:val="Revision"/>
    <w:hidden/>
    <w:uiPriority w:val="99"/>
    <w:semiHidden/>
    <w:rsid w:val="00A6714C"/>
  </w:style>
  <w:style w:type="table" w:styleId="a8">
    <w:name w:val="Table Grid"/>
    <w:basedOn w:val="a1"/>
    <w:uiPriority w:val="39"/>
    <w:rsid w:val="00C8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425929">
      <w:bodyDiv w:val="1"/>
      <w:marLeft w:val="0"/>
      <w:marRight w:val="0"/>
      <w:marTop w:val="0"/>
      <w:marBottom w:val="0"/>
      <w:divBdr>
        <w:top w:val="none" w:sz="0" w:space="0" w:color="auto"/>
        <w:left w:val="none" w:sz="0" w:space="0" w:color="auto"/>
        <w:bottom w:val="none" w:sz="0" w:space="0" w:color="auto"/>
        <w:right w:val="none" w:sz="0" w:space="0" w:color="auto"/>
      </w:divBdr>
      <w:divsChild>
        <w:div w:id="157427680">
          <w:marLeft w:val="0"/>
          <w:marRight w:val="0"/>
          <w:marTop w:val="75"/>
          <w:marBottom w:val="75"/>
          <w:divBdr>
            <w:top w:val="none" w:sz="0" w:space="0" w:color="auto"/>
            <w:left w:val="none" w:sz="0" w:space="0" w:color="auto"/>
            <w:bottom w:val="none" w:sz="0" w:space="0" w:color="auto"/>
            <w:right w:val="none" w:sz="0" w:space="0" w:color="auto"/>
          </w:divBdr>
          <w:divsChild>
            <w:div w:id="134663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9958">
      <w:bodyDiv w:val="1"/>
      <w:marLeft w:val="0"/>
      <w:marRight w:val="0"/>
      <w:marTop w:val="0"/>
      <w:marBottom w:val="0"/>
      <w:divBdr>
        <w:top w:val="none" w:sz="0" w:space="0" w:color="auto"/>
        <w:left w:val="none" w:sz="0" w:space="0" w:color="auto"/>
        <w:bottom w:val="none" w:sz="0" w:space="0" w:color="auto"/>
        <w:right w:val="none" w:sz="0" w:space="0" w:color="auto"/>
      </w:divBdr>
    </w:div>
    <w:div w:id="139420099">
      <w:bodyDiv w:val="1"/>
      <w:marLeft w:val="0"/>
      <w:marRight w:val="0"/>
      <w:marTop w:val="0"/>
      <w:marBottom w:val="0"/>
      <w:divBdr>
        <w:top w:val="none" w:sz="0" w:space="0" w:color="auto"/>
        <w:left w:val="none" w:sz="0" w:space="0" w:color="auto"/>
        <w:bottom w:val="none" w:sz="0" w:space="0" w:color="auto"/>
        <w:right w:val="none" w:sz="0" w:space="0" w:color="auto"/>
      </w:divBdr>
    </w:div>
    <w:div w:id="141243470">
      <w:bodyDiv w:val="1"/>
      <w:marLeft w:val="0"/>
      <w:marRight w:val="0"/>
      <w:marTop w:val="0"/>
      <w:marBottom w:val="0"/>
      <w:divBdr>
        <w:top w:val="none" w:sz="0" w:space="0" w:color="auto"/>
        <w:left w:val="none" w:sz="0" w:space="0" w:color="auto"/>
        <w:bottom w:val="none" w:sz="0" w:space="0" w:color="auto"/>
        <w:right w:val="none" w:sz="0" w:space="0" w:color="auto"/>
      </w:divBdr>
    </w:div>
    <w:div w:id="177352984">
      <w:bodyDiv w:val="1"/>
      <w:marLeft w:val="0"/>
      <w:marRight w:val="0"/>
      <w:marTop w:val="0"/>
      <w:marBottom w:val="0"/>
      <w:divBdr>
        <w:top w:val="none" w:sz="0" w:space="0" w:color="auto"/>
        <w:left w:val="none" w:sz="0" w:space="0" w:color="auto"/>
        <w:bottom w:val="none" w:sz="0" w:space="0" w:color="auto"/>
        <w:right w:val="none" w:sz="0" w:space="0" w:color="auto"/>
      </w:divBdr>
    </w:div>
    <w:div w:id="232206860">
      <w:bodyDiv w:val="1"/>
      <w:marLeft w:val="0"/>
      <w:marRight w:val="0"/>
      <w:marTop w:val="0"/>
      <w:marBottom w:val="0"/>
      <w:divBdr>
        <w:top w:val="none" w:sz="0" w:space="0" w:color="auto"/>
        <w:left w:val="none" w:sz="0" w:space="0" w:color="auto"/>
        <w:bottom w:val="none" w:sz="0" w:space="0" w:color="auto"/>
        <w:right w:val="none" w:sz="0" w:space="0" w:color="auto"/>
      </w:divBdr>
    </w:div>
    <w:div w:id="335348173">
      <w:bodyDiv w:val="1"/>
      <w:marLeft w:val="0"/>
      <w:marRight w:val="0"/>
      <w:marTop w:val="0"/>
      <w:marBottom w:val="0"/>
      <w:divBdr>
        <w:top w:val="none" w:sz="0" w:space="0" w:color="auto"/>
        <w:left w:val="none" w:sz="0" w:space="0" w:color="auto"/>
        <w:bottom w:val="none" w:sz="0" w:space="0" w:color="auto"/>
        <w:right w:val="none" w:sz="0" w:space="0" w:color="auto"/>
      </w:divBdr>
    </w:div>
    <w:div w:id="431366557">
      <w:bodyDiv w:val="1"/>
      <w:marLeft w:val="0"/>
      <w:marRight w:val="0"/>
      <w:marTop w:val="0"/>
      <w:marBottom w:val="0"/>
      <w:divBdr>
        <w:top w:val="none" w:sz="0" w:space="0" w:color="auto"/>
        <w:left w:val="none" w:sz="0" w:space="0" w:color="auto"/>
        <w:bottom w:val="none" w:sz="0" w:space="0" w:color="auto"/>
        <w:right w:val="none" w:sz="0" w:space="0" w:color="auto"/>
      </w:divBdr>
    </w:div>
    <w:div w:id="503012135">
      <w:bodyDiv w:val="1"/>
      <w:marLeft w:val="0"/>
      <w:marRight w:val="0"/>
      <w:marTop w:val="0"/>
      <w:marBottom w:val="0"/>
      <w:divBdr>
        <w:top w:val="none" w:sz="0" w:space="0" w:color="auto"/>
        <w:left w:val="none" w:sz="0" w:space="0" w:color="auto"/>
        <w:bottom w:val="none" w:sz="0" w:space="0" w:color="auto"/>
        <w:right w:val="none" w:sz="0" w:space="0" w:color="auto"/>
      </w:divBdr>
    </w:div>
    <w:div w:id="537551852">
      <w:bodyDiv w:val="1"/>
      <w:marLeft w:val="0"/>
      <w:marRight w:val="0"/>
      <w:marTop w:val="0"/>
      <w:marBottom w:val="0"/>
      <w:divBdr>
        <w:top w:val="none" w:sz="0" w:space="0" w:color="auto"/>
        <w:left w:val="none" w:sz="0" w:space="0" w:color="auto"/>
        <w:bottom w:val="none" w:sz="0" w:space="0" w:color="auto"/>
        <w:right w:val="none" w:sz="0" w:space="0" w:color="auto"/>
      </w:divBdr>
    </w:div>
    <w:div w:id="645595308">
      <w:bodyDiv w:val="1"/>
      <w:marLeft w:val="0"/>
      <w:marRight w:val="0"/>
      <w:marTop w:val="0"/>
      <w:marBottom w:val="0"/>
      <w:divBdr>
        <w:top w:val="none" w:sz="0" w:space="0" w:color="auto"/>
        <w:left w:val="none" w:sz="0" w:space="0" w:color="auto"/>
        <w:bottom w:val="none" w:sz="0" w:space="0" w:color="auto"/>
        <w:right w:val="none" w:sz="0" w:space="0" w:color="auto"/>
      </w:divBdr>
    </w:div>
    <w:div w:id="751319299">
      <w:bodyDiv w:val="1"/>
      <w:marLeft w:val="0"/>
      <w:marRight w:val="0"/>
      <w:marTop w:val="0"/>
      <w:marBottom w:val="0"/>
      <w:divBdr>
        <w:top w:val="none" w:sz="0" w:space="0" w:color="auto"/>
        <w:left w:val="none" w:sz="0" w:space="0" w:color="auto"/>
        <w:bottom w:val="none" w:sz="0" w:space="0" w:color="auto"/>
        <w:right w:val="none" w:sz="0" w:space="0" w:color="auto"/>
      </w:divBdr>
    </w:div>
    <w:div w:id="794640096">
      <w:bodyDiv w:val="1"/>
      <w:marLeft w:val="0"/>
      <w:marRight w:val="0"/>
      <w:marTop w:val="0"/>
      <w:marBottom w:val="0"/>
      <w:divBdr>
        <w:top w:val="none" w:sz="0" w:space="0" w:color="auto"/>
        <w:left w:val="none" w:sz="0" w:space="0" w:color="auto"/>
        <w:bottom w:val="none" w:sz="0" w:space="0" w:color="auto"/>
        <w:right w:val="none" w:sz="0" w:space="0" w:color="auto"/>
      </w:divBdr>
    </w:div>
    <w:div w:id="891236944">
      <w:bodyDiv w:val="1"/>
      <w:marLeft w:val="0"/>
      <w:marRight w:val="0"/>
      <w:marTop w:val="0"/>
      <w:marBottom w:val="0"/>
      <w:divBdr>
        <w:top w:val="none" w:sz="0" w:space="0" w:color="auto"/>
        <w:left w:val="none" w:sz="0" w:space="0" w:color="auto"/>
        <w:bottom w:val="none" w:sz="0" w:space="0" w:color="auto"/>
        <w:right w:val="none" w:sz="0" w:space="0" w:color="auto"/>
      </w:divBdr>
    </w:div>
    <w:div w:id="963578175">
      <w:bodyDiv w:val="1"/>
      <w:marLeft w:val="0"/>
      <w:marRight w:val="0"/>
      <w:marTop w:val="0"/>
      <w:marBottom w:val="0"/>
      <w:divBdr>
        <w:top w:val="none" w:sz="0" w:space="0" w:color="auto"/>
        <w:left w:val="none" w:sz="0" w:space="0" w:color="auto"/>
        <w:bottom w:val="none" w:sz="0" w:space="0" w:color="auto"/>
        <w:right w:val="none" w:sz="0" w:space="0" w:color="auto"/>
      </w:divBdr>
    </w:div>
    <w:div w:id="994913082">
      <w:bodyDiv w:val="1"/>
      <w:marLeft w:val="0"/>
      <w:marRight w:val="0"/>
      <w:marTop w:val="0"/>
      <w:marBottom w:val="0"/>
      <w:divBdr>
        <w:top w:val="none" w:sz="0" w:space="0" w:color="auto"/>
        <w:left w:val="none" w:sz="0" w:space="0" w:color="auto"/>
        <w:bottom w:val="none" w:sz="0" w:space="0" w:color="auto"/>
        <w:right w:val="none" w:sz="0" w:space="0" w:color="auto"/>
      </w:divBdr>
    </w:div>
    <w:div w:id="1017124403">
      <w:bodyDiv w:val="1"/>
      <w:marLeft w:val="0"/>
      <w:marRight w:val="0"/>
      <w:marTop w:val="0"/>
      <w:marBottom w:val="0"/>
      <w:divBdr>
        <w:top w:val="none" w:sz="0" w:space="0" w:color="auto"/>
        <w:left w:val="none" w:sz="0" w:space="0" w:color="auto"/>
        <w:bottom w:val="none" w:sz="0" w:space="0" w:color="auto"/>
        <w:right w:val="none" w:sz="0" w:space="0" w:color="auto"/>
      </w:divBdr>
    </w:div>
    <w:div w:id="1037050808">
      <w:bodyDiv w:val="1"/>
      <w:marLeft w:val="0"/>
      <w:marRight w:val="0"/>
      <w:marTop w:val="0"/>
      <w:marBottom w:val="0"/>
      <w:divBdr>
        <w:top w:val="none" w:sz="0" w:space="0" w:color="auto"/>
        <w:left w:val="none" w:sz="0" w:space="0" w:color="auto"/>
        <w:bottom w:val="none" w:sz="0" w:space="0" w:color="auto"/>
        <w:right w:val="none" w:sz="0" w:space="0" w:color="auto"/>
      </w:divBdr>
    </w:div>
    <w:div w:id="1116749263">
      <w:bodyDiv w:val="1"/>
      <w:marLeft w:val="0"/>
      <w:marRight w:val="0"/>
      <w:marTop w:val="0"/>
      <w:marBottom w:val="0"/>
      <w:divBdr>
        <w:top w:val="none" w:sz="0" w:space="0" w:color="auto"/>
        <w:left w:val="none" w:sz="0" w:space="0" w:color="auto"/>
        <w:bottom w:val="none" w:sz="0" w:space="0" w:color="auto"/>
        <w:right w:val="none" w:sz="0" w:space="0" w:color="auto"/>
      </w:divBdr>
    </w:div>
    <w:div w:id="1179004761">
      <w:bodyDiv w:val="1"/>
      <w:marLeft w:val="0"/>
      <w:marRight w:val="0"/>
      <w:marTop w:val="0"/>
      <w:marBottom w:val="0"/>
      <w:divBdr>
        <w:top w:val="none" w:sz="0" w:space="0" w:color="auto"/>
        <w:left w:val="none" w:sz="0" w:space="0" w:color="auto"/>
        <w:bottom w:val="none" w:sz="0" w:space="0" w:color="auto"/>
        <w:right w:val="none" w:sz="0" w:space="0" w:color="auto"/>
      </w:divBdr>
    </w:div>
    <w:div w:id="1320617539">
      <w:bodyDiv w:val="1"/>
      <w:marLeft w:val="0"/>
      <w:marRight w:val="0"/>
      <w:marTop w:val="0"/>
      <w:marBottom w:val="0"/>
      <w:divBdr>
        <w:top w:val="none" w:sz="0" w:space="0" w:color="auto"/>
        <w:left w:val="none" w:sz="0" w:space="0" w:color="auto"/>
        <w:bottom w:val="none" w:sz="0" w:space="0" w:color="auto"/>
        <w:right w:val="none" w:sz="0" w:space="0" w:color="auto"/>
      </w:divBdr>
    </w:div>
    <w:div w:id="1357542537">
      <w:bodyDiv w:val="1"/>
      <w:marLeft w:val="0"/>
      <w:marRight w:val="0"/>
      <w:marTop w:val="0"/>
      <w:marBottom w:val="0"/>
      <w:divBdr>
        <w:top w:val="none" w:sz="0" w:space="0" w:color="auto"/>
        <w:left w:val="none" w:sz="0" w:space="0" w:color="auto"/>
        <w:bottom w:val="none" w:sz="0" w:space="0" w:color="auto"/>
        <w:right w:val="none" w:sz="0" w:space="0" w:color="auto"/>
      </w:divBdr>
    </w:div>
    <w:div w:id="1549299600">
      <w:bodyDiv w:val="1"/>
      <w:marLeft w:val="0"/>
      <w:marRight w:val="0"/>
      <w:marTop w:val="0"/>
      <w:marBottom w:val="0"/>
      <w:divBdr>
        <w:top w:val="none" w:sz="0" w:space="0" w:color="auto"/>
        <w:left w:val="none" w:sz="0" w:space="0" w:color="auto"/>
        <w:bottom w:val="none" w:sz="0" w:space="0" w:color="auto"/>
        <w:right w:val="none" w:sz="0" w:space="0" w:color="auto"/>
      </w:divBdr>
    </w:div>
    <w:div w:id="1572885038">
      <w:bodyDiv w:val="1"/>
      <w:marLeft w:val="0"/>
      <w:marRight w:val="0"/>
      <w:marTop w:val="0"/>
      <w:marBottom w:val="0"/>
      <w:divBdr>
        <w:top w:val="none" w:sz="0" w:space="0" w:color="auto"/>
        <w:left w:val="none" w:sz="0" w:space="0" w:color="auto"/>
        <w:bottom w:val="none" w:sz="0" w:space="0" w:color="auto"/>
        <w:right w:val="none" w:sz="0" w:space="0" w:color="auto"/>
      </w:divBdr>
    </w:div>
    <w:div w:id="1608388579">
      <w:bodyDiv w:val="1"/>
      <w:marLeft w:val="0"/>
      <w:marRight w:val="0"/>
      <w:marTop w:val="0"/>
      <w:marBottom w:val="0"/>
      <w:divBdr>
        <w:top w:val="none" w:sz="0" w:space="0" w:color="auto"/>
        <w:left w:val="none" w:sz="0" w:space="0" w:color="auto"/>
        <w:bottom w:val="none" w:sz="0" w:space="0" w:color="auto"/>
        <w:right w:val="none" w:sz="0" w:space="0" w:color="auto"/>
      </w:divBdr>
    </w:div>
    <w:div w:id="1655455036">
      <w:bodyDiv w:val="1"/>
      <w:marLeft w:val="0"/>
      <w:marRight w:val="0"/>
      <w:marTop w:val="0"/>
      <w:marBottom w:val="0"/>
      <w:divBdr>
        <w:top w:val="none" w:sz="0" w:space="0" w:color="auto"/>
        <w:left w:val="none" w:sz="0" w:space="0" w:color="auto"/>
        <w:bottom w:val="none" w:sz="0" w:space="0" w:color="auto"/>
        <w:right w:val="none" w:sz="0" w:space="0" w:color="auto"/>
      </w:divBdr>
    </w:div>
    <w:div w:id="1707287663">
      <w:bodyDiv w:val="1"/>
      <w:marLeft w:val="0"/>
      <w:marRight w:val="0"/>
      <w:marTop w:val="0"/>
      <w:marBottom w:val="0"/>
      <w:divBdr>
        <w:top w:val="none" w:sz="0" w:space="0" w:color="auto"/>
        <w:left w:val="none" w:sz="0" w:space="0" w:color="auto"/>
        <w:bottom w:val="none" w:sz="0" w:space="0" w:color="auto"/>
        <w:right w:val="none" w:sz="0" w:space="0" w:color="auto"/>
      </w:divBdr>
    </w:div>
    <w:div w:id="1764455637">
      <w:bodyDiv w:val="1"/>
      <w:marLeft w:val="0"/>
      <w:marRight w:val="0"/>
      <w:marTop w:val="0"/>
      <w:marBottom w:val="0"/>
      <w:divBdr>
        <w:top w:val="none" w:sz="0" w:space="0" w:color="auto"/>
        <w:left w:val="none" w:sz="0" w:space="0" w:color="auto"/>
        <w:bottom w:val="none" w:sz="0" w:space="0" w:color="auto"/>
        <w:right w:val="none" w:sz="0" w:space="0" w:color="auto"/>
      </w:divBdr>
    </w:div>
    <w:div w:id="1802306543">
      <w:bodyDiv w:val="1"/>
      <w:marLeft w:val="0"/>
      <w:marRight w:val="0"/>
      <w:marTop w:val="0"/>
      <w:marBottom w:val="0"/>
      <w:divBdr>
        <w:top w:val="none" w:sz="0" w:space="0" w:color="auto"/>
        <w:left w:val="none" w:sz="0" w:space="0" w:color="auto"/>
        <w:bottom w:val="none" w:sz="0" w:space="0" w:color="auto"/>
        <w:right w:val="none" w:sz="0" w:space="0" w:color="auto"/>
      </w:divBdr>
    </w:div>
    <w:div w:id="1805391071">
      <w:bodyDiv w:val="1"/>
      <w:marLeft w:val="0"/>
      <w:marRight w:val="0"/>
      <w:marTop w:val="0"/>
      <w:marBottom w:val="0"/>
      <w:divBdr>
        <w:top w:val="none" w:sz="0" w:space="0" w:color="auto"/>
        <w:left w:val="none" w:sz="0" w:space="0" w:color="auto"/>
        <w:bottom w:val="none" w:sz="0" w:space="0" w:color="auto"/>
        <w:right w:val="none" w:sz="0" w:space="0" w:color="auto"/>
      </w:divBdr>
    </w:div>
    <w:div w:id="1861429238">
      <w:bodyDiv w:val="1"/>
      <w:marLeft w:val="0"/>
      <w:marRight w:val="0"/>
      <w:marTop w:val="0"/>
      <w:marBottom w:val="0"/>
      <w:divBdr>
        <w:top w:val="none" w:sz="0" w:space="0" w:color="auto"/>
        <w:left w:val="none" w:sz="0" w:space="0" w:color="auto"/>
        <w:bottom w:val="none" w:sz="0" w:space="0" w:color="auto"/>
        <w:right w:val="none" w:sz="0" w:space="0" w:color="auto"/>
      </w:divBdr>
    </w:div>
    <w:div w:id="1873374149">
      <w:bodyDiv w:val="1"/>
      <w:marLeft w:val="0"/>
      <w:marRight w:val="0"/>
      <w:marTop w:val="0"/>
      <w:marBottom w:val="0"/>
      <w:divBdr>
        <w:top w:val="none" w:sz="0" w:space="0" w:color="auto"/>
        <w:left w:val="none" w:sz="0" w:space="0" w:color="auto"/>
        <w:bottom w:val="none" w:sz="0" w:space="0" w:color="auto"/>
        <w:right w:val="none" w:sz="0" w:space="0" w:color="auto"/>
      </w:divBdr>
    </w:div>
    <w:div w:id="1935239253">
      <w:bodyDiv w:val="1"/>
      <w:marLeft w:val="0"/>
      <w:marRight w:val="0"/>
      <w:marTop w:val="0"/>
      <w:marBottom w:val="0"/>
      <w:divBdr>
        <w:top w:val="none" w:sz="0" w:space="0" w:color="auto"/>
        <w:left w:val="none" w:sz="0" w:space="0" w:color="auto"/>
        <w:bottom w:val="none" w:sz="0" w:space="0" w:color="auto"/>
        <w:right w:val="none" w:sz="0" w:space="0" w:color="auto"/>
      </w:divBdr>
    </w:div>
    <w:div w:id="1973555160">
      <w:bodyDiv w:val="1"/>
      <w:marLeft w:val="0"/>
      <w:marRight w:val="0"/>
      <w:marTop w:val="0"/>
      <w:marBottom w:val="0"/>
      <w:divBdr>
        <w:top w:val="none" w:sz="0" w:space="0" w:color="auto"/>
        <w:left w:val="none" w:sz="0" w:space="0" w:color="auto"/>
        <w:bottom w:val="none" w:sz="0" w:space="0" w:color="auto"/>
        <w:right w:val="none" w:sz="0" w:space="0" w:color="auto"/>
      </w:divBdr>
    </w:div>
    <w:div w:id="1974478203">
      <w:bodyDiv w:val="1"/>
      <w:marLeft w:val="0"/>
      <w:marRight w:val="0"/>
      <w:marTop w:val="0"/>
      <w:marBottom w:val="0"/>
      <w:divBdr>
        <w:top w:val="none" w:sz="0" w:space="0" w:color="auto"/>
        <w:left w:val="none" w:sz="0" w:space="0" w:color="auto"/>
        <w:bottom w:val="none" w:sz="0" w:space="0" w:color="auto"/>
        <w:right w:val="none" w:sz="0" w:space="0" w:color="auto"/>
      </w:divBdr>
    </w:div>
    <w:div w:id="1991208325">
      <w:bodyDiv w:val="1"/>
      <w:marLeft w:val="0"/>
      <w:marRight w:val="0"/>
      <w:marTop w:val="0"/>
      <w:marBottom w:val="0"/>
      <w:divBdr>
        <w:top w:val="none" w:sz="0" w:space="0" w:color="auto"/>
        <w:left w:val="none" w:sz="0" w:space="0" w:color="auto"/>
        <w:bottom w:val="none" w:sz="0" w:space="0" w:color="auto"/>
        <w:right w:val="none" w:sz="0" w:space="0" w:color="auto"/>
      </w:divBdr>
    </w:div>
    <w:div w:id="2052339757">
      <w:bodyDiv w:val="1"/>
      <w:marLeft w:val="0"/>
      <w:marRight w:val="0"/>
      <w:marTop w:val="0"/>
      <w:marBottom w:val="0"/>
      <w:divBdr>
        <w:top w:val="none" w:sz="0" w:space="0" w:color="auto"/>
        <w:left w:val="none" w:sz="0" w:space="0" w:color="auto"/>
        <w:bottom w:val="none" w:sz="0" w:space="0" w:color="auto"/>
        <w:right w:val="none" w:sz="0" w:space="0" w:color="auto"/>
      </w:divBdr>
    </w:div>
    <w:div w:id="209534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6872B-B45A-40E6-B339-4085519EC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EVEN</cp:lastModifiedBy>
  <cp:revision>61</cp:revision>
  <dcterms:created xsi:type="dcterms:W3CDTF">2026-01-20T07:08:00Z</dcterms:created>
  <dcterms:modified xsi:type="dcterms:W3CDTF">2026-08-31T09:09:00Z</dcterms:modified>
</cp:coreProperties>
</file>