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3C210">
      <w:pPr>
        <w:adjustRightInd w:val="0"/>
        <w:snapToGrid w:val="0"/>
        <w:spacing w:line="360" w:lineRule="auto"/>
        <w:jc w:val="left"/>
        <w:rPr>
          <w:rFonts w:hint="eastAsia" w:ascii="宋体" w:hAnsi="宋体"/>
          <w:sz w:val="24"/>
        </w:rPr>
      </w:pPr>
      <w:bookmarkStart w:id="0" w:name="_GoBack"/>
      <w:bookmarkEnd w:id="0"/>
      <w:r>
        <w:rPr>
          <w:rFonts w:hint="eastAsia" w:ascii="宋体" w:hAnsi="宋体"/>
          <w:sz w:val="24"/>
        </w:rPr>
        <w:t>证券代码：</w:t>
      </w:r>
      <w:r>
        <w:rPr>
          <w:rFonts w:ascii="宋体" w:hAnsi="宋体"/>
          <w:sz w:val="24"/>
        </w:rPr>
        <w:t>688456</w:t>
      </w:r>
      <w:r>
        <w:rPr>
          <w:rFonts w:hint="eastAsia" w:ascii="宋体" w:hAnsi="宋体"/>
          <w:sz w:val="24"/>
        </w:rPr>
        <w:t xml:space="preserve">       </w:t>
      </w:r>
      <w:r>
        <w:rPr>
          <w:rFonts w:ascii="宋体" w:hAnsi="宋体"/>
          <w:sz w:val="24"/>
        </w:rPr>
        <w:t xml:space="preserve">                            </w:t>
      </w:r>
      <w:r>
        <w:rPr>
          <w:rFonts w:hint="eastAsia" w:ascii="宋体" w:hAnsi="宋体"/>
          <w:sz w:val="24"/>
        </w:rPr>
        <w:t>证券简称：有研粉材</w:t>
      </w:r>
    </w:p>
    <w:p w14:paraId="2FC8B190">
      <w:pPr>
        <w:adjustRightInd w:val="0"/>
        <w:spacing w:line="360" w:lineRule="auto"/>
        <w:jc w:val="center"/>
        <w:rPr>
          <w:rFonts w:hint="eastAsia" w:ascii="宋体" w:hAnsi="宋体" w:cs="宋体"/>
          <w:b/>
          <w:color w:val="000000"/>
          <w:kern w:val="0"/>
          <w:sz w:val="24"/>
        </w:rPr>
      </w:pPr>
    </w:p>
    <w:p w14:paraId="41509B4F">
      <w:pPr>
        <w:adjustRightInd w:val="0"/>
        <w:spacing w:line="360" w:lineRule="auto"/>
        <w:jc w:val="center"/>
        <w:rPr>
          <w:rFonts w:hint="eastAsia" w:ascii="宋体" w:hAnsi="宋体"/>
          <w:b/>
          <w:bCs/>
          <w:color w:val="FF0000"/>
          <w:sz w:val="32"/>
          <w:szCs w:val="32"/>
        </w:rPr>
      </w:pPr>
      <w:r>
        <w:rPr>
          <w:rFonts w:hint="eastAsia" w:ascii="宋体" w:hAnsi="宋体"/>
          <w:b/>
          <w:bCs/>
          <w:color w:val="FF0000"/>
          <w:sz w:val="32"/>
          <w:szCs w:val="32"/>
        </w:rPr>
        <w:t>有研粉末新材料股份有限公司</w:t>
      </w:r>
    </w:p>
    <w:p w14:paraId="6516B7E1">
      <w:pPr>
        <w:adjustRightInd w:val="0"/>
        <w:spacing w:line="360" w:lineRule="auto"/>
        <w:jc w:val="center"/>
        <w:rPr>
          <w:rFonts w:hint="eastAsia"/>
          <w:b/>
          <w:bCs/>
          <w:color w:val="FF0000"/>
          <w:sz w:val="32"/>
          <w:szCs w:val="32"/>
        </w:rPr>
      </w:pPr>
      <w:r>
        <w:rPr>
          <w:rFonts w:hint="eastAsia"/>
          <w:b/>
          <w:bCs/>
          <w:color w:val="FF0000"/>
          <w:sz w:val="32"/>
          <w:szCs w:val="32"/>
        </w:rPr>
        <w:t>投资者关系活动记录表</w:t>
      </w:r>
    </w:p>
    <w:p w14:paraId="4C62EFCE">
      <w:pPr>
        <w:adjustRightInd w:val="0"/>
        <w:spacing w:line="360" w:lineRule="auto"/>
        <w:jc w:val="center"/>
        <w:rPr>
          <w:rFonts w:hint="eastAsia" w:ascii="宋体" w:hAnsi="宋体"/>
          <w:color w:val="000000"/>
          <w:sz w:val="24"/>
        </w:rPr>
      </w:pPr>
      <w:r>
        <w:rPr>
          <w:rFonts w:hint="eastAsia"/>
          <w:b/>
          <w:bCs/>
          <w:color w:val="FF0000"/>
          <w:sz w:val="32"/>
          <w:szCs w:val="32"/>
        </w:rPr>
        <w:t>（202</w:t>
      </w:r>
      <w:r>
        <w:rPr>
          <w:rFonts w:hint="eastAsia"/>
          <w:b/>
          <w:bCs/>
          <w:color w:val="FF0000"/>
          <w:sz w:val="32"/>
          <w:szCs w:val="32"/>
          <w:lang w:val="en-US" w:eastAsia="zh-CN"/>
        </w:rPr>
        <w:t>6</w:t>
      </w:r>
      <w:r>
        <w:rPr>
          <w:rFonts w:hint="eastAsia"/>
          <w:b/>
          <w:bCs/>
          <w:color w:val="FF0000"/>
          <w:sz w:val="32"/>
          <w:szCs w:val="32"/>
        </w:rPr>
        <w:t>年</w:t>
      </w:r>
      <w:r>
        <w:rPr>
          <w:rFonts w:hint="eastAsia"/>
          <w:b/>
          <w:bCs/>
          <w:color w:val="FF0000"/>
          <w:sz w:val="32"/>
          <w:szCs w:val="32"/>
          <w:lang w:val="en-US" w:eastAsia="zh-CN"/>
        </w:rPr>
        <w:t>8月6日、8月14日、8月20日</w:t>
      </w:r>
      <w:r>
        <w:rPr>
          <w:rFonts w:hint="eastAsia"/>
          <w:b/>
          <w:bCs/>
          <w:color w:val="FF0000"/>
          <w:sz w:val="32"/>
          <w:szCs w:val="32"/>
        </w:rPr>
        <w:t>）</w:t>
      </w:r>
    </w:p>
    <w:p w14:paraId="0A967DF7">
      <w:pPr>
        <w:spacing w:line="360" w:lineRule="auto"/>
        <w:rPr>
          <w:rFonts w:hint="eastAsia" w:ascii="宋体" w:hAnsi="宋体"/>
          <w:color w:val="000000"/>
          <w:sz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316"/>
      </w:tblGrid>
      <w:tr w14:paraId="10AF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A6B3530">
            <w:pPr>
              <w:spacing w:line="360" w:lineRule="auto"/>
              <w:rPr>
                <w:rFonts w:hint="eastAsia" w:ascii="宋体" w:hAnsi="宋体"/>
                <w:color w:val="000000"/>
                <w:sz w:val="24"/>
              </w:rPr>
            </w:pPr>
            <w:r>
              <w:rPr>
                <w:rFonts w:hint="eastAsia" w:ascii="宋体" w:hAnsi="宋体"/>
                <w:color w:val="000000"/>
                <w:sz w:val="24"/>
              </w:rPr>
              <w:t>投资者关系活动类别</w:t>
            </w:r>
          </w:p>
        </w:tc>
        <w:tc>
          <w:tcPr>
            <w:tcW w:w="6316" w:type="dxa"/>
          </w:tcPr>
          <w:p w14:paraId="0DE43EB8">
            <w:pPr>
              <w:spacing w:line="360" w:lineRule="auto"/>
              <w:rPr>
                <w:rFonts w:ascii="Courier New" w:hAnsi="Courier New" w:cs="Courier New"/>
                <w:sz w:val="27"/>
                <w:szCs w:val="27"/>
                <w:shd w:val="clear" w:color="auto" w:fill="FFFFFF"/>
              </w:rPr>
            </w:pPr>
            <w:r>
              <w:rPr>
                <w:rFonts w:hint="eastAsia" w:ascii="Segoe UI Symbol" w:hAnsi="Segoe UI Symbol" w:cs="Segoe UI Symbol"/>
                <w:sz w:val="27"/>
                <w:szCs w:val="27"/>
                <w:shd w:val="clear" w:color="auto" w:fill="FFFFFF"/>
                <w:lang w:eastAsia="zh-CN"/>
              </w:rPr>
              <w:t>☑</w:t>
            </w:r>
            <w:r>
              <w:rPr>
                <w:rFonts w:ascii="Courier New" w:hAnsi="Courier New" w:cs="Courier New"/>
                <w:sz w:val="27"/>
                <w:szCs w:val="27"/>
                <w:shd w:val="clear" w:color="auto" w:fill="FFFFFF"/>
              </w:rPr>
              <w:t>特定对象调研</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分析师会议</w:t>
            </w:r>
          </w:p>
          <w:p w14:paraId="0846C8E0">
            <w:pPr>
              <w:spacing w:line="360" w:lineRule="auto"/>
              <w:rPr>
                <w:rFonts w:ascii="Courier New" w:hAnsi="Courier New" w:cs="Courier New"/>
                <w:sz w:val="27"/>
                <w:szCs w:val="27"/>
                <w:shd w:val="clear" w:color="auto" w:fill="FFFFFF"/>
              </w:rPr>
            </w:pPr>
            <w:r>
              <w:rPr>
                <w:rFonts w:hint="eastAsia" w:ascii="宋体" w:hAnsi="宋体" w:cs="Arial"/>
                <w:sz w:val="27"/>
                <w:szCs w:val="27"/>
                <w:shd w:val="clear" w:color="auto" w:fill="FFFFFF"/>
              </w:rPr>
              <w:t>□</w:t>
            </w:r>
            <w:r>
              <w:rPr>
                <w:rFonts w:ascii="Courier New" w:hAnsi="Courier New" w:cs="Courier New"/>
                <w:sz w:val="27"/>
                <w:szCs w:val="27"/>
                <w:shd w:val="clear" w:color="auto" w:fill="FFFFFF"/>
              </w:rPr>
              <w:t>媒体采访</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业绩说明会</w:t>
            </w:r>
          </w:p>
          <w:p w14:paraId="1E94FD6A">
            <w:pPr>
              <w:spacing w:line="360" w:lineRule="auto"/>
              <w:rPr>
                <w:rFonts w:ascii="Courier New" w:hAnsi="Courier New" w:cs="Courier New"/>
                <w:sz w:val="27"/>
                <w:szCs w:val="27"/>
                <w:shd w:val="clear" w:color="auto" w:fill="FFFFFF"/>
              </w:rPr>
            </w:pPr>
            <w:r>
              <w:rPr>
                <w:rFonts w:hint="eastAsia" w:ascii="宋体" w:hAnsi="宋体" w:cs="Arial"/>
                <w:sz w:val="27"/>
                <w:szCs w:val="27"/>
                <w:shd w:val="clear" w:color="auto" w:fill="FFFFFF"/>
              </w:rPr>
              <w:t>□</w:t>
            </w:r>
            <w:r>
              <w:rPr>
                <w:rFonts w:ascii="Courier New" w:hAnsi="Courier New" w:cs="Courier New"/>
                <w:sz w:val="27"/>
                <w:szCs w:val="27"/>
                <w:shd w:val="clear" w:color="auto" w:fill="FFFFFF"/>
              </w:rPr>
              <w:t>新闻发布会</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路演活动</w:t>
            </w:r>
          </w:p>
          <w:p w14:paraId="54CA7C49">
            <w:pPr>
              <w:spacing w:line="360" w:lineRule="auto"/>
              <w:rPr>
                <w:rFonts w:hint="eastAsia" w:ascii="宋体" w:hAnsi="宋体" w:cs="Arial"/>
                <w:sz w:val="27"/>
                <w:szCs w:val="27"/>
                <w:shd w:val="clear" w:color="auto" w:fill="FFFFFF"/>
              </w:rPr>
            </w:pPr>
            <w:r>
              <w:rPr>
                <w:rFonts w:hint="eastAsia" w:ascii="宋体" w:hAnsi="宋体" w:cs="Arial"/>
                <w:sz w:val="27"/>
                <w:szCs w:val="27"/>
                <w:shd w:val="clear" w:color="auto" w:fill="FFFFFF"/>
              </w:rPr>
              <w:t xml:space="preserve">□现场参观 </w:t>
            </w:r>
            <w:r>
              <w:rPr>
                <w:rFonts w:ascii="宋体" w:hAnsi="宋体" w:cs="Arial"/>
                <w:sz w:val="27"/>
                <w:szCs w:val="27"/>
                <w:shd w:val="clear" w:color="auto" w:fill="FFFFFF"/>
              </w:rPr>
              <w:t xml:space="preserve">       </w:t>
            </w:r>
            <w:r>
              <w:rPr>
                <w:rFonts w:hint="eastAsia" w:ascii="宋体" w:hAnsi="宋体" w:cs="Arial"/>
                <w:sz w:val="27"/>
                <w:szCs w:val="27"/>
                <w:shd w:val="clear" w:color="auto" w:fill="FFFFFF"/>
              </w:rPr>
              <w:t xml:space="preserve"> </w:t>
            </w:r>
            <w:r>
              <w:rPr>
                <w:rFonts w:ascii="宋体" w:hAnsi="宋体" w:cs="Arial"/>
                <w:sz w:val="27"/>
                <w:szCs w:val="27"/>
                <w:shd w:val="clear" w:color="auto" w:fill="FFFFFF"/>
              </w:rPr>
              <w:t xml:space="preserve">  </w:t>
            </w:r>
            <w:r>
              <w:rPr>
                <w:rFonts w:hint="eastAsia" w:ascii="宋体" w:hAnsi="宋体" w:cs="Arial"/>
                <w:sz w:val="27"/>
                <w:szCs w:val="27"/>
                <w:shd w:val="clear" w:color="auto" w:fill="FFFFFF"/>
              </w:rPr>
              <w:t>□电话会议</w:t>
            </w:r>
          </w:p>
          <w:p w14:paraId="770EDFDF">
            <w:pPr>
              <w:spacing w:line="360" w:lineRule="auto"/>
              <w:rPr>
                <w:rFonts w:hint="eastAsia" w:ascii="宋体" w:hAnsi="宋体"/>
                <w:color w:val="000000"/>
                <w:sz w:val="24"/>
              </w:rPr>
            </w:pPr>
            <w:r>
              <w:rPr>
                <w:rFonts w:hint="eastAsia" w:ascii="宋体" w:hAnsi="宋体" w:cs="Arial"/>
                <w:sz w:val="27"/>
                <w:szCs w:val="27"/>
                <w:shd w:val="clear" w:color="auto" w:fill="FFFFFF"/>
                <w:lang w:eastAsia="zh-CN"/>
              </w:rPr>
              <w:t>□</w:t>
            </w:r>
            <w:r>
              <w:rPr>
                <w:rFonts w:hint="eastAsia" w:ascii="宋体" w:hAnsi="宋体" w:cs="Arial"/>
                <w:sz w:val="27"/>
                <w:szCs w:val="27"/>
                <w:shd w:val="clear" w:color="auto" w:fill="FFFFFF"/>
              </w:rPr>
              <w:t>其他</w:t>
            </w:r>
          </w:p>
        </w:tc>
      </w:tr>
      <w:tr w14:paraId="1D41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44F4F4C">
            <w:pPr>
              <w:spacing w:line="360" w:lineRule="auto"/>
              <w:rPr>
                <w:rFonts w:hint="eastAsia" w:ascii="宋体" w:hAnsi="宋体"/>
                <w:color w:val="000000"/>
                <w:sz w:val="24"/>
              </w:rPr>
            </w:pPr>
            <w:r>
              <w:rPr>
                <w:rFonts w:hint="eastAsia" w:ascii="宋体" w:hAnsi="宋体"/>
                <w:color w:val="000000"/>
                <w:sz w:val="24"/>
              </w:rPr>
              <w:t>参与单位名称</w:t>
            </w:r>
          </w:p>
        </w:tc>
        <w:tc>
          <w:tcPr>
            <w:tcW w:w="6316" w:type="dxa"/>
          </w:tcPr>
          <w:p w14:paraId="46317796">
            <w:pPr>
              <w:spacing w:line="360" w:lineRule="auto"/>
              <w:rPr>
                <w:rFonts w:hint="default" w:ascii="宋体" w:hAnsi="宋体" w:eastAsia="宋体"/>
                <w:color w:val="000000"/>
                <w:sz w:val="24"/>
                <w:lang w:val="en-US" w:eastAsia="zh-CN"/>
              </w:rPr>
            </w:pPr>
            <w:r>
              <w:rPr>
                <w:rFonts w:hint="eastAsia" w:ascii="宋体" w:hAnsi="宋体"/>
                <w:color w:val="000000"/>
                <w:sz w:val="24"/>
                <w:lang w:val="en-US" w:eastAsia="zh-CN"/>
              </w:rPr>
              <w:t>华西证券、长盛基金、建信基金、中邮保险资管、国新投资、天弘基金、中哲物产集团、泉果基金、建信养老金、建信基金、中信建投、泰康基金、中信证券</w:t>
            </w:r>
          </w:p>
        </w:tc>
      </w:tr>
      <w:tr w14:paraId="0E66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813797F">
            <w:pPr>
              <w:spacing w:line="360" w:lineRule="auto"/>
              <w:rPr>
                <w:rFonts w:hint="eastAsia" w:ascii="宋体" w:hAnsi="宋体"/>
                <w:color w:val="000000"/>
                <w:sz w:val="24"/>
              </w:rPr>
            </w:pPr>
            <w:r>
              <w:rPr>
                <w:rFonts w:hint="eastAsia" w:ascii="宋体" w:hAnsi="宋体"/>
                <w:color w:val="000000"/>
                <w:sz w:val="24"/>
              </w:rPr>
              <w:t>会议时间</w:t>
            </w:r>
          </w:p>
        </w:tc>
        <w:tc>
          <w:tcPr>
            <w:tcW w:w="6316" w:type="dxa"/>
          </w:tcPr>
          <w:p w14:paraId="2B865F81">
            <w:pPr>
              <w:spacing w:line="360" w:lineRule="auto"/>
              <w:rPr>
                <w:rFonts w:hint="eastAsia" w:ascii="宋体" w:hAnsi="宋体"/>
                <w:color w:val="000000"/>
                <w:sz w:val="24"/>
                <w:lang w:val="en-US" w:eastAsia="zh-CN"/>
              </w:rPr>
            </w:pPr>
            <w:r>
              <w:rPr>
                <w:rFonts w:hint="eastAsia" w:ascii="宋体" w:hAnsi="宋体"/>
                <w:color w:val="000000"/>
                <w:sz w:val="24"/>
              </w:rPr>
              <w:t>202</w:t>
            </w:r>
            <w:r>
              <w:rPr>
                <w:rFonts w:hint="eastAsia" w:ascii="宋体" w:hAnsi="宋体"/>
                <w:color w:val="000000"/>
                <w:sz w:val="24"/>
                <w:lang w:val="en-US" w:eastAsia="zh-CN"/>
              </w:rPr>
              <w:t>6</w:t>
            </w:r>
            <w:r>
              <w:rPr>
                <w:rFonts w:hint="eastAsia" w:ascii="宋体" w:hAnsi="宋体"/>
                <w:color w:val="000000"/>
                <w:sz w:val="24"/>
              </w:rPr>
              <w:t>年</w:t>
            </w:r>
            <w:r>
              <w:rPr>
                <w:rFonts w:hint="eastAsia" w:ascii="宋体" w:hAnsi="宋体"/>
                <w:color w:val="000000"/>
                <w:sz w:val="24"/>
                <w:lang w:val="en-US" w:eastAsia="zh-CN"/>
              </w:rPr>
              <w:t>8月6日9:00-10:00</w:t>
            </w:r>
          </w:p>
          <w:p w14:paraId="7DA53A53">
            <w:pPr>
              <w:spacing w:line="360" w:lineRule="auto"/>
              <w:rPr>
                <w:rFonts w:hint="eastAsia" w:ascii="宋体" w:hAnsi="宋体"/>
                <w:color w:val="000000"/>
                <w:sz w:val="24"/>
                <w:lang w:val="en-US" w:eastAsia="zh-CN"/>
              </w:rPr>
            </w:pPr>
            <w:r>
              <w:rPr>
                <w:rFonts w:hint="eastAsia" w:ascii="宋体" w:hAnsi="宋体"/>
                <w:color w:val="000000"/>
                <w:sz w:val="24"/>
                <w:lang w:val="en-US" w:eastAsia="zh-CN"/>
              </w:rPr>
              <w:t>2026年8月14日9:00-10:00</w:t>
            </w:r>
          </w:p>
          <w:p w14:paraId="217B332C">
            <w:pPr>
              <w:spacing w:line="360" w:lineRule="auto"/>
              <w:rPr>
                <w:rFonts w:hint="default" w:ascii="宋体" w:hAnsi="宋体" w:eastAsia="宋体"/>
                <w:color w:val="000000"/>
                <w:sz w:val="24"/>
                <w:lang w:val="en-US" w:eastAsia="zh-CN"/>
              </w:rPr>
            </w:pPr>
            <w:r>
              <w:rPr>
                <w:rFonts w:hint="eastAsia" w:ascii="宋体" w:hAnsi="宋体"/>
                <w:color w:val="000000"/>
                <w:sz w:val="24"/>
                <w:lang w:val="en-US" w:eastAsia="zh-CN"/>
              </w:rPr>
              <w:t>2026年8月20日9:00-10:00</w:t>
            </w:r>
          </w:p>
        </w:tc>
      </w:tr>
      <w:tr w14:paraId="5182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9F826CB">
            <w:pPr>
              <w:spacing w:line="360" w:lineRule="auto"/>
              <w:rPr>
                <w:rFonts w:hint="eastAsia" w:ascii="宋体" w:hAnsi="宋体"/>
                <w:color w:val="000000"/>
                <w:sz w:val="24"/>
              </w:rPr>
            </w:pPr>
            <w:r>
              <w:rPr>
                <w:rFonts w:hint="eastAsia" w:ascii="宋体" w:hAnsi="宋体"/>
                <w:color w:val="000000"/>
                <w:sz w:val="24"/>
              </w:rPr>
              <w:t>会议地点</w:t>
            </w:r>
          </w:p>
        </w:tc>
        <w:tc>
          <w:tcPr>
            <w:tcW w:w="6316" w:type="dxa"/>
          </w:tcPr>
          <w:p w14:paraId="5FF4E85A">
            <w:pPr>
              <w:spacing w:line="360" w:lineRule="auto"/>
              <w:rPr>
                <w:rFonts w:hint="eastAsia" w:ascii="宋体" w:hAnsi="宋体" w:eastAsia="宋体"/>
                <w:color w:val="000000"/>
                <w:sz w:val="24"/>
                <w:lang w:val="en-US" w:eastAsia="zh-CN"/>
              </w:rPr>
            </w:pPr>
            <w:r>
              <w:rPr>
                <w:rFonts w:hint="eastAsia" w:ascii="宋体" w:hAnsi="宋体"/>
                <w:color w:val="000000"/>
                <w:sz w:val="24"/>
              </w:rPr>
              <w:t>有研</w:t>
            </w:r>
            <w:r>
              <w:rPr>
                <w:rFonts w:hint="eastAsia" w:ascii="宋体" w:hAnsi="宋体"/>
                <w:color w:val="000000"/>
                <w:sz w:val="24"/>
                <w:lang w:val="en-US" w:eastAsia="zh-CN"/>
              </w:rPr>
              <w:t>粉材</w:t>
            </w:r>
            <w:r>
              <w:rPr>
                <w:rFonts w:hint="eastAsia" w:ascii="宋体" w:hAnsi="宋体"/>
                <w:color w:val="000000"/>
                <w:sz w:val="24"/>
              </w:rPr>
              <w:t>会议室</w:t>
            </w:r>
          </w:p>
        </w:tc>
      </w:tr>
      <w:tr w14:paraId="6518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AEC00BD">
            <w:pPr>
              <w:spacing w:line="360" w:lineRule="auto"/>
              <w:rPr>
                <w:rFonts w:hint="eastAsia" w:ascii="宋体" w:hAnsi="宋体"/>
                <w:color w:val="000000"/>
                <w:sz w:val="24"/>
              </w:rPr>
            </w:pPr>
            <w:r>
              <w:rPr>
                <w:rFonts w:hint="eastAsia" w:ascii="宋体" w:hAnsi="宋体"/>
                <w:color w:val="000000"/>
                <w:sz w:val="24"/>
              </w:rPr>
              <w:t>上市公司接待人员</w:t>
            </w:r>
          </w:p>
        </w:tc>
        <w:tc>
          <w:tcPr>
            <w:tcW w:w="6316" w:type="dxa"/>
          </w:tcPr>
          <w:p w14:paraId="680B689C">
            <w:pPr>
              <w:spacing w:line="360" w:lineRule="auto"/>
              <w:rPr>
                <w:rFonts w:hint="eastAsia" w:ascii="宋体" w:hAnsi="宋体"/>
                <w:color w:val="000000"/>
                <w:sz w:val="24"/>
              </w:rPr>
            </w:pPr>
            <w:r>
              <w:rPr>
                <w:rFonts w:hint="eastAsia" w:ascii="宋体" w:hAnsi="宋体"/>
                <w:color w:val="000000"/>
                <w:sz w:val="24"/>
              </w:rPr>
              <w:t>董事会秘书、财务总监、总法律顾问：姜珊</w:t>
            </w:r>
          </w:p>
          <w:p w14:paraId="6F853A3F">
            <w:pPr>
              <w:spacing w:line="360" w:lineRule="auto"/>
              <w:rPr>
                <w:rFonts w:hint="default" w:ascii="宋体" w:hAnsi="宋体"/>
                <w:color w:val="000000"/>
                <w:sz w:val="24"/>
                <w:lang w:val="en-US" w:eastAsia="zh-CN"/>
              </w:rPr>
            </w:pPr>
            <w:r>
              <w:rPr>
                <w:rFonts w:hint="eastAsia" w:ascii="宋体" w:hAnsi="宋体"/>
                <w:color w:val="000000"/>
                <w:sz w:val="24"/>
              </w:rPr>
              <w:t>证券事务</w:t>
            </w:r>
            <w:r>
              <w:rPr>
                <w:rFonts w:hint="eastAsia" w:ascii="宋体" w:hAnsi="宋体"/>
                <w:color w:val="000000"/>
                <w:sz w:val="24"/>
                <w:lang w:val="en-US" w:eastAsia="zh-CN"/>
              </w:rPr>
              <w:t>代表</w:t>
            </w:r>
            <w:r>
              <w:rPr>
                <w:rFonts w:hint="eastAsia" w:ascii="宋体" w:hAnsi="宋体"/>
                <w:color w:val="000000"/>
                <w:sz w:val="24"/>
              </w:rPr>
              <w:t>：</w:t>
            </w:r>
            <w:r>
              <w:rPr>
                <w:rFonts w:hint="eastAsia" w:ascii="宋体" w:hAnsi="宋体"/>
                <w:color w:val="000000"/>
                <w:sz w:val="24"/>
                <w:lang w:val="en-US" w:eastAsia="zh-CN"/>
              </w:rPr>
              <w:t>王妍</w:t>
            </w:r>
          </w:p>
          <w:p w14:paraId="32BB01E5">
            <w:pPr>
              <w:spacing w:line="360" w:lineRule="auto"/>
              <w:rPr>
                <w:rFonts w:hint="default" w:ascii="宋体" w:hAnsi="宋体"/>
                <w:color w:val="000000"/>
                <w:sz w:val="24"/>
                <w:lang w:val="en-US" w:eastAsia="zh-CN"/>
              </w:rPr>
            </w:pPr>
            <w:r>
              <w:rPr>
                <w:rFonts w:hint="eastAsia" w:ascii="宋体" w:hAnsi="宋体"/>
                <w:color w:val="000000"/>
                <w:sz w:val="24"/>
                <w:lang w:val="en-US" w:eastAsia="zh-CN"/>
              </w:rPr>
              <w:t>证券事务专员：瓮佳星</w:t>
            </w:r>
          </w:p>
        </w:tc>
      </w:tr>
      <w:tr w14:paraId="6D49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5DA7896">
            <w:pPr>
              <w:spacing w:line="360" w:lineRule="auto"/>
              <w:rPr>
                <w:rFonts w:hint="eastAsia" w:ascii="宋体" w:hAnsi="宋体"/>
                <w:color w:val="000000"/>
                <w:sz w:val="24"/>
              </w:rPr>
            </w:pPr>
            <w:r>
              <w:rPr>
                <w:rFonts w:hint="eastAsia" w:ascii="宋体" w:hAnsi="宋体"/>
                <w:color w:val="000000"/>
                <w:sz w:val="24"/>
              </w:rPr>
              <w:t>投资者关系活动主要内容介绍</w:t>
            </w:r>
          </w:p>
        </w:tc>
        <w:tc>
          <w:tcPr>
            <w:tcW w:w="6316" w:type="dxa"/>
          </w:tcPr>
          <w:p w14:paraId="05B74F24">
            <w:pPr>
              <w:rPr>
                <w:rFonts w:hint="default" w:ascii="宋体" w:hAnsi="宋体"/>
                <w:color w:val="auto"/>
                <w:sz w:val="24"/>
                <w:lang w:val="en-US"/>
              </w:rPr>
            </w:pPr>
            <w:r>
              <w:rPr>
                <w:rFonts w:hint="eastAsia" w:ascii="宋体" w:hAnsi="宋体"/>
                <w:color w:val="auto"/>
                <w:sz w:val="24"/>
              </w:rPr>
              <w:t>Q1：</w:t>
            </w:r>
            <w:r>
              <w:rPr>
                <w:rFonts w:hint="eastAsia" w:ascii="宋体" w:hAnsi="宋体"/>
                <w:color w:val="auto"/>
                <w:sz w:val="24"/>
                <w:lang w:val="en-US" w:eastAsia="zh-CN"/>
              </w:rPr>
              <w:t>纳微公司的主营业务是哪些？</w:t>
            </w:r>
          </w:p>
          <w:p w14:paraId="7683C7EE">
            <w:pPr>
              <w:rPr>
                <w:rFonts w:hint="eastAsia" w:ascii="宋体" w:hAnsi="宋体"/>
                <w:color w:val="auto"/>
                <w:sz w:val="24"/>
              </w:rPr>
            </w:pPr>
            <w:r>
              <w:rPr>
                <w:rFonts w:hint="eastAsia" w:ascii="宋体" w:hAnsi="宋体"/>
                <w:color w:val="auto"/>
                <w:sz w:val="24"/>
              </w:rPr>
              <w:t>A1：</w:t>
            </w:r>
            <w:r>
              <w:rPr>
                <w:rFonts w:hint="eastAsia" w:ascii="宋体" w:hAnsi="宋体"/>
                <w:color w:val="auto"/>
                <w:sz w:val="24"/>
                <w:lang w:val="en-US" w:eastAsia="zh-CN"/>
              </w:rPr>
              <w:t>有研纳微公司</w:t>
            </w:r>
            <w:r>
              <w:rPr>
                <w:rFonts w:hint="eastAsia" w:ascii="宋体" w:hAnsi="宋体"/>
                <w:color w:val="auto"/>
                <w:sz w:val="24"/>
              </w:rPr>
              <w:t>成立于2023年，</w:t>
            </w:r>
            <w:r>
              <w:rPr>
                <w:rFonts w:hint="eastAsia" w:ascii="宋体" w:hAnsi="宋体"/>
                <w:color w:val="auto"/>
                <w:sz w:val="24"/>
                <w:lang w:val="en-US" w:eastAsia="zh-CN"/>
              </w:rPr>
              <w:t>目前主营光伏用锡膏，另外还有锡膏产品应用于mini led和分立元器件等</w:t>
            </w:r>
            <w:r>
              <w:rPr>
                <w:rFonts w:hint="eastAsia" w:ascii="宋体" w:hAnsi="宋体"/>
                <w:color w:val="auto"/>
                <w:sz w:val="24"/>
              </w:rPr>
              <w:t>。</w:t>
            </w:r>
          </w:p>
          <w:p w14:paraId="322D55B3">
            <w:pPr>
              <w:rPr>
                <w:rFonts w:hint="eastAsia" w:ascii="宋体" w:hAnsi="宋体"/>
                <w:color w:val="000000"/>
                <w:sz w:val="24"/>
                <w:lang w:val="en-US" w:eastAsia="zh-CN"/>
              </w:rPr>
            </w:pPr>
          </w:p>
          <w:p w14:paraId="15C883A7">
            <w:pPr>
              <w:rPr>
                <w:rFonts w:hint="default" w:ascii="宋体" w:hAnsi="宋体" w:eastAsia="宋体"/>
                <w:color w:val="000000"/>
                <w:sz w:val="24"/>
                <w:lang w:val="en-US" w:eastAsia="zh-CN"/>
              </w:rPr>
            </w:pPr>
            <w:r>
              <w:rPr>
                <w:rFonts w:hint="eastAsia" w:ascii="宋体" w:hAnsi="宋体"/>
                <w:color w:val="000000"/>
                <w:sz w:val="24"/>
              </w:rPr>
              <w:t>Q2：</w:t>
            </w:r>
            <w:r>
              <w:rPr>
                <w:rFonts w:hint="eastAsia" w:ascii="宋体" w:hAnsi="宋体"/>
                <w:color w:val="000000"/>
                <w:sz w:val="24"/>
                <w:lang w:val="en-US" w:eastAsia="zh-CN"/>
              </w:rPr>
              <w:t>锡粉和锡膏的技术壁垒体现在哪些方面？</w:t>
            </w:r>
          </w:p>
          <w:p w14:paraId="2F24BBF3">
            <w:pPr>
              <w:rPr>
                <w:rFonts w:hint="default" w:ascii="宋体" w:hAnsi="宋体" w:eastAsia="宋体"/>
                <w:color w:val="000000"/>
                <w:sz w:val="24"/>
                <w:lang w:val="en-US" w:eastAsia="zh-CN"/>
              </w:rPr>
            </w:pPr>
            <w:r>
              <w:rPr>
                <w:rFonts w:hint="eastAsia" w:ascii="宋体" w:hAnsi="宋体"/>
                <w:color w:val="000000"/>
                <w:sz w:val="24"/>
              </w:rPr>
              <w:t>A2：</w:t>
            </w:r>
            <w:r>
              <w:rPr>
                <w:rFonts w:hint="eastAsia" w:ascii="宋体" w:hAnsi="宋体"/>
                <w:color w:val="000000"/>
                <w:sz w:val="24"/>
                <w:lang w:val="en-US" w:eastAsia="zh-CN"/>
              </w:rPr>
              <w:t>有研粉材在锡粉和锡膏领域具备较高的技术壁垒，且两者壁垒侧重点不同。在锡粉方面，康普锡威公司是国内少有的能生产高端锡粉的企业，其技术壁垒主要体现在超细锡粉的球形度控制、氧含量控制等方面。在锡膏方面，有研纳微公司具备相关技术储备，能够生产高端锡膏产品，技术壁垒主要体现在助焊剂配方调配以及下游客户长期认证等方面。</w:t>
            </w:r>
          </w:p>
          <w:p w14:paraId="02D0473F">
            <w:pPr>
              <w:rPr>
                <w:rFonts w:hint="eastAsia" w:ascii="宋体" w:hAnsi="宋体"/>
                <w:color w:val="000000"/>
                <w:sz w:val="24"/>
              </w:rPr>
            </w:pPr>
          </w:p>
          <w:p w14:paraId="026DF861">
            <w:pPr>
              <w:rPr>
                <w:rFonts w:hint="default" w:ascii="宋体" w:hAnsi="宋体"/>
                <w:color w:val="000000"/>
                <w:sz w:val="24"/>
                <w:lang w:val="en-US" w:eastAsia="zh-CN"/>
              </w:rPr>
            </w:pPr>
            <w:r>
              <w:rPr>
                <w:rFonts w:hint="eastAsia" w:ascii="宋体" w:hAnsi="宋体"/>
                <w:color w:val="000000"/>
                <w:sz w:val="24"/>
                <w:lang w:val="en-US" w:eastAsia="zh-CN"/>
              </w:rPr>
              <w:t>Q3：高端锡粉产品今年出货量如何？</w:t>
            </w:r>
          </w:p>
          <w:p w14:paraId="4972C7FE">
            <w:pPr>
              <w:rPr>
                <w:rFonts w:hint="default" w:ascii="宋体" w:hAnsi="宋体"/>
                <w:color w:val="000000"/>
                <w:sz w:val="24"/>
                <w:lang w:val="en-US" w:eastAsia="zh-CN"/>
              </w:rPr>
            </w:pPr>
            <w:r>
              <w:rPr>
                <w:rFonts w:hint="eastAsia" w:ascii="宋体" w:hAnsi="宋体"/>
                <w:color w:val="000000"/>
                <w:sz w:val="24"/>
                <w:lang w:val="en-US" w:eastAsia="zh-CN"/>
              </w:rPr>
              <w:t>A3：上半年公司高端锡粉产品出货量整体平稳，</w:t>
            </w:r>
            <w:r>
              <w:rPr>
                <w:rFonts w:hint="eastAsia" w:ascii="宋体" w:hAnsi="宋体"/>
                <w:color w:val="000000"/>
                <w:sz w:val="24"/>
              </w:rPr>
              <w:t>受产品结构及市场推广阶段影响，</w:t>
            </w:r>
            <w:r>
              <w:rPr>
                <w:rFonts w:hint="eastAsia" w:ascii="宋体" w:hAnsi="宋体"/>
                <w:color w:val="000000"/>
                <w:sz w:val="24"/>
                <w:lang w:val="en-US" w:eastAsia="zh-CN"/>
              </w:rPr>
              <w:t>目前在锡粉业务整体收入中占比尚处于较低水平。</w:t>
            </w:r>
            <w:r>
              <w:rPr>
                <w:rFonts w:hint="eastAsia" w:ascii="宋体" w:hAnsi="宋体" w:cs="宋体"/>
                <w:sz w:val="24"/>
              </w:rPr>
              <w:t>随着下游高端应用领域需求逐步释放，公司将加快高端锡粉的市场渗透，进一步优化产品结构</w:t>
            </w:r>
            <w:r>
              <w:rPr>
                <w:rFonts w:hint="eastAsia" w:ascii="宋体" w:hAnsi="宋体"/>
                <w:color w:val="000000"/>
                <w:sz w:val="24"/>
                <w:lang w:val="en-US" w:eastAsia="zh-CN"/>
              </w:rPr>
              <w:t>。</w:t>
            </w:r>
          </w:p>
          <w:p w14:paraId="638DD52E">
            <w:pPr>
              <w:rPr>
                <w:rFonts w:hint="eastAsia" w:ascii="宋体" w:hAnsi="宋体"/>
                <w:color w:val="000000"/>
                <w:sz w:val="24"/>
                <w:lang w:val="en-US" w:eastAsia="zh-CN"/>
              </w:rPr>
            </w:pPr>
          </w:p>
          <w:p w14:paraId="5441A315">
            <w:pPr>
              <w:rPr>
                <w:rFonts w:hint="default" w:ascii="宋体" w:hAnsi="宋体"/>
                <w:color w:val="000000"/>
                <w:sz w:val="24"/>
                <w:lang w:val="en-US" w:eastAsia="zh-CN"/>
              </w:rPr>
            </w:pPr>
            <w:r>
              <w:rPr>
                <w:rFonts w:hint="eastAsia" w:ascii="宋体" w:hAnsi="宋体"/>
                <w:color w:val="000000"/>
                <w:sz w:val="24"/>
                <w:lang w:val="en-US" w:eastAsia="zh-CN"/>
              </w:rPr>
              <w:t>Q4：有研纳微公司目前主营光伏锡膏，如果后期下游市场爆发，公司如何考虑锡膏产品的扩张方向？</w:t>
            </w:r>
          </w:p>
          <w:p w14:paraId="72363D9B">
            <w:pPr>
              <w:rPr>
                <w:rFonts w:hint="default" w:ascii="宋体" w:hAnsi="宋体"/>
                <w:color w:val="000000"/>
                <w:sz w:val="24"/>
                <w:lang w:val="en-US" w:eastAsia="zh-CN"/>
              </w:rPr>
            </w:pPr>
            <w:r>
              <w:rPr>
                <w:rFonts w:hint="eastAsia" w:ascii="宋体" w:hAnsi="宋体"/>
                <w:color w:val="000000"/>
                <w:sz w:val="24"/>
                <w:lang w:val="en-US" w:eastAsia="zh-CN"/>
              </w:rPr>
              <w:t>A4：公司前期主营锡粉产品，为避免和下游客户竞争，有研纳微选择差异化路线，主营光伏锡膏。如果后期下游市场爆发，公司会慎重考虑扩张情况，并做好与客户间的沟通和协调。</w:t>
            </w:r>
          </w:p>
          <w:p w14:paraId="439D7908">
            <w:pPr>
              <w:rPr>
                <w:rFonts w:hint="eastAsia" w:ascii="宋体" w:hAnsi="宋体"/>
                <w:color w:val="000000"/>
                <w:sz w:val="24"/>
                <w:lang w:val="en-US" w:eastAsia="zh-CN"/>
              </w:rPr>
            </w:pPr>
          </w:p>
          <w:p w14:paraId="3CD5F478">
            <w:pPr>
              <w:rPr>
                <w:rFonts w:hint="default" w:ascii="宋体" w:hAnsi="宋体" w:eastAsia="宋体"/>
                <w:color w:val="000000"/>
                <w:sz w:val="24"/>
                <w:lang w:val="en-US" w:eastAsia="zh-CN"/>
              </w:rPr>
            </w:pPr>
            <w:r>
              <w:rPr>
                <w:rFonts w:hint="eastAsia" w:ascii="宋体" w:hAnsi="宋体"/>
                <w:color w:val="000000"/>
                <w:sz w:val="24"/>
              </w:rPr>
              <w:t>Q</w:t>
            </w:r>
            <w:r>
              <w:rPr>
                <w:rFonts w:hint="eastAsia" w:ascii="宋体" w:hAnsi="宋体"/>
                <w:color w:val="000000"/>
                <w:sz w:val="24"/>
                <w:lang w:val="en-US" w:eastAsia="zh-CN"/>
              </w:rPr>
              <w:t>5</w:t>
            </w:r>
            <w:r>
              <w:rPr>
                <w:rFonts w:hint="eastAsia" w:ascii="宋体" w:hAnsi="宋体"/>
                <w:color w:val="000000"/>
                <w:sz w:val="24"/>
              </w:rPr>
              <w:t>：</w:t>
            </w:r>
            <w:r>
              <w:rPr>
                <w:rFonts w:hint="eastAsia" w:ascii="宋体" w:hAnsi="宋体"/>
                <w:color w:val="000000"/>
                <w:sz w:val="24"/>
                <w:lang w:val="en-US" w:eastAsia="zh-CN"/>
              </w:rPr>
              <w:t>超细锡粉产能情况如何？扩产难度如何？</w:t>
            </w:r>
          </w:p>
          <w:p w14:paraId="5AAF886B">
            <w:pPr>
              <w:rPr>
                <w:rFonts w:hint="eastAsia" w:ascii="宋体" w:hAnsi="宋体"/>
                <w:color w:val="000000"/>
                <w:sz w:val="24"/>
                <w:highlight w:val="none"/>
                <w:lang w:val="en-US" w:eastAsia="zh-CN"/>
              </w:rPr>
            </w:pPr>
            <w:r>
              <w:rPr>
                <w:rFonts w:hint="eastAsia" w:ascii="宋体" w:hAnsi="宋体"/>
                <w:color w:val="000000"/>
                <w:sz w:val="24"/>
              </w:rPr>
              <w:t>A</w:t>
            </w:r>
            <w:r>
              <w:rPr>
                <w:rFonts w:hint="eastAsia" w:ascii="宋体" w:hAnsi="宋体"/>
                <w:color w:val="000000"/>
                <w:sz w:val="24"/>
                <w:lang w:val="en-US" w:eastAsia="zh-CN"/>
              </w:rPr>
              <w:t>5</w:t>
            </w:r>
            <w:r>
              <w:rPr>
                <w:rFonts w:hint="eastAsia" w:ascii="宋体" w:hAnsi="宋体"/>
                <w:color w:val="000000"/>
                <w:sz w:val="24"/>
              </w:rPr>
              <w:t>：公司现有设备具备制备高端锡粉产品的能力，可针对市场需求变化快速响应、灵活调整产能，扩产难度不大，能够高效实现产能提升</w:t>
            </w:r>
            <w:r>
              <w:rPr>
                <w:rFonts w:hint="eastAsia" w:ascii="宋体" w:hAnsi="宋体"/>
                <w:color w:val="000000"/>
                <w:sz w:val="24"/>
                <w:lang w:val="en-US" w:eastAsia="zh-CN"/>
              </w:rPr>
              <w:t>。</w:t>
            </w:r>
          </w:p>
          <w:p w14:paraId="26C743C2">
            <w:pPr>
              <w:rPr>
                <w:rFonts w:hint="eastAsia" w:ascii="宋体" w:hAnsi="宋体"/>
                <w:color w:val="000000"/>
                <w:sz w:val="24"/>
                <w:highlight w:val="none"/>
                <w:lang w:val="en-US" w:eastAsia="zh-CN"/>
              </w:rPr>
            </w:pPr>
          </w:p>
          <w:p w14:paraId="716A4B33">
            <w:pPr>
              <w:rPr>
                <w:rFonts w:hint="eastAsia" w:ascii="宋体" w:hAnsi="宋体"/>
                <w:color w:val="auto"/>
                <w:sz w:val="24"/>
                <w:lang w:val="en-US" w:eastAsia="zh-CN"/>
              </w:rPr>
            </w:pPr>
            <w:r>
              <w:rPr>
                <w:rFonts w:hint="eastAsia" w:ascii="宋体" w:hAnsi="宋体"/>
                <w:color w:val="auto"/>
                <w:sz w:val="24"/>
                <w:lang w:val="en-US" w:eastAsia="zh-CN"/>
              </w:rPr>
              <w:t>Q6：公司锡粉产品有明显涨价趋势吗？加工费是否稳定？A6：常规产品价格由原材料+加工费组成，原材料价格上涨时，产品价格会随之上涨，其中4号和5号锡粉属于中端产品，生产这类产品的厂家数量较多，竞争较为激烈，所以加工费用基本保持稳定。高端产品公司拥有较强定价主导权，</w:t>
            </w:r>
            <w:r>
              <w:rPr>
                <w:rFonts w:hint="eastAsia" w:ascii="宋体" w:hAnsi="宋体"/>
                <w:color w:val="auto"/>
                <w:sz w:val="24"/>
              </w:rPr>
              <w:t>价格调整将结合市场环境及实际经营情况综合确定</w:t>
            </w:r>
            <w:r>
              <w:rPr>
                <w:rFonts w:hint="eastAsia" w:ascii="宋体" w:hAnsi="宋体"/>
                <w:color w:val="auto"/>
                <w:sz w:val="24"/>
                <w:lang w:val="en-US" w:eastAsia="zh-CN"/>
              </w:rPr>
              <w:t>。</w:t>
            </w:r>
          </w:p>
          <w:p w14:paraId="1448A10E">
            <w:pPr>
              <w:rPr>
                <w:rFonts w:hint="default" w:ascii="宋体" w:hAnsi="宋体"/>
                <w:color w:val="000000"/>
                <w:sz w:val="24"/>
                <w:lang w:val="en-US" w:eastAsia="zh-CN"/>
              </w:rPr>
            </w:pPr>
          </w:p>
          <w:p w14:paraId="5868D10A">
            <w:pPr>
              <w:rPr>
                <w:rFonts w:hint="eastAsia" w:ascii="宋体" w:hAnsi="宋体"/>
                <w:color w:val="000000"/>
                <w:sz w:val="24"/>
              </w:rPr>
            </w:pPr>
            <w:r>
              <w:rPr>
                <w:rFonts w:hint="eastAsia" w:ascii="宋体" w:hAnsi="宋体"/>
                <w:color w:val="000000"/>
                <w:sz w:val="24"/>
              </w:rPr>
              <w:t>Q</w:t>
            </w:r>
            <w:r>
              <w:rPr>
                <w:rFonts w:hint="eastAsia" w:ascii="宋体" w:hAnsi="宋体"/>
                <w:color w:val="000000"/>
                <w:sz w:val="24"/>
                <w:lang w:val="en-US" w:eastAsia="zh-CN"/>
              </w:rPr>
              <w:t>7</w:t>
            </w:r>
            <w:r>
              <w:rPr>
                <w:rFonts w:hint="eastAsia" w:ascii="宋体" w:hAnsi="宋体"/>
                <w:color w:val="000000"/>
                <w:sz w:val="24"/>
              </w:rPr>
              <w:t>：</w:t>
            </w:r>
            <w:r>
              <w:rPr>
                <w:rFonts w:hint="eastAsia" w:ascii="宋体" w:hAnsi="宋体"/>
                <w:color w:val="000000"/>
                <w:sz w:val="24"/>
                <w:lang w:val="en-US" w:eastAsia="zh-CN"/>
              </w:rPr>
              <w:t>公司MLCC产品的验证情况进展如何</w:t>
            </w:r>
            <w:r>
              <w:rPr>
                <w:rFonts w:hint="eastAsia" w:ascii="宋体" w:hAnsi="宋体"/>
                <w:color w:val="000000"/>
                <w:sz w:val="24"/>
              </w:rPr>
              <w:t>？</w:t>
            </w:r>
          </w:p>
          <w:p w14:paraId="39866E2F">
            <w:pPr>
              <w:rPr>
                <w:rFonts w:hint="default" w:ascii="宋体" w:hAnsi="宋体"/>
                <w:color w:val="000000"/>
                <w:sz w:val="24"/>
                <w:lang w:val="en-US" w:eastAsia="zh-CN"/>
              </w:rPr>
            </w:pPr>
            <w:r>
              <w:rPr>
                <w:rFonts w:hint="eastAsia" w:ascii="宋体" w:hAnsi="宋体"/>
                <w:color w:val="000000"/>
                <w:sz w:val="24"/>
              </w:rPr>
              <w:t>A</w:t>
            </w:r>
            <w:r>
              <w:rPr>
                <w:rFonts w:hint="eastAsia" w:ascii="宋体" w:hAnsi="宋体"/>
                <w:color w:val="000000"/>
                <w:sz w:val="24"/>
                <w:lang w:val="en-US" w:eastAsia="zh-CN"/>
              </w:rPr>
              <w:t>7</w:t>
            </w:r>
            <w:r>
              <w:rPr>
                <w:rFonts w:hint="eastAsia" w:ascii="宋体" w:hAnsi="宋体"/>
                <w:color w:val="000000"/>
                <w:sz w:val="24"/>
                <w:lang w:eastAsia="zh-CN"/>
              </w:rPr>
              <w:t>：</w:t>
            </w:r>
            <w:r>
              <w:rPr>
                <w:rFonts w:hint="eastAsia" w:ascii="宋体" w:hAnsi="宋体"/>
                <w:color w:val="000000"/>
                <w:sz w:val="24"/>
                <w:lang w:val="en-US" w:eastAsia="zh-CN"/>
              </w:rPr>
              <w:t>目前仍处于送样、验证阶段，客户方面根据其自身需求不断调整验证方案，因此验证时间有所拉长</w:t>
            </w:r>
            <w:r>
              <w:rPr>
                <w:rFonts w:hint="eastAsia" w:ascii="宋体" w:hAnsi="宋体"/>
                <w:color w:val="000000"/>
                <w:sz w:val="24"/>
                <w:lang w:eastAsia="zh-CN"/>
              </w:rPr>
              <w:t>。</w:t>
            </w:r>
          </w:p>
          <w:p w14:paraId="10898DB0">
            <w:pPr>
              <w:rPr>
                <w:rFonts w:hint="default" w:ascii="宋体" w:hAnsi="宋体"/>
                <w:color w:val="000000"/>
                <w:sz w:val="24"/>
                <w:lang w:val="en-US" w:eastAsia="zh-CN"/>
              </w:rPr>
            </w:pPr>
          </w:p>
          <w:p w14:paraId="1DD4F4A3">
            <w:pPr>
              <w:rPr>
                <w:rFonts w:hint="eastAsia" w:ascii="宋体" w:hAnsi="宋体"/>
                <w:color w:val="000000"/>
                <w:sz w:val="24"/>
                <w:lang w:val="en-US" w:eastAsia="zh-CN"/>
              </w:rPr>
            </w:pPr>
            <w:r>
              <w:rPr>
                <w:rFonts w:hint="eastAsia" w:ascii="宋体" w:hAnsi="宋体"/>
                <w:color w:val="000000"/>
                <w:sz w:val="24"/>
                <w:lang w:val="en-US" w:eastAsia="zh-CN"/>
              </w:rPr>
              <w:t>Q8：公司散热铜粉产品现在出货情况如何？</w:t>
            </w:r>
          </w:p>
          <w:p w14:paraId="45EC3EDC">
            <w:pPr>
              <w:rPr>
                <w:rFonts w:hint="eastAsia" w:ascii="宋体" w:hAnsi="宋体"/>
                <w:color w:val="000000"/>
                <w:sz w:val="24"/>
                <w:lang w:val="en-US" w:eastAsia="zh-CN"/>
              </w:rPr>
            </w:pPr>
            <w:r>
              <w:rPr>
                <w:rFonts w:hint="eastAsia" w:ascii="宋体" w:hAnsi="宋体"/>
                <w:color w:val="000000"/>
                <w:sz w:val="24"/>
                <w:lang w:val="en-US" w:eastAsia="zh-CN"/>
              </w:rPr>
              <w:t>A8：公司的散热铜粉已成功用于华为昇腾910B芯片，目前出货量稳定。该产品在加工方式上实现了突破，具有梯度孔隙结构、比表面积发达、松装密度低等特点，在散热效率方面较传统雾化铜粉，性能提升 10%-20%，热端收益3-5℃，属于行业内首创。</w:t>
            </w:r>
          </w:p>
          <w:p w14:paraId="658B4169">
            <w:pPr>
              <w:rPr>
                <w:rFonts w:hint="eastAsia" w:ascii="宋体" w:hAnsi="宋体"/>
                <w:color w:val="000000"/>
                <w:sz w:val="24"/>
                <w:lang w:val="en-US" w:eastAsia="zh-CN"/>
              </w:rPr>
            </w:pPr>
          </w:p>
          <w:p w14:paraId="14E58CAB">
            <w:pPr>
              <w:rPr>
                <w:rFonts w:hint="default" w:ascii="宋体" w:hAnsi="宋体"/>
                <w:color w:val="000000"/>
                <w:sz w:val="24"/>
                <w:lang w:val="en-US" w:eastAsia="zh-CN"/>
              </w:rPr>
            </w:pPr>
            <w:r>
              <w:rPr>
                <w:rFonts w:hint="eastAsia" w:ascii="宋体" w:hAnsi="宋体"/>
                <w:color w:val="000000"/>
                <w:sz w:val="24"/>
                <w:lang w:val="en-US" w:eastAsia="zh-CN"/>
              </w:rPr>
              <w:t>Q9：3D打印山东基地的产能明年能全部释放吗？</w:t>
            </w:r>
          </w:p>
          <w:p w14:paraId="717930FA">
            <w:pPr>
              <w:rPr>
                <w:rFonts w:hint="eastAsia" w:ascii="宋体" w:hAnsi="宋体"/>
                <w:color w:val="000000"/>
                <w:sz w:val="24"/>
                <w:lang w:val="en-US" w:eastAsia="zh-CN"/>
              </w:rPr>
            </w:pPr>
            <w:r>
              <w:rPr>
                <w:rFonts w:hint="eastAsia" w:ascii="宋体" w:hAnsi="宋体"/>
                <w:color w:val="000000"/>
                <w:sz w:val="24"/>
                <w:lang w:val="en-US" w:eastAsia="zh-CN"/>
              </w:rPr>
              <w:t>A9：3D打印山东基地的产能会逐步释放，明年约释放30%，预计大部分增量都集中于商业航天领域。</w:t>
            </w:r>
          </w:p>
          <w:p w14:paraId="298386BC">
            <w:pPr>
              <w:rPr>
                <w:rFonts w:hint="default" w:ascii="宋体" w:hAnsi="宋体"/>
                <w:color w:val="000000"/>
                <w:sz w:val="24"/>
                <w:lang w:val="en-US" w:eastAsia="zh-CN"/>
              </w:rPr>
            </w:pPr>
          </w:p>
          <w:p w14:paraId="1A8B0F7A">
            <w:pPr>
              <w:rPr>
                <w:rFonts w:hint="eastAsia" w:ascii="宋体" w:hAnsi="宋体"/>
                <w:color w:val="000000"/>
                <w:sz w:val="24"/>
                <w:lang w:val="en-US" w:eastAsia="zh-CN"/>
              </w:rPr>
            </w:pPr>
            <w:r>
              <w:rPr>
                <w:rFonts w:hint="eastAsia" w:ascii="宋体" w:hAnsi="宋体"/>
                <w:color w:val="000000"/>
                <w:sz w:val="24"/>
                <w:lang w:val="en-US" w:eastAsia="zh-CN"/>
              </w:rPr>
              <w:t>Q10：公司未来有哪些增长点？</w:t>
            </w:r>
          </w:p>
          <w:p w14:paraId="778D0BC4">
            <w:pPr>
              <w:rPr>
                <w:rFonts w:hint="eastAsia" w:ascii="宋体" w:hAnsi="宋体"/>
                <w:color w:val="000000"/>
                <w:sz w:val="24"/>
                <w:lang w:val="en-US" w:eastAsia="zh-CN"/>
              </w:rPr>
            </w:pPr>
            <w:r>
              <w:rPr>
                <w:rFonts w:hint="eastAsia" w:ascii="宋体" w:hAnsi="宋体"/>
                <w:color w:val="000000"/>
                <w:sz w:val="24"/>
                <w:lang w:val="en-US" w:eastAsia="zh-CN"/>
              </w:rPr>
              <w:t>A10：公司的传统板块如铜基板块和锡基板块，未来会以调整产品结构、布局高附加值产品、加强新产品的研发为主，如铜基板块的散热铜粉、复合铜粉、低松比铜粉，锡基板块的高端锡粉、微细粉等高附加值产品，通过提高产品毛利率提升业绩水平。公司的两个新赛道增材板块和电子浆料板块是提升业绩的主要增长点，增材板块会随着3D打印粉体材料产业基地建设项目的落地实现产能爬坡，形成新的增量。电子浆料板块新产品目前处于客户送样验证的阶段，通过新产品的研发，增加互连材料的种类，匹配下游头部客户的需求，带动公司业绩增长。</w:t>
            </w:r>
          </w:p>
          <w:p w14:paraId="253D939E">
            <w:pPr>
              <w:rPr>
                <w:rFonts w:hint="eastAsia" w:ascii="宋体" w:hAnsi="宋体"/>
                <w:color w:val="000000"/>
                <w:sz w:val="24"/>
                <w:lang w:val="en-US" w:eastAsia="zh-CN"/>
              </w:rPr>
            </w:pPr>
          </w:p>
          <w:p w14:paraId="2999FF3C">
            <w:pPr>
              <w:rPr>
                <w:rFonts w:hint="eastAsia" w:ascii="宋体" w:hAnsi="宋体"/>
                <w:color w:val="000000"/>
                <w:sz w:val="24"/>
                <w:lang w:val="en-US" w:eastAsia="zh-CN"/>
              </w:rPr>
            </w:pPr>
            <w:r>
              <w:rPr>
                <w:rFonts w:hint="eastAsia" w:ascii="宋体" w:hAnsi="宋体"/>
                <w:color w:val="000000"/>
                <w:sz w:val="24"/>
                <w:lang w:val="en-US" w:eastAsia="zh-CN"/>
              </w:rPr>
              <w:t>Q11：公司有市值考核的要求吗？</w:t>
            </w:r>
          </w:p>
          <w:p w14:paraId="09453F20">
            <w:pPr>
              <w:rPr>
                <w:rFonts w:hint="default" w:ascii="宋体" w:hAnsi="宋体"/>
                <w:color w:val="000000"/>
                <w:sz w:val="24"/>
                <w:lang w:val="en-US" w:eastAsia="zh-CN"/>
              </w:rPr>
            </w:pPr>
            <w:r>
              <w:rPr>
                <w:rFonts w:hint="eastAsia" w:ascii="宋体" w:hAnsi="宋体"/>
                <w:color w:val="000000"/>
                <w:sz w:val="24"/>
                <w:lang w:val="en-US" w:eastAsia="zh-CN"/>
              </w:rPr>
              <w:t>A11：国资委对公司市值有年度考核要求。公司已制定并发布了市值管理制度，通过制定科学发展战略、完善公司治理、改进经营管理、培育核心竞争力等方式，提升公司内在价值，利用资本运作、权益管理、投资者关系管理等手段提升公司市场形象与品牌价值，并通过充分、合规的信息披露，增强公司透明度，引导公司的市场价值与内在价值趋同，实现企业价值和股东利益最大化。</w:t>
            </w:r>
          </w:p>
        </w:tc>
      </w:tr>
      <w:tr w14:paraId="52C5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trPr>
        <w:tc>
          <w:tcPr>
            <w:tcW w:w="1980" w:type="dxa"/>
          </w:tcPr>
          <w:p w14:paraId="392AD79F">
            <w:pPr>
              <w:spacing w:line="360" w:lineRule="auto"/>
              <w:rPr>
                <w:rFonts w:hint="eastAsia" w:ascii="宋体" w:hAnsi="宋体"/>
                <w:color w:val="000000"/>
                <w:sz w:val="24"/>
              </w:rPr>
            </w:pPr>
            <w:r>
              <w:rPr>
                <w:rFonts w:hint="eastAsia" w:ascii="宋体" w:hAnsi="宋体"/>
                <w:color w:val="000000"/>
                <w:sz w:val="24"/>
              </w:rPr>
              <w:t>关于本次活动是否涉及应当披露重大信息的说明</w:t>
            </w:r>
          </w:p>
        </w:tc>
        <w:tc>
          <w:tcPr>
            <w:tcW w:w="6316" w:type="dxa"/>
          </w:tcPr>
          <w:p w14:paraId="3B9EB652">
            <w:pPr>
              <w:spacing w:line="360" w:lineRule="auto"/>
              <w:rPr>
                <w:rFonts w:hint="eastAsia" w:ascii="宋体" w:hAnsi="宋体"/>
                <w:color w:val="000000"/>
                <w:sz w:val="24"/>
              </w:rPr>
            </w:pPr>
            <w:r>
              <w:rPr>
                <w:rFonts w:hint="eastAsia" w:ascii="宋体" w:hAnsi="宋体"/>
                <w:color w:val="000000"/>
                <w:sz w:val="24"/>
              </w:rPr>
              <w:t>不涉及</w:t>
            </w:r>
          </w:p>
        </w:tc>
      </w:tr>
      <w:tr w14:paraId="2E9E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162D277">
            <w:pPr>
              <w:spacing w:line="360" w:lineRule="auto"/>
              <w:rPr>
                <w:rFonts w:hint="eastAsia" w:ascii="宋体" w:hAnsi="宋体"/>
                <w:color w:val="000000"/>
                <w:sz w:val="24"/>
              </w:rPr>
            </w:pPr>
            <w:r>
              <w:rPr>
                <w:rFonts w:hint="eastAsia" w:ascii="宋体" w:hAnsi="宋体"/>
                <w:color w:val="000000"/>
                <w:sz w:val="24"/>
              </w:rPr>
              <w:t>附件清单（如有）</w:t>
            </w:r>
          </w:p>
        </w:tc>
        <w:tc>
          <w:tcPr>
            <w:tcW w:w="6316" w:type="dxa"/>
          </w:tcPr>
          <w:p w14:paraId="77310521">
            <w:pPr>
              <w:spacing w:line="360" w:lineRule="auto"/>
              <w:rPr>
                <w:rFonts w:hint="eastAsia" w:ascii="宋体" w:hAnsi="宋体"/>
                <w:color w:val="000000"/>
                <w:sz w:val="24"/>
              </w:rPr>
            </w:pPr>
          </w:p>
        </w:tc>
      </w:tr>
      <w:tr w14:paraId="1833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BE0FE7B">
            <w:pPr>
              <w:spacing w:line="360" w:lineRule="auto"/>
              <w:rPr>
                <w:rFonts w:hint="eastAsia" w:ascii="宋体" w:hAnsi="宋体"/>
                <w:color w:val="000000"/>
                <w:sz w:val="24"/>
              </w:rPr>
            </w:pPr>
            <w:r>
              <w:rPr>
                <w:rFonts w:hint="eastAsia" w:ascii="宋体" w:hAnsi="宋体"/>
                <w:color w:val="000000"/>
                <w:sz w:val="24"/>
              </w:rPr>
              <w:t>日期</w:t>
            </w:r>
          </w:p>
        </w:tc>
        <w:tc>
          <w:tcPr>
            <w:tcW w:w="6316" w:type="dxa"/>
          </w:tcPr>
          <w:p w14:paraId="218F7978">
            <w:pPr>
              <w:spacing w:line="360" w:lineRule="auto"/>
              <w:rPr>
                <w:rFonts w:hint="eastAsia" w:ascii="宋体" w:hAnsi="宋体"/>
                <w:color w:val="000000"/>
                <w:sz w:val="24"/>
              </w:rPr>
            </w:pPr>
            <w:r>
              <w:rPr>
                <w:rFonts w:hint="eastAsia" w:ascii="宋体" w:hAnsi="宋体"/>
                <w:color w:val="000000"/>
                <w:sz w:val="24"/>
              </w:rPr>
              <w:t>2</w:t>
            </w:r>
            <w:r>
              <w:rPr>
                <w:rFonts w:ascii="宋体" w:hAnsi="宋体"/>
                <w:color w:val="000000"/>
                <w:sz w:val="24"/>
              </w:rPr>
              <w:t>02</w:t>
            </w:r>
            <w:r>
              <w:rPr>
                <w:rFonts w:hint="eastAsia" w:ascii="宋体" w:hAnsi="宋体"/>
                <w:color w:val="000000"/>
                <w:sz w:val="24"/>
                <w:lang w:val="en-US" w:eastAsia="zh-CN"/>
              </w:rPr>
              <w:t>6</w:t>
            </w:r>
            <w:r>
              <w:rPr>
                <w:rFonts w:hint="eastAsia" w:ascii="宋体" w:hAnsi="宋体"/>
                <w:color w:val="000000"/>
                <w:sz w:val="24"/>
              </w:rPr>
              <w:t>年</w:t>
            </w:r>
            <w:r>
              <w:rPr>
                <w:rFonts w:hint="eastAsia" w:ascii="宋体" w:hAnsi="宋体"/>
                <w:color w:val="000000"/>
                <w:sz w:val="24"/>
                <w:lang w:val="en-US" w:eastAsia="zh-CN"/>
              </w:rPr>
              <w:t>8</w:t>
            </w:r>
            <w:r>
              <w:rPr>
                <w:rFonts w:ascii="宋体" w:hAnsi="宋体"/>
                <w:color w:val="000000"/>
                <w:sz w:val="24"/>
              </w:rPr>
              <w:t>月</w:t>
            </w:r>
            <w:r>
              <w:rPr>
                <w:rFonts w:hint="eastAsia" w:ascii="宋体" w:hAnsi="宋体"/>
                <w:color w:val="000000"/>
                <w:sz w:val="24"/>
                <w:lang w:val="en-US" w:eastAsia="zh-CN"/>
              </w:rPr>
              <w:t>31</w:t>
            </w:r>
            <w:r>
              <w:rPr>
                <w:rFonts w:ascii="宋体" w:hAnsi="宋体"/>
                <w:color w:val="000000"/>
                <w:sz w:val="24"/>
              </w:rPr>
              <w:t>日</w:t>
            </w:r>
          </w:p>
        </w:tc>
      </w:tr>
    </w:tbl>
    <w:p w14:paraId="147426D0">
      <w:pPr>
        <w:spacing w:line="240" w:lineRule="auto"/>
        <w:rPr>
          <w:rFonts w:hint="default" w:ascii="Times New Roman" w:hAnsi="Times New Roman"/>
          <w:sz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lhMDAxOWE2M2JlYzYzZTcxNWVlMDMyNTM4ZDFhZjgifQ=="/>
  </w:docVars>
  <w:rsids>
    <w:rsidRoot w:val="0044575E"/>
    <w:rsid w:val="00002E87"/>
    <w:rsid w:val="00004DD7"/>
    <w:rsid w:val="00011E25"/>
    <w:rsid w:val="00012B1A"/>
    <w:rsid w:val="00026527"/>
    <w:rsid w:val="00027AFE"/>
    <w:rsid w:val="00035DEC"/>
    <w:rsid w:val="00050A74"/>
    <w:rsid w:val="000732EA"/>
    <w:rsid w:val="00073E51"/>
    <w:rsid w:val="00093E16"/>
    <w:rsid w:val="000A73BB"/>
    <w:rsid w:val="000A775A"/>
    <w:rsid w:val="000B3ABC"/>
    <w:rsid w:val="000C5765"/>
    <w:rsid w:val="000D7E61"/>
    <w:rsid w:val="000F0698"/>
    <w:rsid w:val="000F3ABB"/>
    <w:rsid w:val="001006F2"/>
    <w:rsid w:val="00104366"/>
    <w:rsid w:val="00112415"/>
    <w:rsid w:val="001158A8"/>
    <w:rsid w:val="001163DE"/>
    <w:rsid w:val="001231FB"/>
    <w:rsid w:val="0012624B"/>
    <w:rsid w:val="00145E74"/>
    <w:rsid w:val="0014724C"/>
    <w:rsid w:val="00155AB1"/>
    <w:rsid w:val="0017412E"/>
    <w:rsid w:val="0017657C"/>
    <w:rsid w:val="001847C2"/>
    <w:rsid w:val="00190AB6"/>
    <w:rsid w:val="001A19CE"/>
    <w:rsid w:val="001A227D"/>
    <w:rsid w:val="001A22E5"/>
    <w:rsid w:val="001A4B8A"/>
    <w:rsid w:val="001A6013"/>
    <w:rsid w:val="001C66E0"/>
    <w:rsid w:val="001D3822"/>
    <w:rsid w:val="001E1653"/>
    <w:rsid w:val="001E32E2"/>
    <w:rsid w:val="001E5BAA"/>
    <w:rsid w:val="001F42B8"/>
    <w:rsid w:val="001F615E"/>
    <w:rsid w:val="001F6AE2"/>
    <w:rsid w:val="00206045"/>
    <w:rsid w:val="002112F4"/>
    <w:rsid w:val="00216448"/>
    <w:rsid w:val="002217A4"/>
    <w:rsid w:val="0022210B"/>
    <w:rsid w:val="0022401A"/>
    <w:rsid w:val="00230BE4"/>
    <w:rsid w:val="002437BC"/>
    <w:rsid w:val="0024391C"/>
    <w:rsid w:val="0024445D"/>
    <w:rsid w:val="00245195"/>
    <w:rsid w:val="00251449"/>
    <w:rsid w:val="00254ABB"/>
    <w:rsid w:val="00254B28"/>
    <w:rsid w:val="00263F6C"/>
    <w:rsid w:val="002866D4"/>
    <w:rsid w:val="00290D81"/>
    <w:rsid w:val="00292189"/>
    <w:rsid w:val="002A5C75"/>
    <w:rsid w:val="002A6BD2"/>
    <w:rsid w:val="002A73DB"/>
    <w:rsid w:val="002B11C8"/>
    <w:rsid w:val="002B2022"/>
    <w:rsid w:val="002C2241"/>
    <w:rsid w:val="002C55FE"/>
    <w:rsid w:val="002D5D7D"/>
    <w:rsid w:val="002E11E9"/>
    <w:rsid w:val="002E2C78"/>
    <w:rsid w:val="002E67CD"/>
    <w:rsid w:val="002F13FB"/>
    <w:rsid w:val="002F1FA3"/>
    <w:rsid w:val="002F2236"/>
    <w:rsid w:val="00306403"/>
    <w:rsid w:val="00307FB1"/>
    <w:rsid w:val="003142DC"/>
    <w:rsid w:val="003171F4"/>
    <w:rsid w:val="003207BB"/>
    <w:rsid w:val="003246B4"/>
    <w:rsid w:val="003348E9"/>
    <w:rsid w:val="003357D8"/>
    <w:rsid w:val="00340F50"/>
    <w:rsid w:val="00344FDD"/>
    <w:rsid w:val="0035030A"/>
    <w:rsid w:val="00362ACC"/>
    <w:rsid w:val="003737DA"/>
    <w:rsid w:val="003776D1"/>
    <w:rsid w:val="00395D21"/>
    <w:rsid w:val="003A2C07"/>
    <w:rsid w:val="003B1CC8"/>
    <w:rsid w:val="003C041A"/>
    <w:rsid w:val="003C0753"/>
    <w:rsid w:val="003D40A1"/>
    <w:rsid w:val="003E455A"/>
    <w:rsid w:val="003E50D4"/>
    <w:rsid w:val="0040426C"/>
    <w:rsid w:val="0040448C"/>
    <w:rsid w:val="00407439"/>
    <w:rsid w:val="00420521"/>
    <w:rsid w:val="00422EC1"/>
    <w:rsid w:val="00427E6C"/>
    <w:rsid w:val="00435B42"/>
    <w:rsid w:val="0044575E"/>
    <w:rsid w:val="00447ED7"/>
    <w:rsid w:val="00455449"/>
    <w:rsid w:val="004673E7"/>
    <w:rsid w:val="004766EF"/>
    <w:rsid w:val="004864D6"/>
    <w:rsid w:val="004877F7"/>
    <w:rsid w:val="004B0D73"/>
    <w:rsid w:val="004B7578"/>
    <w:rsid w:val="004C07DB"/>
    <w:rsid w:val="004C0F4F"/>
    <w:rsid w:val="004C35DF"/>
    <w:rsid w:val="004F6C73"/>
    <w:rsid w:val="004F7BF5"/>
    <w:rsid w:val="0050006D"/>
    <w:rsid w:val="00500753"/>
    <w:rsid w:val="00501D79"/>
    <w:rsid w:val="005070BB"/>
    <w:rsid w:val="005216A0"/>
    <w:rsid w:val="00536138"/>
    <w:rsid w:val="005449E0"/>
    <w:rsid w:val="005515D0"/>
    <w:rsid w:val="00562819"/>
    <w:rsid w:val="005670CF"/>
    <w:rsid w:val="00575673"/>
    <w:rsid w:val="00590C7C"/>
    <w:rsid w:val="005A107A"/>
    <w:rsid w:val="005B7CA5"/>
    <w:rsid w:val="005C5E1A"/>
    <w:rsid w:val="005D0B31"/>
    <w:rsid w:val="005D6AA9"/>
    <w:rsid w:val="00601CFF"/>
    <w:rsid w:val="0061449B"/>
    <w:rsid w:val="006166F6"/>
    <w:rsid w:val="00616AB1"/>
    <w:rsid w:val="00620977"/>
    <w:rsid w:val="006223DE"/>
    <w:rsid w:val="00624416"/>
    <w:rsid w:val="0064265B"/>
    <w:rsid w:val="0065003E"/>
    <w:rsid w:val="006505E4"/>
    <w:rsid w:val="00651F18"/>
    <w:rsid w:val="00654FBA"/>
    <w:rsid w:val="00657CA5"/>
    <w:rsid w:val="00660088"/>
    <w:rsid w:val="00666D72"/>
    <w:rsid w:val="006868A2"/>
    <w:rsid w:val="00690643"/>
    <w:rsid w:val="006A0A2B"/>
    <w:rsid w:val="006A6084"/>
    <w:rsid w:val="006B54B7"/>
    <w:rsid w:val="006B60E9"/>
    <w:rsid w:val="006C277A"/>
    <w:rsid w:val="006E308D"/>
    <w:rsid w:val="006E5747"/>
    <w:rsid w:val="006E5EAF"/>
    <w:rsid w:val="007002FA"/>
    <w:rsid w:val="007156F6"/>
    <w:rsid w:val="007267B8"/>
    <w:rsid w:val="00726F5C"/>
    <w:rsid w:val="00732483"/>
    <w:rsid w:val="007342B6"/>
    <w:rsid w:val="0074188E"/>
    <w:rsid w:val="0075130E"/>
    <w:rsid w:val="00764D32"/>
    <w:rsid w:val="0076764E"/>
    <w:rsid w:val="0077144B"/>
    <w:rsid w:val="00771B1B"/>
    <w:rsid w:val="007850F7"/>
    <w:rsid w:val="007A16DD"/>
    <w:rsid w:val="007B14B2"/>
    <w:rsid w:val="007B3297"/>
    <w:rsid w:val="007B5657"/>
    <w:rsid w:val="007C1304"/>
    <w:rsid w:val="007C4BD6"/>
    <w:rsid w:val="007D0EB5"/>
    <w:rsid w:val="007D1E01"/>
    <w:rsid w:val="007D7469"/>
    <w:rsid w:val="007D79EF"/>
    <w:rsid w:val="007E0550"/>
    <w:rsid w:val="007E65A9"/>
    <w:rsid w:val="007F1A7D"/>
    <w:rsid w:val="007F38CC"/>
    <w:rsid w:val="007F4B6C"/>
    <w:rsid w:val="00821EBB"/>
    <w:rsid w:val="0085123E"/>
    <w:rsid w:val="00854C3D"/>
    <w:rsid w:val="00872687"/>
    <w:rsid w:val="00876BA6"/>
    <w:rsid w:val="00880148"/>
    <w:rsid w:val="00880FE1"/>
    <w:rsid w:val="008822F8"/>
    <w:rsid w:val="00891B2E"/>
    <w:rsid w:val="0089328C"/>
    <w:rsid w:val="008A29E8"/>
    <w:rsid w:val="008B7359"/>
    <w:rsid w:val="008C1928"/>
    <w:rsid w:val="008C342A"/>
    <w:rsid w:val="008C3926"/>
    <w:rsid w:val="008D2646"/>
    <w:rsid w:val="008D43AB"/>
    <w:rsid w:val="008D6B0E"/>
    <w:rsid w:val="008E1C51"/>
    <w:rsid w:val="008F1A57"/>
    <w:rsid w:val="00904A16"/>
    <w:rsid w:val="00910D9B"/>
    <w:rsid w:val="00921B6A"/>
    <w:rsid w:val="0092310E"/>
    <w:rsid w:val="009267C5"/>
    <w:rsid w:val="009300DA"/>
    <w:rsid w:val="0093413B"/>
    <w:rsid w:val="00936851"/>
    <w:rsid w:val="009409DF"/>
    <w:rsid w:val="009529E1"/>
    <w:rsid w:val="009618F6"/>
    <w:rsid w:val="00966A1A"/>
    <w:rsid w:val="00972DE1"/>
    <w:rsid w:val="00977BAC"/>
    <w:rsid w:val="00996C34"/>
    <w:rsid w:val="009A3880"/>
    <w:rsid w:val="009B3291"/>
    <w:rsid w:val="009C4406"/>
    <w:rsid w:val="009C63DC"/>
    <w:rsid w:val="009C768C"/>
    <w:rsid w:val="009D2573"/>
    <w:rsid w:val="009D2E13"/>
    <w:rsid w:val="009D581C"/>
    <w:rsid w:val="009F37EC"/>
    <w:rsid w:val="009F5B8D"/>
    <w:rsid w:val="00A15000"/>
    <w:rsid w:val="00A24206"/>
    <w:rsid w:val="00A32443"/>
    <w:rsid w:val="00A36EAF"/>
    <w:rsid w:val="00A769C1"/>
    <w:rsid w:val="00AB313F"/>
    <w:rsid w:val="00AF0359"/>
    <w:rsid w:val="00B15476"/>
    <w:rsid w:val="00B15C6B"/>
    <w:rsid w:val="00B2305C"/>
    <w:rsid w:val="00B26D99"/>
    <w:rsid w:val="00B4148E"/>
    <w:rsid w:val="00B57D53"/>
    <w:rsid w:val="00B65623"/>
    <w:rsid w:val="00B805CE"/>
    <w:rsid w:val="00B819E4"/>
    <w:rsid w:val="00B91B2E"/>
    <w:rsid w:val="00B94699"/>
    <w:rsid w:val="00BA0513"/>
    <w:rsid w:val="00BA199E"/>
    <w:rsid w:val="00BA446D"/>
    <w:rsid w:val="00BA5BE9"/>
    <w:rsid w:val="00BD3F22"/>
    <w:rsid w:val="00BD5DDD"/>
    <w:rsid w:val="00BD647D"/>
    <w:rsid w:val="00BD7C75"/>
    <w:rsid w:val="00BE0E2F"/>
    <w:rsid w:val="00BF204E"/>
    <w:rsid w:val="00BF2687"/>
    <w:rsid w:val="00C022A4"/>
    <w:rsid w:val="00C043B0"/>
    <w:rsid w:val="00C0478F"/>
    <w:rsid w:val="00C115F2"/>
    <w:rsid w:val="00C20FD1"/>
    <w:rsid w:val="00C319B2"/>
    <w:rsid w:val="00C32400"/>
    <w:rsid w:val="00C37CA4"/>
    <w:rsid w:val="00C50A10"/>
    <w:rsid w:val="00C519D0"/>
    <w:rsid w:val="00C51E4C"/>
    <w:rsid w:val="00C751A6"/>
    <w:rsid w:val="00C9047A"/>
    <w:rsid w:val="00C908E7"/>
    <w:rsid w:val="00C93076"/>
    <w:rsid w:val="00C94AC9"/>
    <w:rsid w:val="00CA02A3"/>
    <w:rsid w:val="00CA4588"/>
    <w:rsid w:val="00CC6283"/>
    <w:rsid w:val="00CD3357"/>
    <w:rsid w:val="00CD5375"/>
    <w:rsid w:val="00CE5189"/>
    <w:rsid w:val="00CE5F63"/>
    <w:rsid w:val="00D12CF1"/>
    <w:rsid w:val="00D14C41"/>
    <w:rsid w:val="00D1623E"/>
    <w:rsid w:val="00D20F97"/>
    <w:rsid w:val="00D21DE9"/>
    <w:rsid w:val="00D24CA9"/>
    <w:rsid w:val="00D51602"/>
    <w:rsid w:val="00D62D90"/>
    <w:rsid w:val="00D63F05"/>
    <w:rsid w:val="00D65CD2"/>
    <w:rsid w:val="00D664BE"/>
    <w:rsid w:val="00D6678C"/>
    <w:rsid w:val="00D67ABA"/>
    <w:rsid w:val="00D74693"/>
    <w:rsid w:val="00D8155B"/>
    <w:rsid w:val="00DA0ADF"/>
    <w:rsid w:val="00DA776B"/>
    <w:rsid w:val="00DB1007"/>
    <w:rsid w:val="00DB25CD"/>
    <w:rsid w:val="00DC747B"/>
    <w:rsid w:val="00DD4209"/>
    <w:rsid w:val="00DE6558"/>
    <w:rsid w:val="00E00E1C"/>
    <w:rsid w:val="00E026DF"/>
    <w:rsid w:val="00E105FE"/>
    <w:rsid w:val="00E40E38"/>
    <w:rsid w:val="00E51C20"/>
    <w:rsid w:val="00E6072F"/>
    <w:rsid w:val="00E63814"/>
    <w:rsid w:val="00E63B0F"/>
    <w:rsid w:val="00E65053"/>
    <w:rsid w:val="00E71DE8"/>
    <w:rsid w:val="00E73E13"/>
    <w:rsid w:val="00E95541"/>
    <w:rsid w:val="00EB1E77"/>
    <w:rsid w:val="00EC1E97"/>
    <w:rsid w:val="00EC6218"/>
    <w:rsid w:val="00EC6F90"/>
    <w:rsid w:val="00ED1296"/>
    <w:rsid w:val="00ED5A40"/>
    <w:rsid w:val="00ED7D1C"/>
    <w:rsid w:val="00EF640A"/>
    <w:rsid w:val="00F00D70"/>
    <w:rsid w:val="00F131BC"/>
    <w:rsid w:val="00F1426B"/>
    <w:rsid w:val="00F21FC1"/>
    <w:rsid w:val="00F35DD3"/>
    <w:rsid w:val="00F42F9F"/>
    <w:rsid w:val="00F433CE"/>
    <w:rsid w:val="00F4510A"/>
    <w:rsid w:val="00F47A8C"/>
    <w:rsid w:val="00F504A2"/>
    <w:rsid w:val="00F571D6"/>
    <w:rsid w:val="00F64203"/>
    <w:rsid w:val="00F70830"/>
    <w:rsid w:val="00F74209"/>
    <w:rsid w:val="00F773D9"/>
    <w:rsid w:val="00F80F73"/>
    <w:rsid w:val="00F84AB2"/>
    <w:rsid w:val="00F95163"/>
    <w:rsid w:val="00FA3D9F"/>
    <w:rsid w:val="00FC2DD8"/>
    <w:rsid w:val="00FD0995"/>
    <w:rsid w:val="00FD34E5"/>
    <w:rsid w:val="00FE6DB9"/>
    <w:rsid w:val="01934780"/>
    <w:rsid w:val="01DD6294"/>
    <w:rsid w:val="01F96F0E"/>
    <w:rsid w:val="02873BB9"/>
    <w:rsid w:val="02B250DA"/>
    <w:rsid w:val="02EF0460"/>
    <w:rsid w:val="03164C3C"/>
    <w:rsid w:val="0381685A"/>
    <w:rsid w:val="03831489"/>
    <w:rsid w:val="03B02B75"/>
    <w:rsid w:val="03F91E5C"/>
    <w:rsid w:val="04485490"/>
    <w:rsid w:val="045127C1"/>
    <w:rsid w:val="04956A8F"/>
    <w:rsid w:val="04EB7496"/>
    <w:rsid w:val="051A18C3"/>
    <w:rsid w:val="0532605E"/>
    <w:rsid w:val="053E339B"/>
    <w:rsid w:val="05426049"/>
    <w:rsid w:val="05850C89"/>
    <w:rsid w:val="05C17E8F"/>
    <w:rsid w:val="05E9334C"/>
    <w:rsid w:val="061E24D9"/>
    <w:rsid w:val="066E7569"/>
    <w:rsid w:val="06742A00"/>
    <w:rsid w:val="06DF3562"/>
    <w:rsid w:val="074958E1"/>
    <w:rsid w:val="07ED6E04"/>
    <w:rsid w:val="08002443"/>
    <w:rsid w:val="08030185"/>
    <w:rsid w:val="081A6159"/>
    <w:rsid w:val="084651C7"/>
    <w:rsid w:val="092B7994"/>
    <w:rsid w:val="0992329A"/>
    <w:rsid w:val="099E3CE9"/>
    <w:rsid w:val="09D90CD3"/>
    <w:rsid w:val="09F16955"/>
    <w:rsid w:val="0A081A83"/>
    <w:rsid w:val="0A084109"/>
    <w:rsid w:val="0A5D2D3F"/>
    <w:rsid w:val="0A700A4D"/>
    <w:rsid w:val="0ACA4839"/>
    <w:rsid w:val="0AD33E3F"/>
    <w:rsid w:val="0AE95411"/>
    <w:rsid w:val="0C7F5775"/>
    <w:rsid w:val="0C9870EE"/>
    <w:rsid w:val="0D0B2017"/>
    <w:rsid w:val="0D132C19"/>
    <w:rsid w:val="0D925956"/>
    <w:rsid w:val="0DE851AA"/>
    <w:rsid w:val="0E0007C1"/>
    <w:rsid w:val="0E3F23D4"/>
    <w:rsid w:val="0E907145"/>
    <w:rsid w:val="0F336312"/>
    <w:rsid w:val="0F4955D4"/>
    <w:rsid w:val="0F615EBD"/>
    <w:rsid w:val="0F7145EA"/>
    <w:rsid w:val="0F9E0359"/>
    <w:rsid w:val="0FE01740"/>
    <w:rsid w:val="10A87B1C"/>
    <w:rsid w:val="10FD4F37"/>
    <w:rsid w:val="114872AD"/>
    <w:rsid w:val="115D4462"/>
    <w:rsid w:val="125A388A"/>
    <w:rsid w:val="12BE4485"/>
    <w:rsid w:val="12CB2EA7"/>
    <w:rsid w:val="12CC371E"/>
    <w:rsid w:val="13A326B9"/>
    <w:rsid w:val="13C06295"/>
    <w:rsid w:val="13D1738A"/>
    <w:rsid w:val="13E70CE9"/>
    <w:rsid w:val="13E76BAD"/>
    <w:rsid w:val="13F87EAD"/>
    <w:rsid w:val="14953E8A"/>
    <w:rsid w:val="14C12F5A"/>
    <w:rsid w:val="15035321"/>
    <w:rsid w:val="15656194"/>
    <w:rsid w:val="159D7497"/>
    <w:rsid w:val="15D04E58"/>
    <w:rsid w:val="162D1764"/>
    <w:rsid w:val="17190E2C"/>
    <w:rsid w:val="175400B6"/>
    <w:rsid w:val="17935082"/>
    <w:rsid w:val="17C3509D"/>
    <w:rsid w:val="17CF1E32"/>
    <w:rsid w:val="183103F7"/>
    <w:rsid w:val="183313C8"/>
    <w:rsid w:val="18422604"/>
    <w:rsid w:val="19006747"/>
    <w:rsid w:val="190274FA"/>
    <w:rsid w:val="19423BF7"/>
    <w:rsid w:val="194E3A44"/>
    <w:rsid w:val="1A2521DD"/>
    <w:rsid w:val="1AA87201"/>
    <w:rsid w:val="1B721452"/>
    <w:rsid w:val="1C306903"/>
    <w:rsid w:val="1C556B51"/>
    <w:rsid w:val="1CCA51F1"/>
    <w:rsid w:val="1CCF3A24"/>
    <w:rsid w:val="1CE67A02"/>
    <w:rsid w:val="1CF3300F"/>
    <w:rsid w:val="1D8C7870"/>
    <w:rsid w:val="1D927B8A"/>
    <w:rsid w:val="1DCA44B8"/>
    <w:rsid w:val="1DE53FB7"/>
    <w:rsid w:val="1E450758"/>
    <w:rsid w:val="1EA77665"/>
    <w:rsid w:val="1EAC6E03"/>
    <w:rsid w:val="1EF71986"/>
    <w:rsid w:val="1F853E14"/>
    <w:rsid w:val="1FBE15FA"/>
    <w:rsid w:val="1FC8161F"/>
    <w:rsid w:val="20571C28"/>
    <w:rsid w:val="206F61B9"/>
    <w:rsid w:val="20753F13"/>
    <w:rsid w:val="209D3799"/>
    <w:rsid w:val="20BA1BEB"/>
    <w:rsid w:val="21BE0F4D"/>
    <w:rsid w:val="21C213C1"/>
    <w:rsid w:val="2217240B"/>
    <w:rsid w:val="223E3E3C"/>
    <w:rsid w:val="229E0D7F"/>
    <w:rsid w:val="22C811A7"/>
    <w:rsid w:val="22F6319C"/>
    <w:rsid w:val="233174FD"/>
    <w:rsid w:val="238F53BA"/>
    <w:rsid w:val="240C7710"/>
    <w:rsid w:val="242F7A3A"/>
    <w:rsid w:val="24D665AE"/>
    <w:rsid w:val="250E102C"/>
    <w:rsid w:val="257B0F03"/>
    <w:rsid w:val="2605754A"/>
    <w:rsid w:val="26CD1C32"/>
    <w:rsid w:val="26CD578F"/>
    <w:rsid w:val="26F86CAF"/>
    <w:rsid w:val="27310404"/>
    <w:rsid w:val="274719E5"/>
    <w:rsid w:val="2754707E"/>
    <w:rsid w:val="28A16153"/>
    <w:rsid w:val="28B006E0"/>
    <w:rsid w:val="290F181B"/>
    <w:rsid w:val="292D30F0"/>
    <w:rsid w:val="29726241"/>
    <w:rsid w:val="298761D4"/>
    <w:rsid w:val="29FA4F93"/>
    <w:rsid w:val="2A7B31CC"/>
    <w:rsid w:val="2AFC77F6"/>
    <w:rsid w:val="2B8D7E57"/>
    <w:rsid w:val="2BFC4C02"/>
    <w:rsid w:val="2C195D1A"/>
    <w:rsid w:val="2C621C80"/>
    <w:rsid w:val="2CCF04B2"/>
    <w:rsid w:val="2D085772"/>
    <w:rsid w:val="2DE27D71"/>
    <w:rsid w:val="2DEA30CA"/>
    <w:rsid w:val="2E1F5A2C"/>
    <w:rsid w:val="2E436572"/>
    <w:rsid w:val="2E5D4B5C"/>
    <w:rsid w:val="2E8F44EC"/>
    <w:rsid w:val="2EF53058"/>
    <w:rsid w:val="2F0324FC"/>
    <w:rsid w:val="2F234AE5"/>
    <w:rsid w:val="2FB2477B"/>
    <w:rsid w:val="2FB92D54"/>
    <w:rsid w:val="2FED29FE"/>
    <w:rsid w:val="30222A1F"/>
    <w:rsid w:val="30900E14"/>
    <w:rsid w:val="31024672"/>
    <w:rsid w:val="313E63D4"/>
    <w:rsid w:val="3162252D"/>
    <w:rsid w:val="32494863"/>
    <w:rsid w:val="325C0FEF"/>
    <w:rsid w:val="329B0DBC"/>
    <w:rsid w:val="32D36390"/>
    <w:rsid w:val="32E620B2"/>
    <w:rsid w:val="33062754"/>
    <w:rsid w:val="3324700C"/>
    <w:rsid w:val="337E3C05"/>
    <w:rsid w:val="33D77C4D"/>
    <w:rsid w:val="34D8137A"/>
    <w:rsid w:val="356A0363"/>
    <w:rsid w:val="363C2EB7"/>
    <w:rsid w:val="36B349A1"/>
    <w:rsid w:val="36DD4408"/>
    <w:rsid w:val="377E5CBB"/>
    <w:rsid w:val="37F4701F"/>
    <w:rsid w:val="384964DB"/>
    <w:rsid w:val="38934A8A"/>
    <w:rsid w:val="38B87D7B"/>
    <w:rsid w:val="38C904AC"/>
    <w:rsid w:val="38E70932"/>
    <w:rsid w:val="393D43C2"/>
    <w:rsid w:val="39467DE9"/>
    <w:rsid w:val="39D13A2B"/>
    <w:rsid w:val="39DA6863"/>
    <w:rsid w:val="39F96B6F"/>
    <w:rsid w:val="3A2160C5"/>
    <w:rsid w:val="3A3C7179"/>
    <w:rsid w:val="3AA64C6E"/>
    <w:rsid w:val="3AD27233"/>
    <w:rsid w:val="3AD62942"/>
    <w:rsid w:val="3AD8151B"/>
    <w:rsid w:val="3B1540BB"/>
    <w:rsid w:val="3B4F27BE"/>
    <w:rsid w:val="3B746B91"/>
    <w:rsid w:val="3B842468"/>
    <w:rsid w:val="3BA06243"/>
    <w:rsid w:val="3BC7163B"/>
    <w:rsid w:val="3BE32C96"/>
    <w:rsid w:val="3BF178BE"/>
    <w:rsid w:val="3CC869F0"/>
    <w:rsid w:val="3D627E07"/>
    <w:rsid w:val="3D9A2417"/>
    <w:rsid w:val="3DC72613"/>
    <w:rsid w:val="3DE2791A"/>
    <w:rsid w:val="3E1201FF"/>
    <w:rsid w:val="3E4405D4"/>
    <w:rsid w:val="3EAD43CC"/>
    <w:rsid w:val="3F15211D"/>
    <w:rsid w:val="3F3C12AC"/>
    <w:rsid w:val="3F7647BE"/>
    <w:rsid w:val="3F9940BB"/>
    <w:rsid w:val="40442B0E"/>
    <w:rsid w:val="40994E10"/>
    <w:rsid w:val="41523008"/>
    <w:rsid w:val="41666FD7"/>
    <w:rsid w:val="41803A4E"/>
    <w:rsid w:val="421A413C"/>
    <w:rsid w:val="427B0BE9"/>
    <w:rsid w:val="42B0448A"/>
    <w:rsid w:val="42C22B17"/>
    <w:rsid w:val="435A2C3D"/>
    <w:rsid w:val="437C6D3A"/>
    <w:rsid w:val="43CB63AF"/>
    <w:rsid w:val="440F51E1"/>
    <w:rsid w:val="442F13DF"/>
    <w:rsid w:val="450D7972"/>
    <w:rsid w:val="45623811"/>
    <w:rsid w:val="45662C56"/>
    <w:rsid w:val="4611567F"/>
    <w:rsid w:val="462A4554"/>
    <w:rsid w:val="46584C1D"/>
    <w:rsid w:val="46BB64F1"/>
    <w:rsid w:val="46BD2CD2"/>
    <w:rsid w:val="475278BE"/>
    <w:rsid w:val="478775C0"/>
    <w:rsid w:val="47AA14A8"/>
    <w:rsid w:val="47BE0F37"/>
    <w:rsid w:val="486474F0"/>
    <w:rsid w:val="48925B2A"/>
    <w:rsid w:val="493B1276"/>
    <w:rsid w:val="494D2A33"/>
    <w:rsid w:val="49EE2E87"/>
    <w:rsid w:val="4A6A3171"/>
    <w:rsid w:val="4A8128AE"/>
    <w:rsid w:val="4A9D5D4B"/>
    <w:rsid w:val="4AE77A5E"/>
    <w:rsid w:val="4B561E4B"/>
    <w:rsid w:val="4C313D39"/>
    <w:rsid w:val="4CD62124"/>
    <w:rsid w:val="4CFB4DD5"/>
    <w:rsid w:val="4DFE42FC"/>
    <w:rsid w:val="4E574BEA"/>
    <w:rsid w:val="4E654113"/>
    <w:rsid w:val="4E7F0855"/>
    <w:rsid w:val="4E8C18B3"/>
    <w:rsid w:val="4E8E6AAF"/>
    <w:rsid w:val="4EB728FC"/>
    <w:rsid w:val="4F134B4C"/>
    <w:rsid w:val="4F14284A"/>
    <w:rsid w:val="4FA9068E"/>
    <w:rsid w:val="4FA964E9"/>
    <w:rsid w:val="4FCA5955"/>
    <w:rsid w:val="4FDF63AF"/>
    <w:rsid w:val="50371D47"/>
    <w:rsid w:val="5051105B"/>
    <w:rsid w:val="50CF6840"/>
    <w:rsid w:val="50D36C2F"/>
    <w:rsid w:val="50F90C58"/>
    <w:rsid w:val="51316796"/>
    <w:rsid w:val="51EF21A4"/>
    <w:rsid w:val="52550599"/>
    <w:rsid w:val="526D7490"/>
    <w:rsid w:val="52783FF0"/>
    <w:rsid w:val="5347425E"/>
    <w:rsid w:val="536A184D"/>
    <w:rsid w:val="53D004E8"/>
    <w:rsid w:val="540E43A8"/>
    <w:rsid w:val="5458228C"/>
    <w:rsid w:val="54C811C0"/>
    <w:rsid w:val="55497FDB"/>
    <w:rsid w:val="556233C2"/>
    <w:rsid w:val="55AA1245"/>
    <w:rsid w:val="55B1434A"/>
    <w:rsid w:val="55C63A77"/>
    <w:rsid w:val="55D83373"/>
    <w:rsid w:val="565240E2"/>
    <w:rsid w:val="567A473C"/>
    <w:rsid w:val="5693670D"/>
    <w:rsid w:val="56F70FA1"/>
    <w:rsid w:val="57044768"/>
    <w:rsid w:val="574134AB"/>
    <w:rsid w:val="57EF6E42"/>
    <w:rsid w:val="58160494"/>
    <w:rsid w:val="58696BC7"/>
    <w:rsid w:val="58FB5932"/>
    <w:rsid w:val="594554D5"/>
    <w:rsid w:val="5B160CC1"/>
    <w:rsid w:val="5B981973"/>
    <w:rsid w:val="5BA035E1"/>
    <w:rsid w:val="5C2018E1"/>
    <w:rsid w:val="5C480E38"/>
    <w:rsid w:val="5D9E4A2C"/>
    <w:rsid w:val="5E1C3E88"/>
    <w:rsid w:val="5E222C6F"/>
    <w:rsid w:val="5E907C78"/>
    <w:rsid w:val="5F733DD4"/>
    <w:rsid w:val="5F742B33"/>
    <w:rsid w:val="5F9E593F"/>
    <w:rsid w:val="5FA939D1"/>
    <w:rsid w:val="5FAC0F8B"/>
    <w:rsid w:val="5FB02771"/>
    <w:rsid w:val="5FF6555B"/>
    <w:rsid w:val="600C696A"/>
    <w:rsid w:val="605519C0"/>
    <w:rsid w:val="60791F08"/>
    <w:rsid w:val="60A21481"/>
    <w:rsid w:val="60CD047D"/>
    <w:rsid w:val="60F55697"/>
    <w:rsid w:val="613A51D8"/>
    <w:rsid w:val="619A1BC9"/>
    <w:rsid w:val="61B56F70"/>
    <w:rsid w:val="61B67F28"/>
    <w:rsid w:val="6232704A"/>
    <w:rsid w:val="624E654F"/>
    <w:rsid w:val="626A1CEB"/>
    <w:rsid w:val="632A1297"/>
    <w:rsid w:val="63644B31"/>
    <w:rsid w:val="63AA7892"/>
    <w:rsid w:val="63C41121"/>
    <w:rsid w:val="640A0ECF"/>
    <w:rsid w:val="64492A8A"/>
    <w:rsid w:val="648F687F"/>
    <w:rsid w:val="65445D91"/>
    <w:rsid w:val="657E2598"/>
    <w:rsid w:val="65BF660F"/>
    <w:rsid w:val="66154481"/>
    <w:rsid w:val="663761A5"/>
    <w:rsid w:val="663F35A4"/>
    <w:rsid w:val="667A42E4"/>
    <w:rsid w:val="66AB48A7"/>
    <w:rsid w:val="67446DCC"/>
    <w:rsid w:val="67A41618"/>
    <w:rsid w:val="68D4417F"/>
    <w:rsid w:val="690D7691"/>
    <w:rsid w:val="691509F6"/>
    <w:rsid w:val="69162ADA"/>
    <w:rsid w:val="693966D8"/>
    <w:rsid w:val="69602985"/>
    <w:rsid w:val="69C93744"/>
    <w:rsid w:val="6A276531"/>
    <w:rsid w:val="6A303637"/>
    <w:rsid w:val="6AAF758B"/>
    <w:rsid w:val="6BC56001"/>
    <w:rsid w:val="6BE27E93"/>
    <w:rsid w:val="6C305808"/>
    <w:rsid w:val="6C3A254B"/>
    <w:rsid w:val="6C4C725E"/>
    <w:rsid w:val="6CF21709"/>
    <w:rsid w:val="6D801FE3"/>
    <w:rsid w:val="6DB427D1"/>
    <w:rsid w:val="6F0357BE"/>
    <w:rsid w:val="701D465E"/>
    <w:rsid w:val="70871AD7"/>
    <w:rsid w:val="71B132B0"/>
    <w:rsid w:val="71B3684D"/>
    <w:rsid w:val="723B701D"/>
    <w:rsid w:val="724A7260"/>
    <w:rsid w:val="726A022B"/>
    <w:rsid w:val="72BF19FC"/>
    <w:rsid w:val="732B6242"/>
    <w:rsid w:val="73D56FFD"/>
    <w:rsid w:val="74BC1756"/>
    <w:rsid w:val="74C640A4"/>
    <w:rsid w:val="74D379E1"/>
    <w:rsid w:val="753D69FF"/>
    <w:rsid w:val="75AB44BA"/>
    <w:rsid w:val="76054802"/>
    <w:rsid w:val="775F425A"/>
    <w:rsid w:val="77D21BB9"/>
    <w:rsid w:val="78322C70"/>
    <w:rsid w:val="785030F6"/>
    <w:rsid w:val="785427FB"/>
    <w:rsid w:val="78D36201"/>
    <w:rsid w:val="79525DB9"/>
    <w:rsid w:val="795B7F6F"/>
    <w:rsid w:val="79AC1809"/>
    <w:rsid w:val="79DD269B"/>
    <w:rsid w:val="79E61F64"/>
    <w:rsid w:val="7A862E00"/>
    <w:rsid w:val="7AB61937"/>
    <w:rsid w:val="7B6018A2"/>
    <w:rsid w:val="7B6020D8"/>
    <w:rsid w:val="7C43369E"/>
    <w:rsid w:val="7C541407"/>
    <w:rsid w:val="7CA87C2A"/>
    <w:rsid w:val="7CF800A5"/>
    <w:rsid w:val="7D16490F"/>
    <w:rsid w:val="7D272678"/>
    <w:rsid w:val="7D415D2F"/>
    <w:rsid w:val="7D442589"/>
    <w:rsid w:val="7DBE3A17"/>
    <w:rsid w:val="7DC0068A"/>
    <w:rsid w:val="7DEA16FF"/>
    <w:rsid w:val="7DF42531"/>
    <w:rsid w:val="7DFB6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semiHidden/>
    <w:unhideWhenUsed/>
    <w:qFormat/>
    <w:uiPriority w:val="99"/>
    <w:pPr>
      <w:jc w:val="left"/>
    </w:pPr>
  </w:style>
  <w:style w:type="paragraph" w:styleId="3">
    <w:name w:val="Balloon Text"/>
    <w:basedOn w:val="1"/>
    <w:link w:val="22"/>
    <w:autoRedefine/>
    <w:semiHidden/>
    <w:unhideWhenUsed/>
    <w:qFormat/>
    <w:uiPriority w:val="99"/>
    <w:rPr>
      <w:sz w:val="18"/>
      <w:szCs w:val="18"/>
    </w:rPr>
  </w:style>
  <w:style w:type="paragraph" w:styleId="4">
    <w:name w:val="footer"/>
    <w:basedOn w:val="1"/>
    <w:link w:val="18"/>
    <w:autoRedefine/>
    <w:unhideWhenUsed/>
    <w:qFormat/>
    <w:uiPriority w:val="99"/>
    <w:pPr>
      <w:tabs>
        <w:tab w:val="center" w:pos="4153"/>
        <w:tab w:val="right" w:pos="8306"/>
      </w:tabs>
      <w:snapToGrid w:val="0"/>
      <w:jc w:val="left"/>
    </w:pPr>
    <w:rPr>
      <w:sz w:val="18"/>
      <w:szCs w:val="18"/>
    </w:rPr>
  </w:style>
  <w:style w:type="paragraph" w:styleId="5">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Title"/>
    <w:basedOn w:val="1"/>
    <w:next w:val="1"/>
    <w:link w:val="14"/>
    <w:autoRedefine/>
    <w:qFormat/>
    <w:uiPriority w:val="0"/>
    <w:pPr>
      <w:spacing w:before="240" w:after="60"/>
      <w:jc w:val="center"/>
      <w:outlineLvl w:val="0"/>
    </w:pPr>
    <w:rPr>
      <w:rFonts w:ascii="Cambria" w:hAnsi="Cambria"/>
      <w:b/>
      <w:bCs/>
      <w:sz w:val="32"/>
      <w:szCs w:val="32"/>
    </w:rPr>
  </w:style>
  <w:style w:type="paragraph" w:styleId="8">
    <w:name w:val="annotation subject"/>
    <w:basedOn w:val="2"/>
    <w:next w:val="2"/>
    <w:link w:val="21"/>
    <w:autoRedefine/>
    <w:semiHidden/>
    <w:unhideWhenUsed/>
    <w:qFormat/>
    <w:uiPriority w:val="99"/>
    <w:rPr>
      <w:b/>
      <w:bCs/>
    </w:rPr>
  </w:style>
  <w:style w:type="table" w:styleId="10">
    <w:name w:val="Table Grid"/>
    <w:basedOn w:val="9"/>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basedOn w:val="11"/>
    <w:autoRedefine/>
    <w:semiHidden/>
    <w:unhideWhenUsed/>
    <w:qFormat/>
    <w:uiPriority w:val="99"/>
    <w:rPr>
      <w:sz w:val="21"/>
      <w:szCs w:val="21"/>
    </w:rPr>
  </w:style>
  <w:style w:type="character" w:customStyle="1" w:styleId="14">
    <w:name w:val="标题 字符"/>
    <w:basedOn w:val="11"/>
    <w:link w:val="7"/>
    <w:autoRedefine/>
    <w:qFormat/>
    <w:uiPriority w:val="0"/>
    <w:rPr>
      <w:rFonts w:ascii="Cambria" w:hAnsi="Cambria" w:eastAsia="宋体" w:cs="Times New Roman"/>
      <w:b/>
      <w:bCs/>
      <w:sz w:val="32"/>
      <w:szCs w:val="32"/>
    </w:rPr>
  </w:style>
  <w:style w:type="character" w:customStyle="1" w:styleId="15">
    <w:name w:val="15"/>
    <w:basedOn w:val="11"/>
    <w:autoRedefine/>
    <w:qFormat/>
    <w:uiPriority w:val="0"/>
    <w:rPr>
      <w:rFonts w:hint="default" w:ascii="Times New Roman" w:hAnsi="Times New Roman" w:cs="Times New Roman"/>
      <w:kern w:val="2"/>
      <w:sz w:val="21"/>
      <w:szCs w:val="21"/>
    </w:rPr>
  </w:style>
  <w:style w:type="character" w:customStyle="1" w:styleId="16">
    <w:name w:val="16"/>
    <w:basedOn w:val="11"/>
    <w:autoRedefine/>
    <w:qFormat/>
    <w:uiPriority w:val="0"/>
    <w:rPr>
      <w:rFonts w:hint="default" w:ascii="Calibri" w:hAnsi="Calibri"/>
      <w:color w:val="0000FF"/>
      <w:u w:val="single"/>
    </w:rPr>
  </w:style>
  <w:style w:type="character" w:customStyle="1" w:styleId="17">
    <w:name w:val="页眉 字符"/>
    <w:basedOn w:val="11"/>
    <w:link w:val="5"/>
    <w:autoRedefine/>
    <w:qFormat/>
    <w:uiPriority w:val="99"/>
    <w:rPr>
      <w:rFonts w:ascii="Times New Roman" w:hAnsi="Times New Roman" w:eastAsia="宋体" w:cs="Times New Roman"/>
      <w:sz w:val="18"/>
      <w:szCs w:val="18"/>
    </w:rPr>
  </w:style>
  <w:style w:type="character" w:customStyle="1" w:styleId="18">
    <w:name w:val="页脚 字符"/>
    <w:basedOn w:val="11"/>
    <w:link w:val="4"/>
    <w:autoRedefine/>
    <w:qFormat/>
    <w:uiPriority w:val="99"/>
    <w:rPr>
      <w:rFonts w:ascii="Times New Roman" w:hAnsi="Times New Roman" w:eastAsia="宋体" w:cs="Times New Roman"/>
      <w:sz w:val="18"/>
      <w:szCs w:val="18"/>
    </w:rPr>
  </w:style>
  <w:style w:type="paragraph" w:customStyle="1" w:styleId="19">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20">
    <w:name w:val="批注文字 字符"/>
    <w:basedOn w:val="11"/>
    <w:link w:val="2"/>
    <w:autoRedefine/>
    <w:semiHidden/>
    <w:qFormat/>
    <w:uiPriority w:val="99"/>
    <w:rPr>
      <w:rFonts w:ascii="Times New Roman" w:hAnsi="Times New Roman" w:eastAsia="宋体" w:cs="Times New Roman"/>
      <w:kern w:val="2"/>
      <w:sz w:val="21"/>
      <w:szCs w:val="24"/>
    </w:rPr>
  </w:style>
  <w:style w:type="character" w:customStyle="1" w:styleId="21">
    <w:name w:val="批注主题 字符"/>
    <w:basedOn w:val="20"/>
    <w:link w:val="8"/>
    <w:autoRedefine/>
    <w:semiHidden/>
    <w:qFormat/>
    <w:uiPriority w:val="99"/>
    <w:rPr>
      <w:rFonts w:ascii="Times New Roman" w:hAnsi="Times New Roman" w:eastAsia="宋体" w:cs="Times New Roman"/>
      <w:b/>
      <w:bCs/>
      <w:kern w:val="2"/>
      <w:sz w:val="21"/>
      <w:szCs w:val="24"/>
    </w:rPr>
  </w:style>
  <w:style w:type="character" w:customStyle="1" w:styleId="22">
    <w:name w:val="批注框文本 字符"/>
    <w:basedOn w:val="11"/>
    <w:link w:val="3"/>
    <w:autoRedefine/>
    <w:semiHidden/>
    <w:qFormat/>
    <w:uiPriority w:val="99"/>
    <w:rPr>
      <w:rFonts w:ascii="Times New Roman" w:hAnsi="Times New Roman" w:eastAsia="宋体" w:cs="Times New Roman"/>
      <w:kern w:val="2"/>
      <w:sz w:val="18"/>
      <w:szCs w:val="18"/>
    </w:rPr>
  </w:style>
  <w:style w:type="paragraph" w:customStyle="1" w:styleId="23">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sse</Company>
  <Pages>3</Pages>
  <Words>1727</Words>
  <Characters>1835</Characters>
  <Lines>56</Lines>
  <Paragraphs>50</Paragraphs>
  <TotalTime>96</TotalTime>
  <ScaleCrop>false</ScaleCrop>
  <LinksUpToDate>false</LinksUpToDate>
  <CharactersWithSpaces>1910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2024-11-20T08:52:00Z</dcterms:created>
  <dc:creator>yyfm</dc:creator>
  <cp:lastModifiedBy>木木凉</cp:lastModifiedBy>
  <cp:lastPrinted>2022-08-02T09:13:00Z</cp:lastPrinted>
  <dcterms:modified xsi:type="dcterms:W3CDTF">2026-08-31T08:28:29Z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FB5800DC81AF43328BFC763C2C40F22E_13</vt:lpwstr>
  </property>
  <property fmtid="{D5CDD505-2E9C-101B-9397-08002B2CF9AE}" pid="4" name="KSOTemplateDocerSaveRecord">
    <vt:lpwstr>eyJoZGlkIjoiM2Q1OTY3NzQ2ZWM5NjY5NTg3ZDI5MTY4Y2ZlODFiZjciLCJ1c2VySWQiOiI1Nzc3OTAyNzQifQ==</vt:lpwstr>
  </property>
</Properties>
</file>