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95122E">
      <w:pPr>
        <w:ind w:firstLine="120" w:firstLineChars="50"/>
        <w:rPr>
          <w:rFonts w:ascii="宋体" w:hAnsi="宋体"/>
          <w:b/>
          <w:bCs/>
          <w:iCs/>
          <w:color w:val="000000"/>
        </w:rPr>
      </w:pPr>
      <w:r>
        <w:rPr>
          <w:bCs/>
          <w:iCs/>
          <w:color w:val="000000"/>
        </w:rPr>
        <w:t>证券代码：</w:t>
      </w:r>
      <w:r>
        <w:rPr>
          <w:rFonts w:hint="eastAsia"/>
          <w:bCs/>
          <w:iCs/>
          <w:color w:val="000000"/>
        </w:rPr>
        <w:t>6</w:t>
      </w:r>
      <w:r>
        <w:rPr>
          <w:bCs/>
          <w:iCs/>
          <w:color w:val="000000"/>
        </w:rPr>
        <w:t>88429                                                                   证券简称：</w:t>
      </w:r>
      <w:r>
        <w:rPr>
          <w:rFonts w:hint="eastAsia"/>
          <w:bCs/>
          <w:iCs/>
          <w:color w:val="000000"/>
        </w:rPr>
        <w:t>时创能源</w:t>
      </w:r>
    </w:p>
    <w:p w14:paraId="4CD00D2F">
      <w:pPr>
        <w:spacing w:before="156" w:beforeLines="50"/>
        <w:ind w:firstLine="723"/>
        <w:jc w:val="center"/>
        <w:rPr>
          <w:rFonts w:ascii="宋体" w:hAnsi="宋体"/>
          <w:b/>
          <w:bCs/>
          <w:iCs/>
          <w:color w:val="000000"/>
          <w:sz w:val="36"/>
          <w:szCs w:val="36"/>
        </w:rPr>
      </w:pPr>
      <w:r>
        <w:rPr>
          <w:rFonts w:hint="eastAsia" w:ascii="宋体" w:hAnsi="宋体"/>
          <w:b/>
          <w:bCs/>
          <w:iCs/>
          <w:color w:val="000000"/>
          <w:sz w:val="36"/>
          <w:szCs w:val="36"/>
        </w:rPr>
        <w:t>常州时创能源股份有限公司</w:t>
      </w:r>
    </w:p>
    <w:p w14:paraId="2F514115">
      <w:pPr>
        <w:spacing w:after="156" w:afterLines="50"/>
        <w:ind w:firstLine="723"/>
        <w:jc w:val="center"/>
        <w:rPr>
          <w:rFonts w:ascii="宋体" w:hAnsi="宋体"/>
          <w:b/>
          <w:bCs/>
          <w:iCs/>
          <w:color w:val="000000"/>
          <w:sz w:val="36"/>
          <w:szCs w:val="36"/>
        </w:rPr>
      </w:pPr>
      <w:r>
        <w:rPr>
          <w:rFonts w:hint="eastAsia" w:ascii="宋体" w:hAnsi="宋体"/>
          <w:b/>
          <w:bCs/>
          <w:iCs/>
          <w:color w:val="000000"/>
          <w:sz w:val="36"/>
          <w:szCs w:val="36"/>
        </w:rPr>
        <w:t>投资者关系活动记录表</w:t>
      </w:r>
    </w:p>
    <w:p w14:paraId="44F46B2B">
      <w:pPr>
        <w:spacing w:line="400" w:lineRule="exact"/>
        <w:ind w:firstLine="480"/>
        <w:rPr>
          <w:rFonts w:hint="eastAsia" w:ascii="宋体" w:hAnsi="宋体" w:eastAsia="宋体"/>
          <w:bCs/>
          <w:iCs/>
          <w:color w:val="000000"/>
          <w:lang w:eastAsia="zh-CN"/>
        </w:rPr>
      </w:pPr>
      <w:r>
        <w:rPr>
          <w:rFonts w:hint="eastAsia" w:ascii="宋体" w:hAnsi="宋体"/>
          <w:bCs/>
          <w:iCs/>
          <w:color w:val="000000"/>
        </w:rPr>
        <w:t xml:space="preserve">                                                   编号：2</w:t>
      </w:r>
      <w:r>
        <w:rPr>
          <w:rFonts w:ascii="宋体" w:hAnsi="宋体"/>
          <w:bCs/>
          <w:iCs/>
          <w:color w:val="000000"/>
        </w:rPr>
        <w:t>02</w:t>
      </w:r>
      <w:r>
        <w:rPr>
          <w:rFonts w:hint="eastAsia" w:ascii="宋体" w:hAnsi="宋体"/>
          <w:bCs/>
          <w:iCs/>
          <w:color w:val="000000"/>
        </w:rPr>
        <w:t>6</w:t>
      </w:r>
      <w:r>
        <w:rPr>
          <w:rFonts w:ascii="宋体" w:hAnsi="宋体"/>
          <w:bCs/>
          <w:iCs/>
          <w:color w:val="000000"/>
        </w:rPr>
        <w:t>-</w:t>
      </w:r>
      <w:r>
        <w:rPr>
          <w:rFonts w:hint="eastAsia" w:ascii="宋体" w:hAnsi="宋体"/>
          <w:bCs/>
          <w:iCs/>
          <w:color w:val="000000"/>
        </w:rPr>
        <w:t>0</w:t>
      </w:r>
      <w:r>
        <w:rPr>
          <w:rFonts w:ascii="宋体" w:hAnsi="宋体"/>
          <w:bCs/>
          <w:iCs/>
          <w:color w:val="000000"/>
        </w:rPr>
        <w:t>0</w:t>
      </w:r>
      <w:r>
        <w:rPr>
          <w:rFonts w:hint="eastAsia" w:ascii="宋体" w:hAnsi="宋体"/>
          <w:bCs/>
          <w:iCs/>
          <w:color w:val="000000"/>
          <w:lang w:val="en-US" w:eastAsia="zh-CN"/>
        </w:rPr>
        <w:t>2</w:t>
      </w:r>
    </w:p>
    <w:tbl>
      <w:tblPr>
        <w:tblStyle w:val="7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7"/>
        <w:gridCol w:w="6176"/>
      </w:tblGrid>
      <w:tr w14:paraId="08E59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CBEBE4">
            <w:pPr>
              <w:ind w:firstLine="0" w:firstLineChars="0"/>
              <w:rPr>
                <w:rFonts w:ascii="宋体" w:hAnsi="宋体" w:cs="宋体"/>
                <w:bCs/>
                <w:iCs/>
                <w:color w:val="000000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</w:rPr>
              <w:t>投资者关系活动类别</w:t>
            </w:r>
          </w:p>
        </w:tc>
        <w:tc>
          <w:tcPr>
            <w:tcW w:w="37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F3BE0C">
            <w:pPr>
              <w:ind w:firstLine="0" w:firstLineChars="0"/>
              <w:rPr>
                <w:rFonts w:ascii="宋体" w:hAnsi="宋体" w:cs="宋体"/>
                <w:bCs/>
                <w:iCs/>
                <w:color w:val="000000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</w:rPr>
              <w:t>□</w:t>
            </w:r>
            <w:r>
              <w:rPr>
                <w:rFonts w:hint="eastAsia" w:ascii="宋体" w:hAnsi="宋体" w:cs="宋体"/>
              </w:rPr>
              <w:t xml:space="preserve">特定对象调研        </w:t>
            </w:r>
            <w:r>
              <w:rPr>
                <w:rFonts w:hint="eastAsia" w:ascii="宋体" w:hAnsi="宋体" w:cs="宋体"/>
                <w:bCs/>
                <w:iCs/>
                <w:color w:val="000000"/>
              </w:rPr>
              <w:t>□</w:t>
            </w:r>
            <w:r>
              <w:rPr>
                <w:rFonts w:hint="eastAsia" w:ascii="宋体" w:hAnsi="宋体" w:cs="宋体"/>
              </w:rPr>
              <w:t>分析师会议</w:t>
            </w:r>
          </w:p>
          <w:p w14:paraId="5F2E3433">
            <w:pPr>
              <w:ind w:firstLine="0" w:firstLineChars="0"/>
              <w:rPr>
                <w:rFonts w:ascii="宋体" w:hAnsi="宋体" w:cs="宋体"/>
                <w:bCs/>
                <w:iCs/>
                <w:color w:val="000000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</w:rPr>
              <w:t>□</w:t>
            </w:r>
            <w:r>
              <w:rPr>
                <w:rFonts w:hint="eastAsia" w:ascii="宋体" w:hAnsi="宋体" w:cs="宋体"/>
              </w:rPr>
              <w:t xml:space="preserve">媒体采访            </w:t>
            </w:r>
            <w:r>
              <w:rPr>
                <w:rFonts w:hint="eastAsia" w:ascii="宋体" w:hAnsi="宋体" w:cs="宋体"/>
                <w:bCs/>
                <w:iCs/>
                <w:color w:val="000000"/>
              </w:rPr>
              <w:t>☑</w:t>
            </w:r>
            <w:r>
              <w:rPr>
                <w:rFonts w:hint="eastAsia" w:ascii="宋体" w:hAnsi="宋体" w:cs="宋体"/>
              </w:rPr>
              <w:t>业绩说明会</w:t>
            </w:r>
          </w:p>
          <w:p w14:paraId="5F11C551">
            <w:pPr>
              <w:ind w:firstLine="0" w:firstLineChars="0"/>
              <w:rPr>
                <w:rFonts w:ascii="宋体" w:hAnsi="宋体" w:cs="宋体"/>
                <w:bCs/>
                <w:iCs/>
                <w:color w:val="000000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</w:rPr>
              <w:t>□</w:t>
            </w:r>
            <w:r>
              <w:rPr>
                <w:rFonts w:hint="eastAsia" w:ascii="宋体" w:hAnsi="宋体" w:cs="宋体"/>
              </w:rPr>
              <w:t xml:space="preserve">新闻发布会          </w:t>
            </w:r>
            <w:r>
              <w:rPr>
                <w:rFonts w:hint="eastAsia" w:ascii="宋体" w:hAnsi="宋体" w:cs="宋体"/>
                <w:bCs/>
                <w:iCs/>
                <w:color w:val="000000"/>
              </w:rPr>
              <w:t>□</w:t>
            </w:r>
            <w:r>
              <w:rPr>
                <w:rFonts w:hint="eastAsia" w:ascii="宋体" w:hAnsi="宋体" w:cs="宋体"/>
              </w:rPr>
              <w:t>路演活动</w:t>
            </w:r>
          </w:p>
          <w:p w14:paraId="3B06488A">
            <w:pPr>
              <w:tabs>
                <w:tab w:val="left" w:pos="3045"/>
                <w:tab w:val="center" w:pos="3199"/>
              </w:tabs>
              <w:ind w:firstLine="0" w:firstLineChars="0"/>
              <w:rPr>
                <w:rFonts w:ascii="宋体" w:hAnsi="宋体" w:cs="宋体"/>
                <w:bCs/>
                <w:iCs/>
                <w:color w:val="000000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</w:rPr>
              <w:t>□</w:t>
            </w:r>
            <w:r>
              <w:rPr>
                <w:rFonts w:hint="eastAsia" w:ascii="宋体" w:hAnsi="宋体" w:cs="宋体"/>
              </w:rPr>
              <w:t xml:space="preserve">现场参观            </w:t>
            </w:r>
            <w:r>
              <w:rPr>
                <w:rFonts w:hint="eastAsia" w:ascii="宋体" w:hAnsi="宋体" w:cs="宋体"/>
                <w:bCs/>
                <w:iCs/>
                <w:color w:val="000000"/>
              </w:rPr>
              <w:t>□</w:t>
            </w:r>
            <w:r>
              <w:rPr>
                <w:rFonts w:hint="eastAsia" w:ascii="宋体" w:hAnsi="宋体" w:cs="宋体"/>
              </w:rPr>
              <w:t xml:space="preserve">其他 </w:t>
            </w:r>
          </w:p>
        </w:tc>
      </w:tr>
      <w:tr w14:paraId="4475F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86E74D">
            <w:pPr>
              <w:ind w:firstLine="0" w:firstLineChars="0"/>
              <w:rPr>
                <w:rFonts w:ascii="宋体" w:hAnsi="宋体" w:cs="宋体"/>
                <w:bCs/>
                <w:iCs/>
                <w:color w:val="000000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</w:rPr>
              <w:t>参与单位名称及人员姓名</w:t>
            </w:r>
          </w:p>
        </w:tc>
        <w:tc>
          <w:tcPr>
            <w:tcW w:w="37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2CDE9D">
            <w:pPr>
              <w:ind w:firstLine="0" w:firstLineChars="0"/>
              <w:rPr>
                <w:rFonts w:ascii="宋体" w:hAnsi="宋体" w:cs="宋体"/>
                <w:bCs/>
                <w:iCs/>
                <w:color w:val="000000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</w:rPr>
              <w:t>线上参与公司202</w:t>
            </w:r>
            <w:r>
              <w:rPr>
                <w:rFonts w:hint="eastAsia" w:ascii="宋体" w:hAnsi="宋体" w:cs="宋体"/>
                <w:bCs/>
                <w:iCs/>
                <w:color w:val="000000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bCs/>
                <w:iCs/>
                <w:color w:val="000000"/>
              </w:rPr>
              <w:t>年</w:t>
            </w:r>
            <w:r>
              <w:rPr>
                <w:rFonts w:hint="eastAsia" w:ascii="宋体" w:hAnsi="宋体" w:cs="宋体"/>
                <w:bCs/>
                <w:iCs/>
                <w:color w:val="000000"/>
                <w:lang w:val="en-US" w:eastAsia="zh-CN"/>
              </w:rPr>
              <w:t>半年度</w:t>
            </w:r>
            <w:r>
              <w:rPr>
                <w:rFonts w:hint="eastAsia" w:ascii="宋体" w:hAnsi="宋体" w:cs="宋体"/>
                <w:bCs/>
                <w:iCs/>
                <w:color w:val="000000"/>
              </w:rPr>
              <w:t>业绩说明会的投资者</w:t>
            </w:r>
          </w:p>
        </w:tc>
      </w:tr>
      <w:tr w14:paraId="51E82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1F412">
            <w:pPr>
              <w:ind w:firstLine="0" w:firstLineChars="0"/>
              <w:rPr>
                <w:rFonts w:ascii="宋体" w:hAnsi="宋体" w:cs="宋体"/>
                <w:bCs/>
                <w:iCs/>
                <w:color w:val="000000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</w:rPr>
              <w:t>时间</w:t>
            </w:r>
          </w:p>
        </w:tc>
        <w:tc>
          <w:tcPr>
            <w:tcW w:w="37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522E4F">
            <w:pPr>
              <w:ind w:firstLine="0" w:firstLineChars="0"/>
              <w:rPr>
                <w:rFonts w:hint="default" w:ascii="宋体" w:hAnsi="宋体" w:eastAsia="宋体" w:cs="宋体"/>
                <w:bCs/>
                <w:iCs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</w:rPr>
              <w:t>2026年</w:t>
            </w:r>
            <w:r>
              <w:rPr>
                <w:rFonts w:hint="eastAsia" w:ascii="宋体" w:hAnsi="宋体" w:cs="宋体"/>
                <w:bCs/>
                <w:iCs/>
                <w:color w:val="000000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bCs/>
                <w:iCs/>
                <w:color w:val="000000"/>
              </w:rPr>
              <w:t>月1日（星期</w:t>
            </w:r>
            <w:r>
              <w:rPr>
                <w:rFonts w:hint="eastAsia" w:ascii="宋体" w:hAnsi="宋体" w:cs="宋体"/>
                <w:bCs/>
                <w:iCs/>
                <w:color w:val="000000"/>
                <w:lang w:val="en-US" w:eastAsia="zh-CN"/>
              </w:rPr>
              <w:t>二</w:t>
            </w:r>
            <w:r>
              <w:rPr>
                <w:rFonts w:hint="eastAsia" w:ascii="宋体" w:hAnsi="宋体" w:cs="宋体"/>
                <w:bCs/>
                <w:iCs/>
                <w:color w:val="000000"/>
              </w:rPr>
              <w:t>） 上午10:</w:t>
            </w:r>
            <w:r>
              <w:rPr>
                <w:rFonts w:hint="eastAsia" w:ascii="宋体" w:hAnsi="宋体" w:cs="宋体"/>
                <w:bCs/>
                <w:iCs/>
                <w:color w:val="000000"/>
                <w:lang w:val="en-US" w:eastAsia="zh-CN"/>
              </w:rPr>
              <w:t>00</w:t>
            </w:r>
            <w:r>
              <w:rPr>
                <w:rFonts w:hint="eastAsia" w:ascii="宋体" w:hAnsi="宋体" w:cs="宋体"/>
                <w:bCs/>
                <w:iCs/>
                <w:color w:val="000000"/>
              </w:rPr>
              <w:t>-11:</w:t>
            </w:r>
            <w:r>
              <w:rPr>
                <w:rFonts w:hint="eastAsia" w:ascii="宋体" w:hAnsi="宋体" w:cs="宋体"/>
                <w:bCs/>
                <w:iCs/>
                <w:color w:val="000000"/>
                <w:lang w:val="en-US" w:eastAsia="zh-CN"/>
              </w:rPr>
              <w:t>00</w:t>
            </w:r>
          </w:p>
        </w:tc>
      </w:tr>
      <w:tr w14:paraId="32070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432A8">
            <w:pPr>
              <w:ind w:firstLine="0" w:firstLineChars="0"/>
              <w:rPr>
                <w:rFonts w:ascii="宋体" w:hAnsi="宋体" w:cs="宋体"/>
                <w:bCs/>
                <w:iCs/>
                <w:color w:val="000000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</w:rPr>
              <w:t>地点</w:t>
            </w:r>
          </w:p>
        </w:tc>
        <w:tc>
          <w:tcPr>
            <w:tcW w:w="37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540949">
            <w:pPr>
              <w:ind w:firstLine="0" w:firstLineChars="0"/>
              <w:rPr>
                <w:rFonts w:ascii="宋体" w:hAnsi="宋体" w:cs="宋体"/>
                <w:bCs/>
                <w:iCs/>
                <w:color w:val="000000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</w:rPr>
              <w:t>进门财经APP/进门财经小程序</w:t>
            </w:r>
          </w:p>
        </w:tc>
      </w:tr>
      <w:tr w14:paraId="0A531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4BC63">
            <w:pPr>
              <w:ind w:firstLine="0" w:firstLineChars="0"/>
              <w:rPr>
                <w:rFonts w:ascii="宋体" w:hAnsi="宋体" w:cs="宋体"/>
                <w:bCs/>
                <w:iCs/>
                <w:color w:val="000000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</w:rPr>
              <w:t>上市公司接待人员姓名</w:t>
            </w:r>
          </w:p>
        </w:tc>
        <w:tc>
          <w:tcPr>
            <w:tcW w:w="37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DC74C2">
            <w:pPr>
              <w:ind w:firstLine="0" w:firstLineChars="0"/>
              <w:rPr>
                <w:rFonts w:ascii="宋体" w:hAnsi="宋体" w:cs="宋体"/>
                <w:bCs/>
                <w:iCs/>
                <w:color w:val="000000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</w:rPr>
              <w:t>董事长：符黎明先生</w:t>
            </w:r>
          </w:p>
          <w:p w14:paraId="512690F6">
            <w:pPr>
              <w:ind w:firstLine="0" w:firstLineChars="0"/>
              <w:rPr>
                <w:rFonts w:ascii="宋体" w:hAnsi="宋体" w:cs="宋体"/>
                <w:bCs/>
                <w:iCs/>
                <w:color w:val="000000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</w:rPr>
              <w:t>财务负责人：彭友才先生</w:t>
            </w:r>
          </w:p>
          <w:p w14:paraId="1C1EC132">
            <w:pPr>
              <w:ind w:firstLine="0" w:firstLineChars="0"/>
              <w:rPr>
                <w:rFonts w:ascii="宋体" w:hAnsi="宋体" w:cs="宋体"/>
                <w:bCs/>
                <w:iCs/>
                <w:color w:val="000000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</w:rPr>
              <w:t>董事会秘书：夏晶晶女士</w:t>
            </w:r>
          </w:p>
        </w:tc>
      </w:tr>
      <w:tr w14:paraId="06641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E2BB7">
            <w:pPr>
              <w:ind w:firstLine="0" w:firstLineChars="0"/>
              <w:rPr>
                <w:rFonts w:ascii="宋体" w:hAnsi="宋体" w:cs="宋体"/>
                <w:bCs/>
                <w:iCs/>
                <w:color w:val="000000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</w:rPr>
              <w:t>投资者关系活动主要内容介绍</w:t>
            </w:r>
          </w:p>
        </w:tc>
        <w:tc>
          <w:tcPr>
            <w:tcW w:w="37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6CDE62">
            <w:pPr>
              <w:ind w:firstLine="0" w:firstLineChars="0"/>
              <w:rPr>
                <w:rFonts w:ascii="宋体" w:hAnsi="宋体" w:cs="宋体"/>
                <w:b/>
                <w:bCs/>
                <w:i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iCs/>
                <w:color w:val="000000"/>
              </w:rPr>
              <w:t>Q1：简要介</w:t>
            </w:r>
            <w:r>
              <w:rPr>
                <w:rFonts w:hint="eastAsia" w:ascii="宋体" w:hAnsi="宋体" w:cs="宋体"/>
                <w:b/>
                <w:bCs/>
                <w:iCs/>
                <w:color w:val="000000"/>
                <w:lang w:eastAsia="zh-CN"/>
              </w:rPr>
              <w:t>绍一</w:t>
            </w:r>
            <w:r>
              <w:rPr>
                <w:rFonts w:hint="eastAsia" w:ascii="宋体" w:hAnsi="宋体" w:cs="宋体"/>
                <w:b/>
                <w:bCs/>
                <w:iCs/>
                <w:color w:val="000000"/>
              </w:rPr>
              <w:t>下公司2026年上半年的经营情况</w:t>
            </w:r>
          </w:p>
          <w:p w14:paraId="6EB3390D">
            <w:pPr>
              <w:ind w:firstLine="480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尊敬的投资者您好，报告期内公司实现营业总收入53,317.41万元，同比增长18.23%，主要因为电池片对比去年同期量价齐涨；同时电池产线基本满产，运营效率持续提升，电池单瓦毛利明显减亏；公司实现归属于母公司股东的净利润-28,210.59万元，其中基于谨慎性原则，对存货计提了跌价准备及对TOPCon 中试线相关的设备计提了资产减值准备。感谢您的关注！</w:t>
            </w:r>
          </w:p>
          <w:p w14:paraId="4EEC7496">
            <w:pPr>
              <w:ind w:firstLine="0" w:firstLineChars="0"/>
              <w:jc w:val="left"/>
              <w:rPr>
                <w:rFonts w:ascii="宋体" w:hAnsi="宋体" w:cs="宋体"/>
                <w:b/>
                <w:bCs/>
                <w:i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iCs/>
                <w:color w:val="000000"/>
              </w:rPr>
              <w:t>Q2：</w:t>
            </w:r>
            <w:r>
              <w:rPr>
                <w:rFonts w:hint="eastAsia"/>
                <w:b/>
              </w:rPr>
              <w:t>请问最新的叠栅进展如何？</w:t>
            </w:r>
          </w:p>
          <w:p w14:paraId="7DB5CA91">
            <w:pPr>
              <w:ind w:firstLine="480"/>
              <w:rPr>
                <w:rFonts w:ascii="宋体" w:hAnsi="宋体" w:cs="宋体"/>
                <w:iCs/>
                <w:color w:val="000000"/>
              </w:rPr>
            </w:pPr>
            <w:r>
              <w:rPr>
                <w:rFonts w:ascii="宋体" w:hAnsi="宋体" w:cs="宋体"/>
                <w:iCs/>
                <w:color w:val="000000"/>
              </w:rPr>
              <w:t>尊敬的投资者您好，</w:t>
            </w:r>
            <w:r>
              <w:rPr>
                <w:rFonts w:hint="eastAsia" w:ascii="宋体" w:hAnsi="宋体" w:cs="宋体"/>
                <w:iCs/>
                <w:color w:val="000000"/>
              </w:rPr>
              <w:t>报告期内公司持续致力于叠栅技术的量产推进。公司已跑通第二代双面叠栅工艺，中试线叠栅在2382*1134版型的组件平均功率突破665W。目前叠栅技术面临的问题是进一步提高设备的产能，降低投资门槛，以及减少银耗和导电丝的用量，降低单瓦成本，结合最新推出的《晶体硅光伏组件和逆变器能效限定值及能效等级》，我们正在积极探索一个高效低成本的解决方案。目前公司优先推动类叠栅（40BB）技术作为量产推广路线，该技术可基于现有TOPCon工艺，和目前主流的钝化及背面Poly技术完美结合，通过组件端的设备升级，使用三角导电丝节约银耗，从而实现降本增效的目的。</w:t>
            </w:r>
            <w:r>
              <w:rPr>
                <w:rFonts w:ascii="宋体" w:hAnsi="宋体" w:cs="宋体"/>
                <w:iCs/>
                <w:color w:val="000000"/>
              </w:rPr>
              <w:t>感谢您对公司的关注，谢谢！</w:t>
            </w:r>
          </w:p>
          <w:p w14:paraId="0720F832">
            <w:pPr>
              <w:ind w:firstLine="0" w:firstLineChars="0"/>
              <w:jc w:val="left"/>
              <w:rPr>
                <w:rFonts w:ascii="宋体" w:hAnsi="宋体" w:cs="宋体"/>
                <w:b/>
                <w:bCs/>
                <w:i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iCs/>
                <w:color w:val="000000"/>
              </w:rPr>
              <w:t>Q3：辅助品业务在上半年的经营情况？毛利情况是否有变化？</w:t>
            </w:r>
          </w:p>
          <w:p w14:paraId="0737F230">
            <w:pPr>
              <w:ind w:firstLine="480"/>
              <w:jc w:val="left"/>
              <w:rPr>
                <w:rFonts w:ascii="宋体" w:hAnsi="宋体" w:cs="宋体"/>
                <w:iCs/>
                <w:color w:val="000000"/>
              </w:rPr>
            </w:pPr>
            <w:r>
              <w:rPr>
                <w:rFonts w:ascii="宋体" w:hAnsi="宋体" w:cs="宋体"/>
                <w:iCs/>
                <w:color w:val="000000"/>
              </w:rPr>
              <w:t>尊敬的投资者您好，</w:t>
            </w:r>
            <w:r>
              <w:rPr>
                <w:rFonts w:hint="eastAsia" w:ascii="宋体" w:hAnsi="宋体" w:cs="宋体"/>
                <w:iCs/>
                <w:color w:val="000000"/>
              </w:rPr>
              <w:t>基于行业产能严重过剩、制造端产量亦大幅下降的背景下，公司报告期内，辅助品整体实现1006万升，同比有所下降，但市占率仍旧保持细分行业的龙头地位。公司今年迭代了二次制绒添加剂和工艺，兼顾低反射与外观良率，带来</w:t>
            </w:r>
            <w:r>
              <w:rPr>
                <w:rFonts w:hint="eastAsia" w:ascii="宋体" w:hAnsi="宋体" w:cs="宋体"/>
                <w:iCs/>
                <w:color w:val="000000"/>
                <w:lang w:eastAsia="zh-CN"/>
              </w:rPr>
              <w:t>0.03%—0.05%</w:t>
            </w:r>
            <w:r>
              <w:rPr>
                <w:rFonts w:hint="eastAsia" w:ascii="宋体" w:hAnsi="宋体" w:cs="宋体"/>
                <w:iCs/>
                <w:color w:val="000000"/>
              </w:rPr>
              <w:t>效率增益；开发针对正面SE工艺的制绒添加剂ATS，拓宽前后道工艺窗口，叠加二次制绒，效率提升0.05%。公司持续研</w:t>
            </w:r>
            <w:r>
              <w:rPr>
                <w:rFonts w:hint="eastAsia" w:ascii="宋体" w:hAnsi="宋体" w:cs="宋体"/>
                <w:iCs/>
                <w:color w:val="000000"/>
                <w:lang w:eastAsia="zh-CN"/>
              </w:rPr>
              <w:t>发和</w:t>
            </w:r>
            <w:r>
              <w:rPr>
                <w:rFonts w:hint="eastAsia" w:ascii="宋体" w:hAnsi="宋体" w:cs="宋体"/>
                <w:iCs/>
                <w:color w:val="000000"/>
              </w:rPr>
              <w:t>进行技术迭代创新，降本兼顾增效，使得</w:t>
            </w:r>
            <w:r>
              <w:rPr>
                <w:rFonts w:hint="eastAsia" w:ascii="宋体" w:hAnsi="宋体" w:cs="宋体"/>
                <w:iCs/>
                <w:color w:val="000000"/>
                <w:lang w:val="en-US" w:eastAsia="zh-CN"/>
              </w:rPr>
              <w:t>报告期</w:t>
            </w:r>
            <w:r>
              <w:rPr>
                <w:rFonts w:hint="eastAsia" w:ascii="宋体" w:hAnsi="宋体" w:cs="宋体"/>
                <w:iCs/>
                <w:color w:val="000000"/>
              </w:rPr>
              <w:t>内，辅助品的毛利率对比去年同期有所上涨。</w:t>
            </w:r>
            <w:r>
              <w:rPr>
                <w:rFonts w:ascii="宋体" w:hAnsi="宋体" w:cs="宋体"/>
                <w:iCs/>
                <w:color w:val="000000"/>
              </w:rPr>
              <w:t>感谢您的关注，谢谢！</w:t>
            </w:r>
          </w:p>
          <w:p w14:paraId="3A363A0B">
            <w:pPr>
              <w:ind w:firstLine="0" w:firstLineChars="0"/>
              <w:jc w:val="left"/>
              <w:rPr>
                <w:rFonts w:ascii="宋体" w:hAnsi="宋体" w:cs="宋体"/>
                <w:b/>
                <w:bCs/>
                <w:i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iCs/>
                <w:color w:val="000000"/>
              </w:rPr>
              <w:t>Q4：电池片业务在上半年的经营情况？</w:t>
            </w:r>
          </w:p>
          <w:p w14:paraId="4427B490">
            <w:pPr>
              <w:ind w:firstLine="480"/>
              <w:jc w:val="left"/>
              <w:rPr>
                <w:rFonts w:ascii="宋体" w:hAnsi="宋体" w:cs="宋体"/>
                <w:iCs/>
                <w:color w:val="000000"/>
              </w:rPr>
            </w:pPr>
            <w:r>
              <w:rPr>
                <w:rFonts w:hint="eastAsia" w:ascii="宋体" w:hAnsi="宋体" w:cs="宋体"/>
                <w:iCs/>
                <w:color w:val="000000"/>
              </w:rPr>
              <w:t>尊敬的投资者您好，2026 年上半年，半片电池基本保持满产，使得报告期内实现1.39GW销售量，同比增长32.28%，同时在行业政策的推动下，平均单价0.32元/W，同比增长28.13%，使得电池实现营收43,958 万元，同比增长69.49%。虽然受行业趋势影响电池仍旧处于亏损状态，但由于产线营运效率不断提升，使得单W毛利有明显减亏趋势。感谢您对公司的关注，谢谢！</w:t>
            </w:r>
          </w:p>
          <w:p w14:paraId="7E71033E">
            <w:pPr>
              <w:ind w:firstLine="0" w:firstLineChars="0"/>
              <w:jc w:val="left"/>
              <w:rPr>
                <w:rFonts w:ascii="宋体" w:hAnsi="宋体" w:cs="宋体"/>
                <w:b/>
                <w:bCs/>
                <w:i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iCs/>
                <w:color w:val="000000"/>
              </w:rPr>
              <w:t>Q5：结合最新行业政策，光伏电池市场有什么趋势？</w:t>
            </w:r>
            <w:bookmarkStart w:id="0" w:name="_GoBack"/>
            <w:bookmarkEnd w:id="0"/>
          </w:p>
          <w:p w14:paraId="75AD929A">
            <w:pPr>
              <w:ind w:firstLine="480"/>
              <w:jc w:val="left"/>
              <w:rPr>
                <w:rFonts w:hint="eastAsia" w:ascii="宋体" w:hAnsi="宋体" w:cs="宋体"/>
                <w:iCs/>
                <w:color w:val="000000"/>
              </w:rPr>
            </w:pPr>
            <w:r>
              <w:rPr>
                <w:rFonts w:hint="eastAsia" w:ascii="宋体" w:hAnsi="宋体" w:cs="宋体"/>
                <w:iCs/>
                <w:color w:val="000000"/>
              </w:rPr>
              <w:t>尊敬的投资者您好，2026 年上半年，光伏行业“反内卷”政策体系加速成型。7月工信部等三部门联合发布三项能耗能效国标，将于2027年1月1日落地实施，标志着行业治理从规模扩张转向全链条精细化管控。强制性能耗标准对光伏行业而言，既是一场残酷的淘汰赛，也是一次战略定力的试金石，促使企业评估自身是否有长期深耕光伏领域的规划、是否有能力应对长期技术竞争。但满足现有能耗指标要求后，产能过剩和技术迭代的竞争也不会停歇，市场需求正向更高效率迈进，因此企业的长期信心不应建立在现有产能上，而应源于持续研发、工艺积累和健康财务支撑的创新能力。感谢您对公司的关注，谢谢！</w:t>
            </w:r>
          </w:p>
          <w:p w14:paraId="1037BC4A">
            <w:pPr>
              <w:ind w:firstLine="0" w:firstLineChars="0"/>
              <w:jc w:val="left"/>
              <w:rPr>
                <w:rFonts w:ascii="宋体" w:hAnsi="宋体" w:cs="宋体"/>
                <w:b/>
                <w:bCs/>
                <w:i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iCs/>
                <w:color w:val="000000"/>
              </w:rPr>
              <w:t>Q</w:t>
            </w:r>
            <w:r>
              <w:rPr>
                <w:rFonts w:hint="eastAsia" w:ascii="宋体" w:hAnsi="宋体" w:cs="宋体"/>
                <w:b/>
                <w:bCs/>
                <w:iCs/>
                <w:color w:val="000000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b/>
                <w:bCs/>
                <w:iCs/>
                <w:color w:val="000000"/>
              </w:rPr>
              <w:t>：光伏产能出清的背景下，公司认为哪些光伏企业具备竞争优势？</w:t>
            </w:r>
          </w:p>
          <w:p w14:paraId="22A3E709">
            <w:pPr>
              <w:ind w:firstLine="480"/>
              <w:jc w:val="left"/>
              <w:rPr>
                <w:rFonts w:hint="eastAsia" w:ascii="宋体" w:hAnsi="宋体" w:cs="宋体"/>
                <w:iCs/>
                <w:color w:val="000000"/>
              </w:rPr>
            </w:pPr>
            <w:r>
              <w:rPr>
                <w:rFonts w:hint="eastAsia" w:ascii="宋体" w:hAnsi="宋体" w:cs="宋体"/>
                <w:iCs/>
                <w:color w:val="000000"/>
              </w:rPr>
              <w:t>尊敬的投资者您好，在2026年光伏行业产能严重过剩、全产业链供需比超2:1、主链企业普遍亏损的严峻背景下，2027年1月1日即将落地的三项能耗与能效强制性国家标准，已成为加速落后产能出清的关键政策推手，促使企业评估自身是否有长期深耕光伏领域的规划、是否有能力应对长期技术竞争。行业竞争逻辑正从“拼价格、扩规模”转向以技术、品质、差异化优势为核心的价值竞争。持续研发、工艺积累和健康财务支撑的创新能力才能引领企业走得更长远。感谢您对公司的关注，谢谢！</w:t>
            </w:r>
          </w:p>
        </w:tc>
      </w:tr>
      <w:tr w14:paraId="01436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96002">
            <w:pPr>
              <w:ind w:firstLine="0" w:firstLineChars="0"/>
              <w:rPr>
                <w:rFonts w:ascii="宋体" w:hAnsi="宋体" w:cs="宋体"/>
                <w:bCs/>
                <w:iCs/>
                <w:color w:val="000000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</w:rPr>
              <w:t>附件清单（如有）</w:t>
            </w:r>
          </w:p>
        </w:tc>
        <w:tc>
          <w:tcPr>
            <w:tcW w:w="37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82F856">
            <w:pPr>
              <w:ind w:firstLine="0" w:firstLineChars="0"/>
              <w:rPr>
                <w:rFonts w:hint="default" w:ascii="宋体" w:hAnsi="宋体" w:eastAsia="宋体" w:cs="宋体"/>
                <w:bCs/>
                <w:iCs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lang w:val="en-US" w:eastAsia="zh-CN"/>
              </w:rPr>
              <w:t>无</w:t>
            </w:r>
          </w:p>
        </w:tc>
      </w:tr>
      <w:tr w14:paraId="3AD22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B7463E">
            <w:pPr>
              <w:ind w:firstLine="0" w:firstLineChars="0"/>
              <w:rPr>
                <w:rFonts w:ascii="宋体" w:hAnsi="宋体" w:cs="宋体"/>
                <w:bCs/>
                <w:iCs/>
                <w:color w:val="000000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</w:rPr>
              <w:t>日期</w:t>
            </w:r>
          </w:p>
        </w:tc>
        <w:tc>
          <w:tcPr>
            <w:tcW w:w="37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0BF466">
            <w:pPr>
              <w:ind w:firstLine="0" w:firstLineChars="0"/>
              <w:rPr>
                <w:rFonts w:ascii="宋体" w:hAnsi="宋体" w:cs="宋体"/>
                <w:bCs/>
                <w:iCs/>
                <w:color w:val="000000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</w:rPr>
              <w:t>2026年</w:t>
            </w:r>
            <w:r>
              <w:rPr>
                <w:rFonts w:hint="eastAsia" w:ascii="宋体" w:hAnsi="宋体" w:cs="宋体"/>
                <w:bCs/>
                <w:iCs/>
                <w:color w:val="000000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bCs/>
                <w:iCs/>
                <w:color w:val="000000"/>
              </w:rPr>
              <w:t>月1日</w:t>
            </w:r>
          </w:p>
        </w:tc>
      </w:tr>
    </w:tbl>
    <w:p w14:paraId="21711891">
      <w:pPr>
        <w:ind w:firstLine="480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D32F9A"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C84841"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D5CFB0">
    <w:pPr>
      <w:pStyle w:val="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8985BF">
    <w:pPr>
      <w:pStyle w:val="5"/>
      <w:pBdr>
        <w:bottom w:val="none" w:color="auto" w:sz="0" w:space="1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54177D"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D8B96D">
    <w:pPr>
      <w:pStyle w:val="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JiNzhmNmJjZDVkNTVmZWY3ZGQ0ZDEwMDU2YjM4OWUifQ=="/>
  </w:docVars>
  <w:rsids>
    <w:rsidRoot w:val="00B62A85"/>
    <w:rsid w:val="0007719D"/>
    <w:rsid w:val="0016792A"/>
    <w:rsid w:val="001C4E8E"/>
    <w:rsid w:val="00234653"/>
    <w:rsid w:val="002631D3"/>
    <w:rsid w:val="0033014A"/>
    <w:rsid w:val="003B0E41"/>
    <w:rsid w:val="00455FC8"/>
    <w:rsid w:val="0046075E"/>
    <w:rsid w:val="004C03B2"/>
    <w:rsid w:val="004E1C69"/>
    <w:rsid w:val="005102ED"/>
    <w:rsid w:val="005979D5"/>
    <w:rsid w:val="00631848"/>
    <w:rsid w:val="0064611C"/>
    <w:rsid w:val="006A0350"/>
    <w:rsid w:val="006A1730"/>
    <w:rsid w:val="006D4E49"/>
    <w:rsid w:val="006E3A46"/>
    <w:rsid w:val="00705316"/>
    <w:rsid w:val="007370AF"/>
    <w:rsid w:val="0075614D"/>
    <w:rsid w:val="00762E71"/>
    <w:rsid w:val="00800501"/>
    <w:rsid w:val="009121B1"/>
    <w:rsid w:val="009144F2"/>
    <w:rsid w:val="00937B71"/>
    <w:rsid w:val="00946A77"/>
    <w:rsid w:val="0097053C"/>
    <w:rsid w:val="009705D3"/>
    <w:rsid w:val="009C7259"/>
    <w:rsid w:val="00A20E82"/>
    <w:rsid w:val="00A8679F"/>
    <w:rsid w:val="00B62A85"/>
    <w:rsid w:val="00B665B2"/>
    <w:rsid w:val="00B87556"/>
    <w:rsid w:val="00BC35BC"/>
    <w:rsid w:val="00BD3125"/>
    <w:rsid w:val="00BF0C90"/>
    <w:rsid w:val="00C57509"/>
    <w:rsid w:val="00C641E2"/>
    <w:rsid w:val="00C75C44"/>
    <w:rsid w:val="00C90539"/>
    <w:rsid w:val="00D170EE"/>
    <w:rsid w:val="00D82ACE"/>
    <w:rsid w:val="00DA5B0D"/>
    <w:rsid w:val="00DB4961"/>
    <w:rsid w:val="00DB7521"/>
    <w:rsid w:val="00E71219"/>
    <w:rsid w:val="00EC3669"/>
    <w:rsid w:val="00EE496B"/>
    <w:rsid w:val="00EF53BB"/>
    <w:rsid w:val="00EF69BD"/>
    <w:rsid w:val="00F36B64"/>
    <w:rsid w:val="00F37304"/>
    <w:rsid w:val="00F42818"/>
    <w:rsid w:val="00F5722F"/>
    <w:rsid w:val="00F7412C"/>
    <w:rsid w:val="00FB0ECB"/>
    <w:rsid w:val="00FD5AA4"/>
    <w:rsid w:val="02A20ED7"/>
    <w:rsid w:val="045C7F62"/>
    <w:rsid w:val="05DE63A4"/>
    <w:rsid w:val="068C115E"/>
    <w:rsid w:val="0909585E"/>
    <w:rsid w:val="0BB64094"/>
    <w:rsid w:val="0FF10AD5"/>
    <w:rsid w:val="10AD5748"/>
    <w:rsid w:val="12850115"/>
    <w:rsid w:val="17E21B65"/>
    <w:rsid w:val="1A11228E"/>
    <w:rsid w:val="1ECF2212"/>
    <w:rsid w:val="27716A29"/>
    <w:rsid w:val="285D164C"/>
    <w:rsid w:val="29475CCC"/>
    <w:rsid w:val="2AD417E1"/>
    <w:rsid w:val="2CB402F7"/>
    <w:rsid w:val="2F1959F0"/>
    <w:rsid w:val="32D80B04"/>
    <w:rsid w:val="346E6803"/>
    <w:rsid w:val="38D36D6C"/>
    <w:rsid w:val="3F5F2C15"/>
    <w:rsid w:val="3F755C23"/>
    <w:rsid w:val="3FDF478C"/>
    <w:rsid w:val="435C1F1C"/>
    <w:rsid w:val="456D21BF"/>
    <w:rsid w:val="4619545D"/>
    <w:rsid w:val="482C54CD"/>
    <w:rsid w:val="4F263318"/>
    <w:rsid w:val="4F555807"/>
    <w:rsid w:val="4F763F2B"/>
    <w:rsid w:val="52981B4C"/>
    <w:rsid w:val="598078C5"/>
    <w:rsid w:val="5C2C711B"/>
    <w:rsid w:val="5C736305"/>
    <w:rsid w:val="5F0E693E"/>
    <w:rsid w:val="5F2762A7"/>
    <w:rsid w:val="61531A66"/>
    <w:rsid w:val="668D2FBF"/>
    <w:rsid w:val="67D2106A"/>
    <w:rsid w:val="6C8A3E98"/>
    <w:rsid w:val="6E1868BC"/>
    <w:rsid w:val="6F503784"/>
    <w:rsid w:val="7A5073DE"/>
    <w:rsid w:val="7DD5097F"/>
    <w:rsid w:val="7E08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3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5"/>
    <w:semiHidden/>
    <w:unhideWhenUsed/>
    <w:qFormat/>
    <w:uiPriority w:val="99"/>
    <w:rPr>
      <w:b/>
      <w:bCs/>
    </w:r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0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  <w:style w:type="paragraph" w:customStyle="1" w:styleId="12">
    <w:name w:val="005正文"/>
    <w:qFormat/>
    <w:uiPriority w:val="0"/>
    <w:pPr>
      <w:widowControl w:val="0"/>
      <w:spacing w:before="50" w:beforeLines="50" w:line="36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22"/>
      <w:lang w:val="en-US" w:eastAsia="zh-CN" w:bidi="ar-SA"/>
    </w:rPr>
  </w:style>
  <w:style w:type="character" w:customStyle="1" w:styleId="13">
    <w:name w:val="批注框文本 字符"/>
    <w:basedOn w:val="8"/>
    <w:link w:val="3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4">
    <w:name w:val="批注文字 字符"/>
    <w:basedOn w:val="8"/>
    <w:link w:val="2"/>
    <w:semiHidden/>
    <w:qFormat/>
    <w:uiPriority w:val="99"/>
    <w:rPr>
      <w:rFonts w:ascii="Times New Roman" w:hAnsi="Times New Roman" w:eastAsia="宋体" w:cs="Times New Roman"/>
      <w:kern w:val="2"/>
      <w:sz w:val="24"/>
      <w:szCs w:val="24"/>
    </w:rPr>
  </w:style>
  <w:style w:type="character" w:customStyle="1" w:styleId="15">
    <w:name w:val="批注主题 字符"/>
    <w:basedOn w:val="14"/>
    <w:link w:val="6"/>
    <w:semiHidden/>
    <w:qFormat/>
    <w:uiPriority w:val="99"/>
    <w:rPr>
      <w:rFonts w:ascii="Times New Roman" w:hAnsi="Times New Roman" w:eastAsia="宋体" w:cs="Times New Roman"/>
      <w:b/>
      <w:bCs/>
      <w:kern w:val="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a96efb94-3e5f-42a9-84af-89fd516adde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1658</Words>
  <Characters>1814</Characters>
  <Lines>13</Lines>
  <Paragraphs>3</Paragraphs>
  <TotalTime>6</TotalTime>
  <ScaleCrop>false</ScaleCrop>
  <LinksUpToDate>false</LinksUpToDate>
  <CharactersWithSpaces>1980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2026-05-12T05:57:00Z</dcterms:created>
  <dc:creator>李 霞</dc:creator>
  <cp:lastModifiedBy>因果</cp:lastModifiedBy>
  <dcterms:modified xsi:type="dcterms:W3CDTF">2026-09-02T07:40:41Z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A49ABB285EE247C598FC82A3174110A1_12</vt:lpwstr>
  </property>
  <property fmtid="{D5CDD505-2E9C-101B-9397-08002B2CF9AE}" pid="4" name="KSOTemplateDocerSaveRecord">
    <vt:lpwstr>eyJoZGlkIjoiNDI1NGQ4MDY4NjMxYWVlMzc3ODM2NDE0MmU1ODUxYzYiLCJ1c2VySWQiOiIxOTM4NjY2NDkifQ==</vt:lpwstr>
  </property>
</Properties>
</file>