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5BE73" w14:textId="77777777" w:rsidR="00E71621" w:rsidRDefault="00000000">
      <w:pPr>
        <w:spacing w:beforeLines="50" w:before="156" w:afterLines="50" w:after="156" w:line="400" w:lineRule="exact"/>
        <w:rPr>
          <w:rFonts w:ascii="宋体" w:hAnsi="宋体" w:hint="eastAsia"/>
          <w:bCs/>
          <w:iCs/>
          <w:color w:val="000000"/>
          <w:sz w:val="24"/>
        </w:rPr>
      </w:pPr>
      <w:r>
        <w:rPr>
          <w:rFonts w:ascii="宋体" w:hAnsi="宋体" w:hint="eastAsia"/>
          <w:bCs/>
          <w:iCs/>
          <w:color w:val="000000"/>
          <w:sz w:val="24"/>
        </w:rPr>
        <w:t>证券代码：</w:t>
      </w:r>
      <w:r>
        <w:rPr>
          <w:bCs/>
          <w:iCs/>
          <w:color w:val="000000"/>
          <w:sz w:val="24"/>
        </w:rPr>
        <w:t>688176</w:t>
      </w:r>
      <w:r>
        <w:rPr>
          <w:rFonts w:ascii="宋体" w:hAnsi="宋体" w:hint="eastAsia"/>
          <w:bCs/>
          <w:iCs/>
          <w:color w:val="000000"/>
          <w:sz w:val="24"/>
        </w:rPr>
        <w:t xml:space="preserve">                         </w:t>
      </w:r>
      <w:r>
        <w:rPr>
          <w:rFonts w:ascii="宋体" w:hAnsi="宋体"/>
          <w:bCs/>
          <w:iCs/>
          <w:color w:val="000000"/>
          <w:sz w:val="24"/>
        </w:rPr>
        <w:t xml:space="preserve">    </w:t>
      </w:r>
      <w:r>
        <w:rPr>
          <w:rFonts w:ascii="宋体" w:hAnsi="宋体" w:hint="eastAsia"/>
          <w:bCs/>
          <w:iCs/>
          <w:color w:val="000000"/>
          <w:sz w:val="24"/>
        </w:rPr>
        <w:t xml:space="preserve">      证券简称：亚虹医药</w:t>
      </w:r>
    </w:p>
    <w:p w14:paraId="05B8291B" w14:textId="77777777" w:rsidR="00E71621" w:rsidRDefault="00000000">
      <w:pPr>
        <w:spacing w:beforeLines="50" w:before="156" w:afterLines="50" w:after="156" w:line="400" w:lineRule="exact"/>
        <w:jc w:val="center"/>
        <w:rPr>
          <w:rFonts w:ascii="黑体" w:eastAsia="黑体" w:hAnsi="黑体" w:hint="eastAsia"/>
          <w:b/>
          <w:bCs/>
          <w:iCs/>
          <w:color w:val="000000"/>
          <w:sz w:val="32"/>
          <w:szCs w:val="32"/>
        </w:rPr>
      </w:pPr>
      <w:r>
        <w:rPr>
          <w:rFonts w:ascii="黑体" w:eastAsia="黑体" w:hAnsi="黑体" w:hint="eastAsia"/>
          <w:b/>
          <w:bCs/>
          <w:iCs/>
          <w:color w:val="000000"/>
          <w:sz w:val="32"/>
          <w:szCs w:val="32"/>
        </w:rPr>
        <w:t>江苏亚虹医药科技股份有限公司投资者关系活动记录表</w:t>
      </w:r>
    </w:p>
    <w:p w14:paraId="050DB6CC" w14:textId="77777777" w:rsidR="00E71621" w:rsidRDefault="00000000">
      <w:pPr>
        <w:spacing w:line="400" w:lineRule="exact"/>
        <w:rPr>
          <w:bCs/>
          <w:iCs/>
          <w:color w:val="000000"/>
          <w:sz w:val="24"/>
        </w:rPr>
      </w:pPr>
      <w:r>
        <w:rPr>
          <w:rFonts w:ascii="宋体" w:hAnsi="宋体" w:hint="eastAsia"/>
          <w:bCs/>
          <w:iCs/>
          <w:color w:val="000000"/>
          <w:sz w:val="24"/>
        </w:rPr>
        <w:t xml:space="preserve">                                                      </w:t>
      </w:r>
      <w:r>
        <w:rPr>
          <w:bCs/>
          <w:iCs/>
          <w:color w:val="000000"/>
          <w:sz w:val="24"/>
        </w:rPr>
        <w:t>编号：</w:t>
      </w:r>
      <w:r>
        <w:rPr>
          <w:bCs/>
          <w:iCs/>
          <w:color w:val="000000"/>
          <w:sz w:val="24"/>
        </w:rPr>
        <w:t>2026-00</w:t>
      </w:r>
      <w:r>
        <w:rPr>
          <w:rFonts w:hint="eastAsia"/>
          <w:bCs/>
          <w:iCs/>
          <w:color w:val="000000"/>
          <w:sz w:val="24"/>
        </w:rPr>
        <w:t>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6458"/>
      </w:tblGrid>
      <w:tr w:rsidR="00E71621" w14:paraId="143F6667" w14:textId="77777777" w:rsidTr="00537046">
        <w:tc>
          <w:tcPr>
            <w:tcW w:w="1838" w:type="dxa"/>
            <w:tcBorders>
              <w:top w:val="single" w:sz="4" w:space="0" w:color="auto"/>
              <w:left w:val="single" w:sz="4" w:space="0" w:color="auto"/>
              <w:bottom w:val="single" w:sz="4" w:space="0" w:color="auto"/>
              <w:right w:val="single" w:sz="4" w:space="0" w:color="auto"/>
            </w:tcBorders>
            <w:vAlign w:val="center"/>
          </w:tcPr>
          <w:p w14:paraId="453B9A2F" w14:textId="77777777" w:rsidR="00E71621" w:rsidRDefault="00000000">
            <w:pPr>
              <w:spacing w:beforeLines="50" w:before="156" w:afterLines="50" w:after="156" w:line="360" w:lineRule="auto"/>
              <w:rPr>
                <w:rFonts w:ascii="宋体" w:hAnsi="宋体" w:hint="eastAsia"/>
                <w:bCs/>
                <w:iCs/>
                <w:color w:val="000000"/>
                <w:sz w:val="24"/>
              </w:rPr>
            </w:pPr>
            <w:r>
              <w:rPr>
                <w:rFonts w:ascii="宋体" w:hAnsi="宋体" w:hint="eastAsia"/>
                <w:bCs/>
                <w:iCs/>
                <w:color w:val="000000"/>
                <w:sz w:val="24"/>
              </w:rPr>
              <w:t>投资者关系活动类别</w:t>
            </w:r>
          </w:p>
        </w:tc>
        <w:tc>
          <w:tcPr>
            <w:tcW w:w="6458" w:type="dxa"/>
            <w:tcBorders>
              <w:top w:val="single" w:sz="4" w:space="0" w:color="auto"/>
              <w:left w:val="single" w:sz="4" w:space="0" w:color="auto"/>
              <w:bottom w:val="single" w:sz="4" w:space="0" w:color="auto"/>
              <w:right w:val="single" w:sz="4" w:space="0" w:color="auto"/>
            </w:tcBorders>
          </w:tcPr>
          <w:p w14:paraId="1A96DB1D" w14:textId="77777777" w:rsidR="00E71621" w:rsidRDefault="00000000">
            <w:pPr>
              <w:spacing w:line="480" w:lineRule="atLeast"/>
              <w:rPr>
                <w:rFonts w:ascii="宋体" w:hAnsi="宋体" w:hint="eastAsia"/>
                <w:bCs/>
                <w:iCs/>
                <w:color w:val="000000"/>
                <w:sz w:val="24"/>
              </w:rPr>
            </w:pPr>
            <w:r>
              <w:rPr>
                <w:rFonts w:ascii="宋体" w:hAnsi="宋体" w:hint="eastAsia"/>
                <w:bCs/>
                <w:iCs/>
                <w:color w:val="000000"/>
                <w:sz w:val="24"/>
              </w:rPr>
              <w:t>□</w:t>
            </w:r>
            <w:r>
              <w:rPr>
                <w:rFonts w:ascii="宋体" w:hAnsi="宋体" w:hint="eastAsia"/>
                <w:sz w:val="24"/>
              </w:rPr>
              <w:t xml:space="preserve">特定对象调研        </w:t>
            </w:r>
            <w:r>
              <w:rPr>
                <w:rFonts w:ascii="宋体" w:hAnsi="宋体" w:hint="eastAsia"/>
                <w:bCs/>
                <w:iCs/>
                <w:color w:val="000000"/>
                <w:sz w:val="24"/>
              </w:rPr>
              <w:t>☑</w:t>
            </w:r>
            <w:r>
              <w:rPr>
                <w:rFonts w:ascii="宋体" w:hAnsi="宋体" w:hint="eastAsia"/>
                <w:sz w:val="24"/>
              </w:rPr>
              <w:t>分析师会议</w:t>
            </w:r>
          </w:p>
          <w:p w14:paraId="28609970" w14:textId="77777777" w:rsidR="00E71621" w:rsidRDefault="00000000">
            <w:pPr>
              <w:spacing w:line="480" w:lineRule="atLeast"/>
              <w:rPr>
                <w:rFonts w:ascii="宋体" w:hAnsi="宋体" w:hint="eastAsia"/>
                <w:bCs/>
                <w:iCs/>
                <w:color w:val="000000"/>
                <w:sz w:val="24"/>
              </w:rPr>
            </w:pPr>
            <w:r>
              <w:rPr>
                <w:rFonts w:ascii="宋体" w:hAnsi="宋体" w:hint="eastAsia"/>
                <w:bCs/>
                <w:iCs/>
                <w:color w:val="000000"/>
                <w:sz w:val="24"/>
              </w:rPr>
              <w:t>□</w:t>
            </w:r>
            <w:r>
              <w:rPr>
                <w:rFonts w:ascii="宋体" w:hAnsi="宋体" w:hint="eastAsia"/>
                <w:sz w:val="24"/>
              </w:rPr>
              <w:t xml:space="preserve">媒体采访            </w:t>
            </w:r>
            <w:r>
              <w:rPr>
                <w:rFonts w:ascii="宋体" w:hAnsi="宋体" w:hint="eastAsia"/>
                <w:bCs/>
                <w:iCs/>
                <w:color w:val="000000"/>
                <w:sz w:val="24"/>
              </w:rPr>
              <w:t>□</w:t>
            </w:r>
            <w:r>
              <w:rPr>
                <w:rFonts w:ascii="宋体" w:hAnsi="宋体" w:hint="eastAsia"/>
                <w:sz w:val="24"/>
              </w:rPr>
              <w:t>业绩说明会</w:t>
            </w:r>
          </w:p>
          <w:p w14:paraId="1CEB367B" w14:textId="77777777" w:rsidR="00E71621" w:rsidRDefault="00000000">
            <w:pPr>
              <w:spacing w:line="480" w:lineRule="atLeast"/>
              <w:rPr>
                <w:rFonts w:ascii="宋体" w:hAnsi="宋体" w:hint="eastAsia"/>
                <w:bCs/>
                <w:iCs/>
                <w:color w:val="000000"/>
                <w:sz w:val="24"/>
              </w:rPr>
            </w:pPr>
            <w:r>
              <w:rPr>
                <w:rFonts w:ascii="宋体" w:hAnsi="宋体" w:hint="eastAsia"/>
                <w:bCs/>
                <w:iCs/>
                <w:color w:val="000000"/>
                <w:sz w:val="24"/>
              </w:rPr>
              <w:t>□</w:t>
            </w:r>
            <w:r>
              <w:rPr>
                <w:rFonts w:ascii="宋体" w:hAnsi="宋体" w:hint="eastAsia"/>
                <w:sz w:val="24"/>
              </w:rPr>
              <w:t xml:space="preserve">新闻发布会          </w:t>
            </w:r>
            <w:r>
              <w:rPr>
                <w:rFonts w:ascii="宋体" w:hAnsi="宋体" w:hint="eastAsia"/>
                <w:bCs/>
                <w:iCs/>
                <w:color w:val="000000"/>
                <w:sz w:val="24"/>
              </w:rPr>
              <w:t>□</w:t>
            </w:r>
            <w:r>
              <w:rPr>
                <w:rFonts w:ascii="宋体" w:hAnsi="宋体" w:hint="eastAsia"/>
                <w:sz w:val="24"/>
              </w:rPr>
              <w:t>路演活动</w:t>
            </w:r>
          </w:p>
          <w:p w14:paraId="0695C987" w14:textId="77777777" w:rsidR="00E71621" w:rsidRDefault="00000000">
            <w:pPr>
              <w:tabs>
                <w:tab w:val="left" w:pos="3045"/>
                <w:tab w:val="center" w:pos="3199"/>
              </w:tabs>
              <w:spacing w:line="480" w:lineRule="atLeast"/>
              <w:rPr>
                <w:rFonts w:ascii="宋体" w:hAnsi="宋体" w:hint="eastAsia"/>
                <w:bCs/>
                <w:iCs/>
                <w:color w:val="000000"/>
                <w:sz w:val="24"/>
              </w:rPr>
            </w:pPr>
            <w:r>
              <w:rPr>
                <w:rFonts w:ascii="宋体" w:hAnsi="宋体" w:hint="eastAsia"/>
                <w:bCs/>
                <w:iCs/>
                <w:color w:val="000000"/>
                <w:sz w:val="24"/>
              </w:rPr>
              <w:t>□</w:t>
            </w:r>
            <w:r>
              <w:rPr>
                <w:rFonts w:ascii="宋体" w:hAnsi="宋体" w:hint="eastAsia"/>
                <w:sz w:val="24"/>
              </w:rPr>
              <w:t>现场参观</w:t>
            </w:r>
          </w:p>
          <w:p w14:paraId="3B610667" w14:textId="77777777" w:rsidR="00E71621" w:rsidRDefault="00000000">
            <w:pPr>
              <w:tabs>
                <w:tab w:val="center" w:pos="3199"/>
              </w:tabs>
              <w:spacing w:line="480" w:lineRule="atLeast"/>
              <w:rPr>
                <w:rFonts w:ascii="宋体" w:hAnsi="宋体" w:hint="eastAsia"/>
                <w:bCs/>
                <w:iCs/>
                <w:color w:val="000000"/>
                <w:sz w:val="24"/>
              </w:rPr>
            </w:pPr>
            <w:r>
              <w:rPr>
                <w:rFonts w:ascii="宋体" w:hAnsi="宋体" w:hint="eastAsia"/>
                <w:bCs/>
                <w:iCs/>
                <w:color w:val="000000"/>
                <w:sz w:val="24"/>
              </w:rPr>
              <w:t>□</w:t>
            </w:r>
            <w:r>
              <w:rPr>
                <w:rFonts w:ascii="宋体" w:hAnsi="宋体" w:hint="eastAsia"/>
                <w:sz w:val="24"/>
              </w:rPr>
              <w:t>其他 （</w:t>
            </w:r>
            <w:r>
              <w:rPr>
                <w:rFonts w:ascii="宋体" w:hAnsi="宋体" w:hint="eastAsia"/>
                <w:sz w:val="24"/>
                <w:u w:val="single"/>
              </w:rPr>
              <w:t>请文字说明其他活动内容）</w:t>
            </w:r>
          </w:p>
        </w:tc>
      </w:tr>
      <w:tr w:rsidR="00E71621" w14:paraId="4DE9A244" w14:textId="77777777" w:rsidTr="00537046">
        <w:tc>
          <w:tcPr>
            <w:tcW w:w="1838" w:type="dxa"/>
            <w:tcBorders>
              <w:top w:val="single" w:sz="4" w:space="0" w:color="auto"/>
              <w:left w:val="single" w:sz="4" w:space="0" w:color="auto"/>
              <w:bottom w:val="single" w:sz="4" w:space="0" w:color="auto"/>
              <w:right w:val="single" w:sz="4" w:space="0" w:color="auto"/>
            </w:tcBorders>
            <w:vAlign w:val="center"/>
          </w:tcPr>
          <w:p w14:paraId="5F482DBF" w14:textId="77777777" w:rsidR="00E71621" w:rsidRDefault="00000000">
            <w:pPr>
              <w:spacing w:beforeLines="50" w:before="156" w:afterLines="50" w:after="156"/>
              <w:rPr>
                <w:rFonts w:ascii="宋体" w:hAnsi="宋体" w:hint="eastAsia"/>
                <w:bCs/>
                <w:iCs/>
                <w:color w:val="000000"/>
                <w:sz w:val="24"/>
              </w:rPr>
            </w:pPr>
            <w:r>
              <w:rPr>
                <w:rFonts w:ascii="宋体" w:hAnsi="宋体" w:hint="eastAsia"/>
                <w:bCs/>
                <w:iCs/>
                <w:color w:val="000000"/>
                <w:sz w:val="24"/>
              </w:rPr>
              <w:t>参与单位名称及人员姓名</w:t>
            </w:r>
          </w:p>
        </w:tc>
        <w:tc>
          <w:tcPr>
            <w:tcW w:w="6458" w:type="dxa"/>
            <w:tcBorders>
              <w:top w:val="single" w:sz="4" w:space="0" w:color="auto"/>
              <w:left w:val="single" w:sz="4" w:space="0" w:color="auto"/>
              <w:bottom w:val="single" w:sz="4" w:space="0" w:color="auto"/>
              <w:right w:val="single" w:sz="4" w:space="0" w:color="auto"/>
            </w:tcBorders>
            <w:vAlign w:val="center"/>
          </w:tcPr>
          <w:p w14:paraId="2103575E" w14:textId="77777777" w:rsidR="00E71621" w:rsidRDefault="00000000" w:rsidP="00014018">
            <w:pPr>
              <w:spacing w:beforeLines="50" w:before="156" w:afterLines="50" w:after="156" w:line="276" w:lineRule="auto"/>
              <w:rPr>
                <w:bCs/>
                <w:iCs/>
                <w:color w:val="000000"/>
                <w:sz w:val="24"/>
              </w:rPr>
            </w:pPr>
            <w:r>
              <w:rPr>
                <w:rFonts w:hint="eastAsia"/>
                <w:bCs/>
                <w:iCs/>
                <w:color w:val="000000"/>
                <w:sz w:val="24"/>
              </w:rPr>
              <w:t>兴业基金、华夏基金、成都合众易晟投资、申万菱信基金、太朴持信私募基金、广东乐赢私募基金、保银私募、上海宽投资管、紫阁投资、长信基金、广发基金、苏银理财、天弘基金、安信证券资管、上海彤源投资发展、银河基金、浙江益恒资管、光大证券、天治基金、国新投资、国寿养老、平安证券、开源自营、创金合信基金、嘉实基金、荷荷</w:t>
            </w:r>
            <w:r>
              <w:rPr>
                <w:rFonts w:hint="eastAsia"/>
                <w:bCs/>
                <w:iCs/>
                <w:color w:val="000000"/>
                <w:sz w:val="24"/>
              </w:rPr>
              <w:t>(</w:t>
            </w:r>
            <w:r>
              <w:rPr>
                <w:rFonts w:hint="eastAsia"/>
                <w:bCs/>
                <w:iCs/>
                <w:color w:val="000000"/>
                <w:sz w:val="24"/>
              </w:rPr>
              <w:t>北京</w:t>
            </w:r>
            <w:r>
              <w:rPr>
                <w:rFonts w:hint="eastAsia"/>
                <w:bCs/>
                <w:iCs/>
                <w:color w:val="000000"/>
                <w:sz w:val="24"/>
              </w:rPr>
              <w:t>)</w:t>
            </w:r>
            <w:r>
              <w:rPr>
                <w:rFonts w:hint="eastAsia"/>
                <w:bCs/>
                <w:iCs/>
                <w:color w:val="000000"/>
                <w:sz w:val="24"/>
              </w:rPr>
              <w:t>私募基金、杭州弈宸私募基金、信达澳亚基金、交银施罗德基金、中融汇信、华夏理财、上海和谐汇一资管、中欧瑞博资管、华宝基金、深圳市正德泰投资、杭州弈宸私募基金、中信资管、招商基金、东方证券、招商证券、国金证券、华福证券、中泰证券、国联民生证券、西部证券、兴业证券、申万宏源证券、东吴证券、浙商证券、方正证券、国信证券、华鑫证券</w:t>
            </w:r>
          </w:p>
        </w:tc>
      </w:tr>
      <w:tr w:rsidR="00E71621" w14:paraId="053ED4D5" w14:textId="77777777" w:rsidTr="00537046">
        <w:tc>
          <w:tcPr>
            <w:tcW w:w="1838" w:type="dxa"/>
            <w:tcBorders>
              <w:top w:val="single" w:sz="4" w:space="0" w:color="auto"/>
              <w:left w:val="single" w:sz="4" w:space="0" w:color="auto"/>
              <w:bottom w:val="single" w:sz="4" w:space="0" w:color="auto"/>
              <w:right w:val="single" w:sz="4" w:space="0" w:color="auto"/>
            </w:tcBorders>
            <w:vAlign w:val="center"/>
          </w:tcPr>
          <w:p w14:paraId="1702EFA2" w14:textId="77777777" w:rsidR="00E71621" w:rsidRDefault="00000000">
            <w:pPr>
              <w:spacing w:beforeLines="50" w:before="156" w:afterLines="50" w:after="156"/>
              <w:rPr>
                <w:rFonts w:ascii="宋体" w:hAnsi="宋体" w:hint="eastAsia"/>
                <w:bCs/>
                <w:iCs/>
                <w:color w:val="000000"/>
                <w:sz w:val="24"/>
              </w:rPr>
            </w:pPr>
            <w:r>
              <w:rPr>
                <w:rFonts w:ascii="宋体" w:hAnsi="宋体" w:hint="eastAsia"/>
                <w:bCs/>
                <w:iCs/>
                <w:color w:val="000000"/>
                <w:sz w:val="24"/>
              </w:rPr>
              <w:t>时间</w:t>
            </w:r>
          </w:p>
        </w:tc>
        <w:tc>
          <w:tcPr>
            <w:tcW w:w="6458" w:type="dxa"/>
            <w:tcBorders>
              <w:top w:val="single" w:sz="4" w:space="0" w:color="auto"/>
              <w:left w:val="single" w:sz="4" w:space="0" w:color="auto"/>
              <w:bottom w:val="single" w:sz="4" w:space="0" w:color="auto"/>
              <w:right w:val="single" w:sz="4" w:space="0" w:color="auto"/>
            </w:tcBorders>
          </w:tcPr>
          <w:p w14:paraId="66AFE707" w14:textId="77777777" w:rsidR="00E71621" w:rsidRDefault="00000000">
            <w:pPr>
              <w:spacing w:beforeLines="50" w:before="156" w:afterLines="50" w:after="156"/>
              <w:rPr>
                <w:bCs/>
                <w:iCs/>
                <w:color w:val="000000"/>
                <w:sz w:val="24"/>
              </w:rPr>
            </w:pPr>
            <w:r>
              <w:rPr>
                <w:rFonts w:hint="eastAsia"/>
                <w:bCs/>
                <w:iCs/>
                <w:color w:val="000000"/>
                <w:sz w:val="24"/>
              </w:rPr>
              <w:t>2026</w:t>
            </w:r>
            <w:r>
              <w:rPr>
                <w:bCs/>
                <w:iCs/>
                <w:color w:val="000000"/>
                <w:sz w:val="24"/>
              </w:rPr>
              <w:t>年</w:t>
            </w:r>
            <w:r>
              <w:rPr>
                <w:rFonts w:hint="eastAsia"/>
                <w:bCs/>
                <w:iCs/>
                <w:color w:val="000000"/>
                <w:sz w:val="24"/>
              </w:rPr>
              <w:t>8</w:t>
            </w:r>
            <w:r>
              <w:rPr>
                <w:rFonts w:hint="eastAsia"/>
                <w:bCs/>
                <w:iCs/>
                <w:color w:val="000000"/>
                <w:sz w:val="24"/>
              </w:rPr>
              <w:t>月</w:t>
            </w:r>
            <w:r>
              <w:rPr>
                <w:rFonts w:hint="eastAsia"/>
                <w:bCs/>
                <w:iCs/>
                <w:color w:val="000000"/>
                <w:sz w:val="24"/>
              </w:rPr>
              <w:t>31</w:t>
            </w:r>
            <w:r>
              <w:rPr>
                <w:rFonts w:hint="eastAsia"/>
                <w:bCs/>
                <w:iCs/>
                <w:color w:val="000000"/>
                <w:sz w:val="24"/>
              </w:rPr>
              <w:t>日</w:t>
            </w:r>
          </w:p>
        </w:tc>
      </w:tr>
      <w:tr w:rsidR="00E71621" w14:paraId="47784BD7" w14:textId="77777777" w:rsidTr="00537046">
        <w:tc>
          <w:tcPr>
            <w:tcW w:w="1838" w:type="dxa"/>
            <w:tcBorders>
              <w:top w:val="single" w:sz="4" w:space="0" w:color="auto"/>
              <w:left w:val="single" w:sz="4" w:space="0" w:color="auto"/>
              <w:bottom w:val="single" w:sz="4" w:space="0" w:color="auto"/>
              <w:right w:val="single" w:sz="4" w:space="0" w:color="auto"/>
            </w:tcBorders>
            <w:vAlign w:val="center"/>
          </w:tcPr>
          <w:p w14:paraId="5677A853" w14:textId="77777777" w:rsidR="00E71621" w:rsidRDefault="00000000">
            <w:pPr>
              <w:spacing w:beforeLines="50" w:before="156" w:afterLines="50" w:after="156"/>
              <w:rPr>
                <w:rFonts w:ascii="宋体" w:hAnsi="宋体" w:hint="eastAsia"/>
                <w:bCs/>
                <w:iCs/>
                <w:color w:val="000000"/>
                <w:sz w:val="24"/>
              </w:rPr>
            </w:pPr>
            <w:r>
              <w:rPr>
                <w:rFonts w:ascii="宋体" w:hAnsi="宋体" w:hint="eastAsia"/>
                <w:bCs/>
                <w:iCs/>
                <w:color w:val="000000"/>
                <w:sz w:val="24"/>
              </w:rPr>
              <w:t>地点</w:t>
            </w:r>
          </w:p>
        </w:tc>
        <w:tc>
          <w:tcPr>
            <w:tcW w:w="6458" w:type="dxa"/>
            <w:tcBorders>
              <w:top w:val="single" w:sz="4" w:space="0" w:color="auto"/>
              <w:left w:val="single" w:sz="4" w:space="0" w:color="auto"/>
              <w:bottom w:val="single" w:sz="4" w:space="0" w:color="auto"/>
              <w:right w:val="single" w:sz="4" w:space="0" w:color="auto"/>
            </w:tcBorders>
          </w:tcPr>
          <w:p w14:paraId="478153CA" w14:textId="77777777" w:rsidR="00E71621" w:rsidRDefault="00000000">
            <w:pPr>
              <w:spacing w:beforeLines="50" w:before="156" w:afterLines="50" w:after="156"/>
              <w:rPr>
                <w:rFonts w:ascii="宋体" w:hAnsi="宋体" w:hint="eastAsia"/>
                <w:bCs/>
                <w:iCs/>
                <w:color w:val="000000"/>
                <w:sz w:val="24"/>
              </w:rPr>
            </w:pPr>
            <w:r>
              <w:rPr>
                <w:rFonts w:ascii="宋体" w:hAnsi="宋体" w:hint="eastAsia"/>
                <w:bCs/>
                <w:iCs/>
                <w:color w:val="000000"/>
                <w:sz w:val="24"/>
              </w:rPr>
              <w:t>线上会议</w:t>
            </w:r>
          </w:p>
        </w:tc>
      </w:tr>
      <w:tr w:rsidR="00E71621" w14:paraId="36B9A1EC" w14:textId="77777777" w:rsidTr="00537046">
        <w:tc>
          <w:tcPr>
            <w:tcW w:w="1838" w:type="dxa"/>
            <w:tcBorders>
              <w:top w:val="single" w:sz="4" w:space="0" w:color="auto"/>
              <w:left w:val="single" w:sz="4" w:space="0" w:color="auto"/>
              <w:bottom w:val="single" w:sz="4" w:space="0" w:color="auto"/>
              <w:right w:val="single" w:sz="4" w:space="0" w:color="auto"/>
            </w:tcBorders>
            <w:vAlign w:val="center"/>
          </w:tcPr>
          <w:p w14:paraId="6D0260AD" w14:textId="77777777" w:rsidR="00E71621" w:rsidRDefault="00000000">
            <w:pPr>
              <w:spacing w:beforeLines="50" w:before="156" w:afterLines="50" w:after="156"/>
              <w:rPr>
                <w:rFonts w:ascii="宋体" w:hAnsi="宋体" w:hint="eastAsia"/>
                <w:bCs/>
                <w:iCs/>
                <w:color w:val="000000"/>
                <w:sz w:val="24"/>
              </w:rPr>
            </w:pPr>
            <w:r>
              <w:rPr>
                <w:rFonts w:ascii="宋体" w:hAnsi="宋体" w:hint="eastAsia"/>
                <w:bCs/>
                <w:iCs/>
                <w:color w:val="000000"/>
                <w:sz w:val="24"/>
              </w:rPr>
              <w:t>上市公司接待人员姓名</w:t>
            </w:r>
          </w:p>
        </w:tc>
        <w:tc>
          <w:tcPr>
            <w:tcW w:w="6458" w:type="dxa"/>
            <w:tcBorders>
              <w:top w:val="single" w:sz="4" w:space="0" w:color="auto"/>
              <w:left w:val="single" w:sz="4" w:space="0" w:color="auto"/>
              <w:bottom w:val="single" w:sz="4" w:space="0" w:color="auto"/>
              <w:right w:val="single" w:sz="4" w:space="0" w:color="auto"/>
            </w:tcBorders>
          </w:tcPr>
          <w:p w14:paraId="5D51E9D3" w14:textId="77777777" w:rsidR="00E71621" w:rsidRDefault="00000000">
            <w:pPr>
              <w:spacing w:beforeLines="50" w:before="156" w:afterLines="50" w:after="156"/>
              <w:rPr>
                <w:bCs/>
                <w:iCs/>
                <w:color w:val="000000"/>
                <w:sz w:val="24"/>
              </w:rPr>
            </w:pPr>
            <w:r>
              <w:rPr>
                <w:rFonts w:hint="eastAsia"/>
                <w:bCs/>
                <w:iCs/>
                <w:color w:val="000000"/>
                <w:sz w:val="24"/>
              </w:rPr>
              <w:t>董事长、总经理：</w:t>
            </w:r>
            <w:r>
              <w:rPr>
                <w:rFonts w:hint="eastAsia"/>
                <w:bCs/>
                <w:iCs/>
                <w:color w:val="000000"/>
                <w:sz w:val="24"/>
              </w:rPr>
              <w:t>PAN KE</w:t>
            </w:r>
          </w:p>
          <w:p w14:paraId="4134C331" w14:textId="77777777" w:rsidR="00E71621" w:rsidRDefault="00000000">
            <w:pPr>
              <w:spacing w:beforeLines="50" w:before="156" w:afterLines="50" w:after="156"/>
              <w:rPr>
                <w:rFonts w:ascii="宋体" w:hAnsi="宋体" w:hint="eastAsia"/>
                <w:bCs/>
                <w:iCs/>
                <w:color w:val="000000"/>
                <w:sz w:val="24"/>
              </w:rPr>
            </w:pPr>
            <w:r>
              <w:rPr>
                <w:rFonts w:hint="eastAsia"/>
                <w:bCs/>
                <w:iCs/>
                <w:color w:val="000000"/>
                <w:sz w:val="24"/>
              </w:rPr>
              <w:t>财务负责人、</w:t>
            </w:r>
            <w:r>
              <w:rPr>
                <w:bCs/>
                <w:iCs/>
                <w:color w:val="000000"/>
                <w:sz w:val="24"/>
              </w:rPr>
              <w:t>董事会秘书：</w:t>
            </w:r>
            <w:r>
              <w:rPr>
                <w:rFonts w:hint="eastAsia"/>
                <w:bCs/>
                <w:iCs/>
                <w:color w:val="000000"/>
                <w:sz w:val="24"/>
              </w:rPr>
              <w:t>陈宝华</w:t>
            </w:r>
          </w:p>
        </w:tc>
      </w:tr>
      <w:tr w:rsidR="00E71621" w14:paraId="4B06E1BB" w14:textId="77777777" w:rsidTr="00537046">
        <w:tc>
          <w:tcPr>
            <w:tcW w:w="1838" w:type="dxa"/>
            <w:tcBorders>
              <w:top w:val="single" w:sz="4" w:space="0" w:color="auto"/>
              <w:left w:val="single" w:sz="4" w:space="0" w:color="auto"/>
              <w:bottom w:val="single" w:sz="4" w:space="0" w:color="auto"/>
              <w:right w:val="single" w:sz="4" w:space="0" w:color="auto"/>
            </w:tcBorders>
            <w:vAlign w:val="center"/>
          </w:tcPr>
          <w:p w14:paraId="44FA6DC2" w14:textId="77777777" w:rsidR="00E71621" w:rsidRDefault="00000000">
            <w:pPr>
              <w:spacing w:beforeLines="50" w:before="156" w:afterLines="50" w:after="156"/>
              <w:rPr>
                <w:rFonts w:ascii="宋体" w:hAnsi="宋体" w:hint="eastAsia"/>
                <w:bCs/>
                <w:iCs/>
                <w:color w:val="000000"/>
                <w:sz w:val="24"/>
              </w:rPr>
            </w:pPr>
            <w:r>
              <w:rPr>
                <w:rFonts w:ascii="宋体" w:hAnsi="宋体" w:hint="eastAsia"/>
                <w:bCs/>
                <w:iCs/>
                <w:color w:val="000000"/>
                <w:sz w:val="24"/>
              </w:rPr>
              <w:t>投资者关系活动主要内容介绍</w:t>
            </w:r>
          </w:p>
        </w:tc>
        <w:tc>
          <w:tcPr>
            <w:tcW w:w="6458" w:type="dxa"/>
            <w:tcBorders>
              <w:top w:val="single" w:sz="4" w:space="0" w:color="auto"/>
              <w:left w:val="single" w:sz="4" w:space="0" w:color="auto"/>
              <w:bottom w:val="single" w:sz="4" w:space="0" w:color="auto"/>
              <w:right w:val="single" w:sz="4" w:space="0" w:color="auto"/>
            </w:tcBorders>
          </w:tcPr>
          <w:p w14:paraId="56D8C559" w14:textId="77777777" w:rsidR="00E71621" w:rsidRDefault="00000000">
            <w:pPr>
              <w:widowControl/>
              <w:spacing w:beforeLines="50" w:before="156" w:afterLines="50" w:after="156" w:line="283" w:lineRule="auto"/>
              <w:ind w:firstLineChars="200" w:firstLine="482"/>
              <w:rPr>
                <w:b/>
                <w:bCs/>
                <w:kern w:val="0"/>
                <w:sz w:val="24"/>
              </w:rPr>
            </w:pPr>
            <w:r>
              <w:rPr>
                <w:b/>
                <w:bCs/>
                <w:kern w:val="0"/>
                <w:sz w:val="24"/>
              </w:rPr>
              <w:t>交流的主要问题及答复内容：</w:t>
            </w:r>
          </w:p>
          <w:p w14:paraId="5517D7E9" w14:textId="77777777" w:rsidR="00E71621" w:rsidRDefault="00000000">
            <w:pPr>
              <w:widowControl/>
              <w:spacing w:beforeLines="50" w:before="156" w:afterLines="50" w:after="156" w:line="283" w:lineRule="auto"/>
              <w:ind w:firstLineChars="200" w:firstLine="480"/>
              <w:rPr>
                <w:kern w:val="0"/>
                <w:sz w:val="24"/>
              </w:rPr>
            </w:pPr>
            <w:r>
              <w:rPr>
                <w:rFonts w:hint="eastAsia"/>
                <w:kern w:val="0"/>
                <w:sz w:val="24"/>
              </w:rPr>
              <w:t>公司介绍了企业情况、公司主要业务进展、主要财务情况以及未来发展规划。</w:t>
            </w:r>
          </w:p>
          <w:p w14:paraId="259E5F90" w14:textId="77777777" w:rsidR="00E71621" w:rsidRDefault="00000000" w:rsidP="00AE4B4D">
            <w:pPr>
              <w:widowControl/>
              <w:spacing w:beforeLines="50" w:before="156" w:afterLines="50" w:after="156" w:line="283" w:lineRule="auto"/>
              <w:ind w:firstLineChars="200" w:firstLine="482"/>
              <w:rPr>
                <w:b/>
                <w:bCs/>
                <w:sz w:val="24"/>
              </w:rPr>
            </w:pPr>
            <w:r>
              <w:rPr>
                <w:rFonts w:hint="eastAsia"/>
                <w:b/>
                <w:bCs/>
                <w:sz w:val="24"/>
              </w:rPr>
              <w:lastRenderedPageBreak/>
              <w:t>问</w:t>
            </w:r>
            <w:r>
              <w:rPr>
                <w:rFonts w:hint="eastAsia"/>
                <w:b/>
                <w:bCs/>
                <w:sz w:val="24"/>
              </w:rPr>
              <w:t>1</w:t>
            </w:r>
            <w:r>
              <w:rPr>
                <w:rFonts w:hint="eastAsia"/>
                <w:b/>
                <w:bCs/>
                <w:sz w:val="24"/>
              </w:rPr>
              <w:t>：希维她</w:t>
            </w:r>
            <w:r>
              <w:rPr>
                <w:rFonts w:hint="eastAsia"/>
                <w:b/>
                <w:bCs/>
                <w:color w:val="000000" w:themeColor="text1"/>
                <w:kern w:val="0"/>
                <w:sz w:val="24"/>
                <w:vertAlign w:val="superscript"/>
              </w:rPr>
              <w:t>®</w:t>
            </w:r>
            <w:r>
              <w:rPr>
                <w:rFonts w:hint="eastAsia"/>
                <w:b/>
                <w:bCs/>
                <w:sz w:val="24"/>
              </w:rPr>
              <w:t>最新的商业化布局情况如何？以及基于当前布局，希维她</w:t>
            </w:r>
            <w:r>
              <w:rPr>
                <w:rFonts w:hint="eastAsia"/>
                <w:color w:val="000000" w:themeColor="text1"/>
                <w:kern w:val="0"/>
                <w:sz w:val="24"/>
                <w:vertAlign w:val="superscript"/>
              </w:rPr>
              <w:t>®</w:t>
            </w:r>
            <w:r>
              <w:rPr>
                <w:rFonts w:hint="eastAsia"/>
                <w:b/>
                <w:bCs/>
                <w:sz w:val="24"/>
              </w:rPr>
              <w:t>未来的商业化计划是怎样的？</w:t>
            </w:r>
          </w:p>
          <w:p w14:paraId="0B105C03" w14:textId="19548B4C" w:rsidR="00E71621" w:rsidRDefault="00000000">
            <w:pPr>
              <w:widowControl/>
              <w:spacing w:beforeLines="50" w:before="156" w:afterLines="50" w:after="156" w:line="283" w:lineRule="auto"/>
              <w:ind w:firstLineChars="200" w:firstLine="480"/>
              <w:rPr>
                <w:sz w:val="24"/>
              </w:rPr>
            </w:pPr>
            <w:r>
              <w:rPr>
                <w:rFonts w:hint="eastAsia"/>
                <w:sz w:val="24"/>
              </w:rPr>
              <w:t>答：公司通过充分的商业化准备，实现希维她</w:t>
            </w:r>
            <w:r>
              <w:rPr>
                <w:rFonts w:hint="eastAsia"/>
                <w:color w:val="000000" w:themeColor="text1"/>
                <w:kern w:val="0"/>
                <w:sz w:val="24"/>
                <w:vertAlign w:val="superscript"/>
              </w:rPr>
              <w:t>®</w:t>
            </w:r>
            <w:r>
              <w:rPr>
                <w:rFonts w:hint="eastAsia"/>
                <w:sz w:val="24"/>
              </w:rPr>
              <w:t>在中国成功上市。希维她</w:t>
            </w:r>
            <w:r>
              <w:rPr>
                <w:rFonts w:hint="eastAsia"/>
                <w:color w:val="000000" w:themeColor="text1"/>
                <w:kern w:val="0"/>
                <w:sz w:val="24"/>
                <w:vertAlign w:val="superscript"/>
              </w:rPr>
              <w:t>®</w:t>
            </w:r>
            <w:r>
              <w:rPr>
                <w:rFonts w:hint="eastAsia"/>
                <w:sz w:val="24"/>
              </w:rPr>
              <w:t>于</w:t>
            </w:r>
            <w:r>
              <w:rPr>
                <w:rFonts w:hint="eastAsia"/>
                <w:sz w:val="24"/>
              </w:rPr>
              <w:t>2026</w:t>
            </w:r>
            <w:r>
              <w:rPr>
                <w:rFonts w:hint="eastAsia"/>
                <w:sz w:val="24"/>
              </w:rPr>
              <w:t>年</w:t>
            </w:r>
            <w:r>
              <w:rPr>
                <w:rFonts w:hint="eastAsia"/>
                <w:sz w:val="24"/>
              </w:rPr>
              <w:t>3</w:t>
            </w:r>
            <w:r>
              <w:rPr>
                <w:rFonts w:hint="eastAsia"/>
                <w:sz w:val="24"/>
              </w:rPr>
              <w:t>月获批，于</w:t>
            </w:r>
            <w:r>
              <w:rPr>
                <w:rFonts w:hint="eastAsia"/>
                <w:sz w:val="24"/>
              </w:rPr>
              <w:t>6</w:t>
            </w:r>
            <w:r>
              <w:rPr>
                <w:rFonts w:hint="eastAsia"/>
                <w:sz w:val="24"/>
              </w:rPr>
              <w:t>月实现全球首方落地北京，</w:t>
            </w:r>
            <w:r>
              <w:rPr>
                <w:rFonts w:hint="eastAsia"/>
                <w:sz w:val="24"/>
              </w:rPr>
              <w:t>10</w:t>
            </w:r>
            <w:r>
              <w:rPr>
                <w:rFonts w:hint="eastAsia"/>
                <w:sz w:val="24"/>
              </w:rPr>
              <w:t>天内在全国</w:t>
            </w:r>
            <w:r>
              <w:rPr>
                <w:rFonts w:hint="eastAsia"/>
                <w:sz w:val="24"/>
              </w:rPr>
              <w:t>30</w:t>
            </w:r>
            <w:r>
              <w:rPr>
                <w:rFonts w:hint="eastAsia"/>
                <w:sz w:val="24"/>
              </w:rPr>
              <w:t>城</w:t>
            </w:r>
            <w:r>
              <w:rPr>
                <w:rFonts w:hint="eastAsia"/>
                <w:sz w:val="24"/>
              </w:rPr>
              <w:t>70</w:t>
            </w:r>
            <w:r>
              <w:rPr>
                <w:rFonts w:hint="eastAsia"/>
                <w:sz w:val="24"/>
              </w:rPr>
              <w:t>家医院陆续落地首方，同时在京东健康实现全网首发。公司以公立医院为核心开展全渠道商业化布局，已建成由医学、市场、销售组成的专注光动力治疗医生教育和临床证据传播的</w:t>
            </w:r>
            <w:r>
              <w:rPr>
                <w:rFonts w:hint="eastAsia"/>
                <w:sz w:val="24"/>
              </w:rPr>
              <w:t>100</w:t>
            </w:r>
            <w:r>
              <w:rPr>
                <w:rFonts w:hint="eastAsia"/>
                <w:sz w:val="24"/>
              </w:rPr>
              <w:t>多人专业推广团队，</w:t>
            </w:r>
            <w:r w:rsidR="00495B5B">
              <w:rPr>
                <w:rFonts w:hint="eastAsia"/>
                <w:sz w:val="24"/>
              </w:rPr>
              <w:t>以及</w:t>
            </w:r>
            <w:r>
              <w:rPr>
                <w:rFonts w:hint="eastAsia"/>
                <w:sz w:val="24"/>
              </w:rPr>
              <w:t>搭建了政府事务、市场准入、商务、供应链等完整的商业化支持部门，同时在广阔市场通过商业合作伙伴推进全域业务落地。与此同时，公司持续在治疗端加强治疗理念升级，开展上市后临床研究与真实世界研究，已在国内外期刊及国际大会发表多维度疗效分析数据，支持指南更新，</w:t>
            </w:r>
            <w:r w:rsidR="009F2AEB">
              <w:rPr>
                <w:rFonts w:hint="eastAsia"/>
                <w:sz w:val="24"/>
              </w:rPr>
              <w:t>并</w:t>
            </w:r>
            <w:r>
              <w:rPr>
                <w:rFonts w:hint="eastAsia"/>
                <w:sz w:val="24"/>
              </w:rPr>
              <w:t>于</w:t>
            </w:r>
            <w:r>
              <w:rPr>
                <w:rFonts w:hint="eastAsia"/>
                <w:sz w:val="24"/>
              </w:rPr>
              <w:t>2026</w:t>
            </w:r>
            <w:r>
              <w:rPr>
                <w:rFonts w:hint="eastAsia"/>
                <w:sz w:val="24"/>
              </w:rPr>
              <w:t>年上半年推动两部中国共识发布。公司将持续优化海外</w:t>
            </w:r>
            <w:r>
              <w:rPr>
                <w:rFonts w:hint="eastAsia"/>
                <w:sz w:val="24"/>
              </w:rPr>
              <w:t>CMO</w:t>
            </w:r>
            <w:r>
              <w:rPr>
                <w:rFonts w:hint="eastAsia"/>
                <w:sz w:val="24"/>
              </w:rPr>
              <w:t>供应链体系，保障产品持续供应与高质量交付。</w:t>
            </w:r>
            <w:r w:rsidR="00537046">
              <w:rPr>
                <w:sz w:val="24"/>
              </w:rPr>
              <w:t>公司将积极推进上述</w:t>
            </w:r>
            <w:r w:rsidR="00537046">
              <w:rPr>
                <w:rFonts w:hint="eastAsia"/>
                <w:sz w:val="24"/>
              </w:rPr>
              <w:t>产品的商业化进程</w:t>
            </w:r>
            <w:r w:rsidR="00537046">
              <w:rPr>
                <w:sz w:val="24"/>
              </w:rPr>
              <w:t>，并严格按照有关规定及时对项目后续进展情况履行信息披露义务</w:t>
            </w:r>
            <w:r w:rsidR="00537046">
              <w:rPr>
                <w:rFonts w:hint="eastAsia"/>
                <w:sz w:val="24"/>
              </w:rPr>
              <w:t>。</w:t>
            </w:r>
          </w:p>
          <w:p w14:paraId="4D10CB79" w14:textId="43C35762" w:rsidR="00E71621" w:rsidRDefault="00000000">
            <w:pPr>
              <w:widowControl/>
              <w:spacing w:beforeLines="50" w:before="156" w:afterLines="50" w:after="156" w:line="283" w:lineRule="auto"/>
              <w:ind w:firstLineChars="200" w:firstLine="482"/>
              <w:rPr>
                <w:b/>
                <w:bCs/>
                <w:sz w:val="24"/>
              </w:rPr>
            </w:pPr>
            <w:r>
              <w:rPr>
                <w:rFonts w:hint="eastAsia"/>
                <w:b/>
                <w:bCs/>
                <w:sz w:val="24"/>
              </w:rPr>
              <w:t>问</w:t>
            </w:r>
            <w:r w:rsidR="001C3B76">
              <w:rPr>
                <w:rFonts w:hint="eastAsia"/>
                <w:b/>
                <w:bCs/>
                <w:sz w:val="24"/>
              </w:rPr>
              <w:t>2</w:t>
            </w:r>
            <w:r>
              <w:rPr>
                <w:rFonts w:hint="eastAsia"/>
                <w:b/>
                <w:bCs/>
                <w:sz w:val="24"/>
              </w:rPr>
              <w:t>：</w:t>
            </w:r>
            <w:r>
              <w:rPr>
                <w:rFonts w:hint="eastAsia"/>
                <w:b/>
                <w:bCs/>
                <w:sz w:val="24"/>
              </w:rPr>
              <w:t>APL-1401</w:t>
            </w:r>
            <w:r>
              <w:rPr>
                <w:rFonts w:hint="eastAsia"/>
                <w:b/>
                <w:bCs/>
                <w:sz w:val="24"/>
              </w:rPr>
              <w:t>的进展如何？</w:t>
            </w:r>
          </w:p>
          <w:p w14:paraId="3DB458EC" w14:textId="083DA626" w:rsidR="00E71621" w:rsidRDefault="00000000">
            <w:pPr>
              <w:widowControl/>
              <w:spacing w:beforeLines="50" w:before="156" w:afterLines="50" w:after="156" w:line="283" w:lineRule="auto"/>
              <w:ind w:firstLineChars="200" w:firstLine="480"/>
              <w:rPr>
                <w:sz w:val="24"/>
              </w:rPr>
            </w:pPr>
            <w:r>
              <w:rPr>
                <w:rFonts w:hint="eastAsia"/>
                <w:sz w:val="24"/>
              </w:rPr>
              <w:t>答：</w:t>
            </w:r>
            <w:r w:rsidR="009F2AEB" w:rsidRPr="009F2AEB">
              <w:rPr>
                <w:rFonts w:hint="eastAsia"/>
                <w:sz w:val="24"/>
              </w:rPr>
              <w:t>APL-1401</w:t>
            </w:r>
            <w:r w:rsidR="009F2AEB" w:rsidRPr="009F2AEB">
              <w:rPr>
                <w:rFonts w:hint="eastAsia"/>
                <w:sz w:val="24"/>
              </w:rPr>
              <w:t>是公司通过自主研究并发现其全新作用机制用于治疗自身免疫疾病的口服创新药物。公司开展的该研究是一项在中重度活动性溃疡性结肠炎患者中评价</w:t>
            </w:r>
            <w:r w:rsidR="009F2AEB" w:rsidRPr="009F2AEB">
              <w:rPr>
                <w:rFonts w:hint="eastAsia"/>
                <w:sz w:val="24"/>
              </w:rPr>
              <w:t>APL-1401</w:t>
            </w:r>
            <w:r w:rsidR="009F2AEB" w:rsidRPr="009F2AEB">
              <w:rPr>
                <w:rFonts w:hint="eastAsia"/>
                <w:sz w:val="24"/>
              </w:rPr>
              <w:t>的安全性、耐受性、药代动力学和初步有效性的</w:t>
            </w:r>
            <w:r w:rsidR="009F2AEB" w:rsidRPr="00B0498F">
              <w:rPr>
                <w:sz w:val="24"/>
              </w:rPr>
              <w:t>Ⅰ</w:t>
            </w:r>
            <w:r w:rsidR="009F2AEB" w:rsidRPr="009F2AEB">
              <w:rPr>
                <w:rFonts w:hint="eastAsia"/>
                <w:sz w:val="24"/>
              </w:rPr>
              <w:t>b</w:t>
            </w:r>
            <w:r w:rsidR="009F2AEB" w:rsidRPr="009F2AEB">
              <w:rPr>
                <w:rFonts w:hint="eastAsia"/>
                <w:sz w:val="24"/>
              </w:rPr>
              <w:t>期随机、双盲研究。</w:t>
            </w:r>
            <w:r>
              <w:rPr>
                <w:rFonts w:hint="eastAsia"/>
                <w:sz w:val="24"/>
              </w:rPr>
              <w:t>公司于</w:t>
            </w:r>
            <w:r>
              <w:rPr>
                <w:rFonts w:hint="eastAsia"/>
                <w:sz w:val="24"/>
              </w:rPr>
              <w:t>2025</w:t>
            </w:r>
            <w:r>
              <w:rPr>
                <w:rFonts w:hint="eastAsia"/>
                <w:sz w:val="24"/>
              </w:rPr>
              <w:t>年在国际大会公布的</w:t>
            </w:r>
            <w:r>
              <w:rPr>
                <w:rFonts w:hint="eastAsia"/>
                <w:sz w:val="24"/>
              </w:rPr>
              <w:t>APL-1401 Ib</w:t>
            </w:r>
            <w:r>
              <w:rPr>
                <w:rFonts w:hint="eastAsia"/>
                <w:sz w:val="24"/>
              </w:rPr>
              <w:t>期初步临床数据显示出了积极的疗效信号，目前该临床研究的患者招募已完成。</w:t>
            </w:r>
            <w:r>
              <w:rPr>
                <w:sz w:val="24"/>
              </w:rPr>
              <w:t>公司将积极推进上述研发项目，并严格按照有关规定及时对项目后续进展情况履行信息披露义务</w:t>
            </w:r>
            <w:r>
              <w:rPr>
                <w:rFonts w:hint="eastAsia"/>
                <w:sz w:val="24"/>
              </w:rPr>
              <w:t>。</w:t>
            </w:r>
          </w:p>
          <w:p w14:paraId="45012736" w14:textId="328DD640" w:rsidR="00E71621" w:rsidRDefault="00000000">
            <w:pPr>
              <w:widowControl/>
              <w:spacing w:beforeLines="50" w:before="156" w:afterLines="50" w:after="156" w:line="283" w:lineRule="auto"/>
              <w:ind w:firstLineChars="200" w:firstLine="482"/>
              <w:rPr>
                <w:b/>
                <w:bCs/>
                <w:sz w:val="24"/>
              </w:rPr>
            </w:pPr>
            <w:r>
              <w:rPr>
                <w:rFonts w:hint="eastAsia"/>
                <w:b/>
                <w:bCs/>
                <w:sz w:val="24"/>
              </w:rPr>
              <w:t>问</w:t>
            </w:r>
            <w:r w:rsidR="001C3B76">
              <w:rPr>
                <w:rFonts w:hint="eastAsia"/>
                <w:b/>
                <w:bCs/>
                <w:sz w:val="24"/>
              </w:rPr>
              <w:t>3</w:t>
            </w:r>
            <w:r>
              <w:rPr>
                <w:rFonts w:hint="eastAsia"/>
                <w:b/>
                <w:bCs/>
                <w:sz w:val="24"/>
              </w:rPr>
              <w:t>：希维她</w:t>
            </w:r>
            <w:r>
              <w:rPr>
                <w:rFonts w:hint="eastAsia"/>
                <w:color w:val="000000" w:themeColor="text1"/>
                <w:kern w:val="0"/>
                <w:sz w:val="24"/>
                <w:vertAlign w:val="superscript"/>
              </w:rPr>
              <w:t>®</w:t>
            </w:r>
            <w:r>
              <w:rPr>
                <w:rFonts w:hint="eastAsia"/>
                <w:b/>
                <w:bCs/>
                <w:sz w:val="24"/>
              </w:rPr>
              <w:t>后续的适应症开发计划有哪些？</w:t>
            </w:r>
          </w:p>
          <w:p w14:paraId="016BB981" w14:textId="0C3B7225" w:rsidR="00E71621" w:rsidRDefault="00000000">
            <w:pPr>
              <w:widowControl/>
              <w:spacing w:beforeLines="50" w:before="156" w:afterLines="50" w:after="156" w:line="283" w:lineRule="auto"/>
              <w:ind w:firstLineChars="200" w:firstLine="480"/>
              <w:rPr>
                <w:sz w:val="24"/>
              </w:rPr>
            </w:pPr>
            <w:r>
              <w:rPr>
                <w:rFonts w:hint="eastAsia"/>
                <w:sz w:val="24"/>
              </w:rPr>
              <w:t>答：基于希维她</w:t>
            </w:r>
            <w:r>
              <w:rPr>
                <w:rFonts w:hint="eastAsia"/>
                <w:sz w:val="24"/>
                <w:vertAlign w:val="superscript"/>
              </w:rPr>
              <w:t>®</w:t>
            </w:r>
            <w:r>
              <w:rPr>
                <w:rFonts w:hint="eastAsia"/>
                <w:sz w:val="24"/>
              </w:rPr>
              <w:t>国际多中心</w:t>
            </w:r>
            <w:r w:rsidRPr="00014018">
              <w:rPr>
                <w:sz w:val="24"/>
              </w:rPr>
              <w:t>Ⅲ</w:t>
            </w:r>
            <w:r>
              <w:rPr>
                <w:rFonts w:hint="eastAsia"/>
                <w:sz w:val="24"/>
              </w:rPr>
              <w:t>期临床研究中所展示的</w:t>
            </w:r>
            <w:r>
              <w:rPr>
                <w:rFonts w:hint="eastAsia"/>
                <w:sz w:val="24"/>
              </w:rPr>
              <w:t>HPV</w:t>
            </w:r>
            <w:r>
              <w:rPr>
                <w:rFonts w:hint="eastAsia"/>
                <w:sz w:val="24"/>
              </w:rPr>
              <w:t>清除的突出潜力，以及潜在的巨大未被满足的临床需求，公司已启动</w:t>
            </w:r>
            <w:r>
              <w:rPr>
                <w:rFonts w:hint="eastAsia"/>
                <w:sz w:val="24"/>
              </w:rPr>
              <w:t>HPV</w:t>
            </w:r>
            <w:r>
              <w:rPr>
                <w:rFonts w:hint="eastAsia"/>
                <w:sz w:val="24"/>
              </w:rPr>
              <w:t>相关适应症的探索。</w:t>
            </w:r>
            <w:r>
              <w:rPr>
                <w:sz w:val="24"/>
              </w:rPr>
              <w:t>公司将积极推进上述研发项目，并严格按照有关规定及时对项目后续进展情况履行信息披露义务</w:t>
            </w:r>
            <w:r>
              <w:rPr>
                <w:rFonts w:hint="eastAsia"/>
                <w:sz w:val="24"/>
              </w:rPr>
              <w:t>。</w:t>
            </w:r>
          </w:p>
          <w:p w14:paraId="6D2AE9A1" w14:textId="7E5C7C4A" w:rsidR="00E71621" w:rsidRDefault="00000000">
            <w:pPr>
              <w:widowControl/>
              <w:spacing w:beforeLines="50" w:before="156" w:afterLines="50" w:after="156" w:line="283" w:lineRule="auto"/>
              <w:ind w:firstLineChars="200" w:firstLine="482"/>
              <w:rPr>
                <w:b/>
                <w:bCs/>
                <w:sz w:val="24"/>
              </w:rPr>
            </w:pPr>
            <w:r>
              <w:rPr>
                <w:rFonts w:hint="eastAsia"/>
                <w:b/>
                <w:bCs/>
                <w:sz w:val="24"/>
              </w:rPr>
              <w:lastRenderedPageBreak/>
              <w:t>问</w:t>
            </w:r>
            <w:r w:rsidR="001C3B76">
              <w:rPr>
                <w:rFonts w:hint="eastAsia"/>
                <w:b/>
                <w:bCs/>
                <w:sz w:val="24"/>
              </w:rPr>
              <w:t>4</w:t>
            </w:r>
            <w:r>
              <w:rPr>
                <w:rFonts w:hint="eastAsia"/>
                <w:b/>
                <w:bCs/>
                <w:sz w:val="24"/>
              </w:rPr>
              <w:t>：海克威</w:t>
            </w:r>
            <w:r>
              <w:rPr>
                <w:rFonts w:hint="eastAsia"/>
                <w:b/>
                <w:bCs/>
                <w:color w:val="000000" w:themeColor="text1"/>
                <w:kern w:val="0"/>
                <w:sz w:val="24"/>
                <w:vertAlign w:val="superscript"/>
              </w:rPr>
              <w:t>®</w:t>
            </w:r>
            <w:r>
              <w:rPr>
                <w:rFonts w:hint="eastAsia"/>
                <w:b/>
                <w:bCs/>
                <w:sz w:val="24"/>
              </w:rPr>
              <w:t>后续的</w:t>
            </w:r>
            <w:r w:rsidR="00B0498F">
              <w:rPr>
                <w:rFonts w:hint="eastAsia"/>
                <w:b/>
                <w:bCs/>
                <w:sz w:val="24"/>
              </w:rPr>
              <w:t>商业化进展如何</w:t>
            </w:r>
            <w:r>
              <w:rPr>
                <w:rFonts w:hint="eastAsia"/>
                <w:b/>
                <w:bCs/>
                <w:sz w:val="24"/>
              </w:rPr>
              <w:t>？泌尿领域的整体布局规划是什么？</w:t>
            </w:r>
          </w:p>
          <w:p w14:paraId="19FC455A" w14:textId="75EDD427" w:rsidR="00E71621" w:rsidRDefault="00000000">
            <w:pPr>
              <w:widowControl/>
              <w:spacing w:beforeLines="50" w:before="156" w:afterLines="50" w:after="156" w:line="283" w:lineRule="auto"/>
              <w:ind w:firstLineChars="200" w:firstLine="480"/>
              <w:rPr>
                <w:sz w:val="24"/>
              </w:rPr>
            </w:pPr>
            <w:r>
              <w:rPr>
                <w:rFonts w:hint="eastAsia"/>
                <w:sz w:val="24"/>
              </w:rPr>
              <w:t>答：海克威</w:t>
            </w:r>
            <w:r>
              <w:rPr>
                <w:rFonts w:hint="eastAsia"/>
                <w:b/>
                <w:bCs/>
                <w:color w:val="000000" w:themeColor="text1"/>
                <w:kern w:val="0"/>
                <w:sz w:val="24"/>
                <w:vertAlign w:val="superscript"/>
              </w:rPr>
              <w:t>®</w:t>
            </w:r>
            <w:r>
              <w:rPr>
                <w:rFonts w:hint="eastAsia"/>
                <w:sz w:val="24"/>
              </w:rPr>
              <w:t>已获国家药监局（</w:t>
            </w:r>
            <w:r>
              <w:rPr>
                <w:rFonts w:hint="eastAsia"/>
                <w:sz w:val="24"/>
              </w:rPr>
              <w:t>NMPA</w:t>
            </w:r>
            <w:r>
              <w:rPr>
                <w:rFonts w:hint="eastAsia"/>
                <w:sz w:val="24"/>
              </w:rPr>
              <w:t>）批准上市，</w:t>
            </w:r>
            <w:r>
              <w:rPr>
                <w:rFonts w:hint="eastAsia"/>
                <w:sz w:val="24"/>
              </w:rPr>
              <w:t>2026</w:t>
            </w:r>
            <w:r>
              <w:rPr>
                <w:rFonts w:hint="eastAsia"/>
                <w:sz w:val="24"/>
              </w:rPr>
              <w:t>年上半年公司合作伙伴德国</w:t>
            </w:r>
            <w:r>
              <w:rPr>
                <w:rFonts w:hint="eastAsia"/>
                <w:sz w:val="24"/>
              </w:rPr>
              <w:t>R.WOLF</w:t>
            </w:r>
            <w:r>
              <w:rPr>
                <w:rFonts w:hint="eastAsia"/>
                <w:sz w:val="24"/>
              </w:rPr>
              <w:t>的蓝光膀胱镜系统</w:t>
            </w:r>
            <w:r>
              <w:rPr>
                <w:rFonts w:hint="eastAsia"/>
                <w:sz w:val="24"/>
              </w:rPr>
              <w:t>SYSTEM BLUE</w:t>
            </w:r>
            <w:r>
              <w:rPr>
                <w:rFonts w:hint="eastAsia"/>
                <w:sz w:val="24"/>
              </w:rPr>
              <w:t>在中国批准上市，蓝光诊疗方案的临床价值已具备现实落地基础。</w:t>
            </w:r>
            <w:r w:rsidR="001C3B76" w:rsidRPr="001C3B76">
              <w:rPr>
                <w:rFonts w:hint="eastAsia"/>
                <w:sz w:val="24"/>
              </w:rPr>
              <w:t>公司将加快推进海克威</w:t>
            </w:r>
            <w:r w:rsidR="001C3B76" w:rsidRPr="001C3B76">
              <w:rPr>
                <w:rFonts w:hint="eastAsia"/>
                <w:sz w:val="24"/>
                <w:vertAlign w:val="superscript"/>
              </w:rPr>
              <w:t>®</w:t>
            </w:r>
            <w:r w:rsidR="001C3B76" w:rsidRPr="001C3B76">
              <w:rPr>
                <w:rFonts w:hint="eastAsia"/>
                <w:sz w:val="24"/>
              </w:rPr>
              <w:t>联合蓝光膀胱镜系统走向市场，早日惠及广大患者</w:t>
            </w:r>
            <w:r>
              <w:rPr>
                <w:rFonts w:hint="eastAsia"/>
                <w:sz w:val="24"/>
              </w:rPr>
              <w:t>。</w:t>
            </w:r>
            <w:r w:rsidR="001E7AE5" w:rsidRPr="001E7AE5">
              <w:rPr>
                <w:rFonts w:hint="eastAsia"/>
                <w:sz w:val="24"/>
              </w:rPr>
              <w:t>基于</w:t>
            </w:r>
            <w:r w:rsidR="001E7AE5" w:rsidRPr="001E7AE5">
              <w:rPr>
                <w:rFonts w:hint="eastAsia"/>
                <w:sz w:val="24"/>
              </w:rPr>
              <w:t>NMIBC</w:t>
            </w:r>
            <w:r w:rsidR="001E7AE5" w:rsidRPr="001E7AE5">
              <w:rPr>
                <w:rFonts w:hint="eastAsia"/>
                <w:sz w:val="24"/>
              </w:rPr>
              <w:t>患者对膀胱镜精准诊断的广大潜在需求，降低膀胱癌市场临床随访的诊疗压力，</w:t>
            </w:r>
            <w:r w:rsidR="001E7AE5">
              <w:rPr>
                <w:rFonts w:hint="eastAsia"/>
                <w:sz w:val="24"/>
              </w:rPr>
              <w:t>公司</w:t>
            </w:r>
            <w:r w:rsidR="001E7AE5" w:rsidRPr="001E7AE5">
              <w:rPr>
                <w:rFonts w:hint="eastAsia"/>
                <w:sz w:val="24"/>
              </w:rPr>
              <w:t>全面推动膀胱癌全程诊疗一体化进程，公司开发</w:t>
            </w:r>
            <w:r w:rsidR="001E7AE5">
              <w:rPr>
                <w:rFonts w:hint="eastAsia"/>
                <w:sz w:val="24"/>
              </w:rPr>
              <w:t>的</w:t>
            </w:r>
            <w:r w:rsidR="001E7AE5" w:rsidRPr="001E7AE5">
              <w:rPr>
                <w:rFonts w:hint="eastAsia"/>
                <w:sz w:val="24"/>
              </w:rPr>
              <w:t>一次性蓝光膀胱软镜</w:t>
            </w:r>
            <w:r w:rsidR="001E7AE5">
              <w:rPr>
                <w:rFonts w:hint="eastAsia"/>
                <w:sz w:val="24"/>
              </w:rPr>
              <w:t>APLD-2304</w:t>
            </w:r>
            <w:r w:rsidR="001E7AE5" w:rsidRPr="001E7AE5">
              <w:rPr>
                <w:rFonts w:hint="eastAsia"/>
                <w:sz w:val="24"/>
              </w:rPr>
              <w:t>，已完成欧盟注册申报并于</w:t>
            </w:r>
            <w:r w:rsidR="001E7AE5" w:rsidRPr="001E7AE5">
              <w:rPr>
                <w:rFonts w:hint="eastAsia"/>
                <w:sz w:val="24"/>
              </w:rPr>
              <w:t>2026</w:t>
            </w:r>
            <w:r w:rsidR="001E7AE5" w:rsidRPr="001E7AE5">
              <w:rPr>
                <w:rFonts w:hint="eastAsia"/>
                <w:sz w:val="24"/>
              </w:rPr>
              <w:t>年</w:t>
            </w:r>
            <w:r w:rsidR="001E7AE5" w:rsidRPr="001E7AE5">
              <w:rPr>
                <w:rFonts w:hint="eastAsia"/>
                <w:sz w:val="24"/>
              </w:rPr>
              <w:t>8</w:t>
            </w:r>
            <w:r w:rsidR="001E7AE5" w:rsidRPr="001E7AE5">
              <w:rPr>
                <w:rFonts w:hint="eastAsia"/>
                <w:sz w:val="24"/>
              </w:rPr>
              <w:t>月获得欧盟</w:t>
            </w:r>
            <w:r w:rsidR="001E7AE5" w:rsidRPr="001E7AE5">
              <w:rPr>
                <w:rFonts w:hint="eastAsia"/>
                <w:sz w:val="24"/>
              </w:rPr>
              <w:t>CE</w:t>
            </w:r>
            <w:r w:rsidR="001E7AE5" w:rsidRPr="001E7AE5">
              <w:rPr>
                <w:rFonts w:hint="eastAsia"/>
                <w:sz w:val="24"/>
              </w:rPr>
              <w:t>认证，期望在蓝光诊疗一体化体系中，通过早期可视化精准诊治及高质量随访，使患者总体治疗成本降低，改善生存质量。</w:t>
            </w:r>
            <w:r>
              <w:rPr>
                <w:sz w:val="24"/>
              </w:rPr>
              <w:t>公司将积极推进上述</w:t>
            </w:r>
            <w:r>
              <w:rPr>
                <w:rFonts w:hint="eastAsia"/>
                <w:sz w:val="24"/>
              </w:rPr>
              <w:t>产品的商业化</w:t>
            </w:r>
            <w:r w:rsidR="006C6295">
              <w:rPr>
                <w:rFonts w:hint="eastAsia"/>
                <w:sz w:val="24"/>
              </w:rPr>
              <w:t>进程</w:t>
            </w:r>
            <w:r>
              <w:rPr>
                <w:sz w:val="24"/>
              </w:rPr>
              <w:t>，并严格按照有关规定及时对项目后续进展情况履行信息披露义务</w:t>
            </w:r>
            <w:r>
              <w:rPr>
                <w:rFonts w:hint="eastAsia"/>
                <w:sz w:val="24"/>
              </w:rPr>
              <w:t>。</w:t>
            </w:r>
          </w:p>
          <w:p w14:paraId="51172890" w14:textId="50C55737" w:rsidR="00E71621" w:rsidRDefault="00000000">
            <w:pPr>
              <w:widowControl/>
              <w:spacing w:beforeLines="50" w:before="156" w:afterLines="50" w:after="156" w:line="283" w:lineRule="auto"/>
              <w:ind w:firstLineChars="200" w:firstLine="482"/>
              <w:rPr>
                <w:b/>
                <w:bCs/>
                <w:sz w:val="24"/>
              </w:rPr>
            </w:pPr>
            <w:r>
              <w:rPr>
                <w:rFonts w:hint="eastAsia"/>
                <w:b/>
                <w:bCs/>
                <w:sz w:val="24"/>
              </w:rPr>
              <w:t>问</w:t>
            </w:r>
            <w:r w:rsidR="001C3B76">
              <w:rPr>
                <w:rFonts w:hint="eastAsia"/>
                <w:b/>
                <w:bCs/>
                <w:sz w:val="24"/>
              </w:rPr>
              <w:t>5</w:t>
            </w:r>
            <w:r>
              <w:rPr>
                <w:rFonts w:hint="eastAsia"/>
                <w:b/>
                <w:bCs/>
                <w:sz w:val="24"/>
              </w:rPr>
              <w:t>：公司</w:t>
            </w:r>
            <w:r w:rsidR="00F05C4E">
              <w:rPr>
                <w:rFonts w:hint="eastAsia"/>
                <w:b/>
                <w:bCs/>
                <w:sz w:val="24"/>
              </w:rPr>
              <w:t>现有</w:t>
            </w:r>
            <w:r>
              <w:rPr>
                <w:rFonts w:hint="eastAsia"/>
                <w:b/>
                <w:bCs/>
                <w:sz w:val="24"/>
              </w:rPr>
              <w:t>管线有哪些重点布局的分子？</w:t>
            </w:r>
          </w:p>
          <w:p w14:paraId="3D46AE23" w14:textId="7BC3C17F" w:rsidR="00E71621" w:rsidRPr="001C3B76" w:rsidRDefault="00000000" w:rsidP="001C3B76">
            <w:pPr>
              <w:widowControl/>
              <w:spacing w:beforeLines="50" w:before="156" w:afterLines="50" w:after="156" w:line="283" w:lineRule="auto"/>
              <w:ind w:firstLineChars="200" w:firstLine="480"/>
              <w:rPr>
                <w:sz w:val="24"/>
              </w:rPr>
            </w:pPr>
            <w:r>
              <w:rPr>
                <w:rFonts w:hint="eastAsia"/>
                <w:sz w:val="24"/>
              </w:rPr>
              <w:t>答：公司围绕专科化战略布局，形成以靶向免疫调节正常化（</w:t>
            </w:r>
            <w:r>
              <w:rPr>
                <w:rFonts w:hint="eastAsia"/>
                <w:sz w:val="24"/>
              </w:rPr>
              <w:t>TIMN</w:t>
            </w:r>
            <w:r>
              <w:rPr>
                <w:rFonts w:hint="eastAsia"/>
                <w:sz w:val="24"/>
              </w:rPr>
              <w:t>）技术平台、靶向和</w:t>
            </w:r>
            <w:r>
              <w:rPr>
                <w:rFonts w:hint="eastAsia"/>
                <w:sz w:val="24"/>
              </w:rPr>
              <w:t>AI</w:t>
            </w:r>
            <w:r>
              <w:rPr>
                <w:rFonts w:hint="eastAsia"/>
                <w:sz w:val="24"/>
              </w:rPr>
              <w:t>驱动的药物发现平台（</w:t>
            </w:r>
            <w:r>
              <w:rPr>
                <w:rFonts w:hint="eastAsia"/>
                <w:sz w:val="24"/>
              </w:rPr>
              <w:t>Targeted &amp; AI-driven Drug Discovery, TAIDD</w:t>
            </w:r>
            <w:r>
              <w:rPr>
                <w:rFonts w:hint="eastAsia"/>
                <w:sz w:val="24"/>
              </w:rPr>
              <w:t>）、药械联用平台（</w:t>
            </w:r>
            <w:r>
              <w:rPr>
                <w:rFonts w:hint="eastAsia"/>
                <w:sz w:val="24"/>
              </w:rPr>
              <w:t>Drug Device Combination, DDC</w:t>
            </w:r>
            <w:r>
              <w:rPr>
                <w:rFonts w:hint="eastAsia"/>
                <w:sz w:val="24"/>
              </w:rPr>
              <w:t>）三大支柱性平台。管线均围绕公司聚焦的专科领域推进。目前主要在研项目包括：与</w:t>
            </w:r>
            <w:r>
              <w:rPr>
                <w:rFonts w:hint="eastAsia"/>
                <w:sz w:val="24"/>
              </w:rPr>
              <w:t>APL-1702</w:t>
            </w:r>
            <w:r>
              <w:rPr>
                <w:rFonts w:hint="eastAsia"/>
                <w:sz w:val="24"/>
              </w:rPr>
              <w:t>相关的联合用药方案，可提升</w:t>
            </w:r>
            <w:r>
              <w:rPr>
                <w:rFonts w:hint="eastAsia"/>
                <w:sz w:val="24"/>
              </w:rPr>
              <w:t>APL-1702</w:t>
            </w:r>
            <w:r>
              <w:rPr>
                <w:rFonts w:hint="eastAsia"/>
                <w:sz w:val="24"/>
              </w:rPr>
              <w:t>疗效并支持其拓展至</w:t>
            </w:r>
            <w:r>
              <w:rPr>
                <w:rFonts w:hint="eastAsia"/>
                <w:sz w:val="24"/>
              </w:rPr>
              <w:t>HPV</w:t>
            </w:r>
            <w:r>
              <w:rPr>
                <w:rFonts w:hint="eastAsia"/>
                <w:sz w:val="24"/>
              </w:rPr>
              <w:t>清除适应症，相关专利已申报；公司自主研究并发现其全新作用机制用于治疗自身免疫疾病的口服创新药物</w:t>
            </w:r>
            <w:r>
              <w:rPr>
                <w:rFonts w:hint="eastAsia"/>
                <w:sz w:val="24"/>
              </w:rPr>
              <w:t>APL-1401</w:t>
            </w:r>
            <w:r>
              <w:rPr>
                <w:rFonts w:hint="eastAsia"/>
                <w:sz w:val="24"/>
              </w:rPr>
              <w:t>；公司自主研发的搭载专有亲水性连接子、基于拓扑异构酶抑制剂的抗</w:t>
            </w:r>
            <w:r>
              <w:rPr>
                <w:rFonts w:hint="eastAsia"/>
                <w:sz w:val="24"/>
              </w:rPr>
              <w:t>CLDN6/9</w:t>
            </w:r>
            <w:r>
              <w:rPr>
                <w:rFonts w:hint="eastAsia"/>
                <w:sz w:val="24"/>
              </w:rPr>
              <w:t>抗体药物偶联物（</w:t>
            </w:r>
            <w:r>
              <w:rPr>
                <w:rFonts w:hint="eastAsia"/>
                <w:sz w:val="24"/>
              </w:rPr>
              <w:t>ADC</w:t>
            </w:r>
            <w:r>
              <w:rPr>
                <w:rFonts w:hint="eastAsia"/>
                <w:sz w:val="24"/>
              </w:rPr>
              <w:t>），可以用于治疗包括乳腺癌、卵巢癌、宫颈癌等多种晚期肿瘤的</w:t>
            </w:r>
            <w:r>
              <w:rPr>
                <w:rFonts w:hint="eastAsia"/>
                <w:sz w:val="24"/>
              </w:rPr>
              <w:t>APL-2501</w:t>
            </w:r>
            <w:r>
              <w:rPr>
                <w:rFonts w:hint="eastAsia"/>
                <w:sz w:val="24"/>
              </w:rPr>
              <w:t>等。</w:t>
            </w:r>
            <w:r>
              <w:rPr>
                <w:sz w:val="24"/>
              </w:rPr>
              <w:t>公司将积极推进上述研发项目，并严格按照有关规定及时对项目后续进展情况履行信息披露义务，敬请广大投资者谨慎决策，注意防范投资风险</w:t>
            </w:r>
            <w:r>
              <w:rPr>
                <w:rFonts w:hint="eastAsia"/>
                <w:sz w:val="24"/>
              </w:rPr>
              <w:t>。</w:t>
            </w:r>
          </w:p>
        </w:tc>
      </w:tr>
      <w:tr w:rsidR="00E71621" w14:paraId="19E7A994" w14:textId="77777777" w:rsidTr="00537046">
        <w:tc>
          <w:tcPr>
            <w:tcW w:w="1838" w:type="dxa"/>
            <w:tcBorders>
              <w:top w:val="single" w:sz="4" w:space="0" w:color="auto"/>
              <w:left w:val="single" w:sz="4" w:space="0" w:color="auto"/>
              <w:bottom w:val="single" w:sz="4" w:space="0" w:color="auto"/>
              <w:right w:val="single" w:sz="4" w:space="0" w:color="auto"/>
            </w:tcBorders>
            <w:vAlign w:val="center"/>
          </w:tcPr>
          <w:p w14:paraId="620EA6E3" w14:textId="77777777" w:rsidR="00E71621" w:rsidRDefault="00000000">
            <w:pPr>
              <w:spacing w:beforeLines="50" w:before="156" w:afterLines="50" w:after="156"/>
              <w:rPr>
                <w:rFonts w:ascii="宋体" w:hAnsi="宋体" w:hint="eastAsia"/>
                <w:bCs/>
                <w:iCs/>
                <w:color w:val="000000"/>
                <w:sz w:val="24"/>
              </w:rPr>
            </w:pPr>
            <w:r>
              <w:rPr>
                <w:rFonts w:ascii="宋体" w:hAnsi="宋体" w:hint="eastAsia"/>
                <w:bCs/>
                <w:iCs/>
                <w:color w:val="000000"/>
                <w:sz w:val="24"/>
              </w:rPr>
              <w:lastRenderedPageBreak/>
              <w:t>附件清单（如有）</w:t>
            </w:r>
          </w:p>
        </w:tc>
        <w:tc>
          <w:tcPr>
            <w:tcW w:w="6458" w:type="dxa"/>
            <w:tcBorders>
              <w:top w:val="single" w:sz="4" w:space="0" w:color="auto"/>
              <w:left w:val="single" w:sz="4" w:space="0" w:color="auto"/>
              <w:bottom w:val="single" w:sz="4" w:space="0" w:color="auto"/>
              <w:right w:val="single" w:sz="4" w:space="0" w:color="auto"/>
            </w:tcBorders>
            <w:vAlign w:val="center"/>
          </w:tcPr>
          <w:p w14:paraId="67253824" w14:textId="77777777" w:rsidR="00E71621" w:rsidRDefault="00000000">
            <w:pPr>
              <w:rPr>
                <w:rFonts w:ascii="宋体" w:hAnsi="宋体" w:hint="eastAsia"/>
                <w:bCs/>
                <w:iCs/>
                <w:color w:val="000000"/>
                <w:sz w:val="24"/>
              </w:rPr>
            </w:pPr>
            <w:r>
              <w:rPr>
                <w:rFonts w:ascii="宋体" w:hAnsi="宋体" w:hint="eastAsia"/>
                <w:bCs/>
                <w:iCs/>
                <w:color w:val="000000"/>
                <w:sz w:val="24"/>
              </w:rPr>
              <w:t>无</w:t>
            </w:r>
          </w:p>
        </w:tc>
      </w:tr>
      <w:tr w:rsidR="00E71621" w14:paraId="6285C8AD" w14:textId="77777777" w:rsidTr="00537046">
        <w:tc>
          <w:tcPr>
            <w:tcW w:w="1838" w:type="dxa"/>
            <w:tcBorders>
              <w:top w:val="single" w:sz="4" w:space="0" w:color="auto"/>
              <w:left w:val="single" w:sz="4" w:space="0" w:color="auto"/>
              <w:bottom w:val="single" w:sz="4" w:space="0" w:color="auto"/>
              <w:right w:val="single" w:sz="4" w:space="0" w:color="auto"/>
            </w:tcBorders>
            <w:vAlign w:val="center"/>
          </w:tcPr>
          <w:p w14:paraId="676146D7" w14:textId="77777777" w:rsidR="00E71621" w:rsidRDefault="00000000">
            <w:pPr>
              <w:spacing w:beforeLines="50" w:before="156" w:afterLines="50" w:after="156"/>
              <w:rPr>
                <w:rFonts w:ascii="宋体" w:hAnsi="宋体" w:hint="eastAsia"/>
                <w:bCs/>
                <w:iCs/>
                <w:color w:val="000000"/>
                <w:sz w:val="24"/>
              </w:rPr>
            </w:pPr>
            <w:r>
              <w:rPr>
                <w:rFonts w:ascii="宋体" w:hAnsi="宋体" w:hint="eastAsia"/>
                <w:bCs/>
                <w:iCs/>
                <w:color w:val="000000"/>
                <w:sz w:val="24"/>
              </w:rPr>
              <w:t>日期</w:t>
            </w:r>
          </w:p>
        </w:tc>
        <w:tc>
          <w:tcPr>
            <w:tcW w:w="6458" w:type="dxa"/>
            <w:tcBorders>
              <w:top w:val="single" w:sz="4" w:space="0" w:color="auto"/>
              <w:left w:val="single" w:sz="4" w:space="0" w:color="auto"/>
              <w:bottom w:val="single" w:sz="4" w:space="0" w:color="auto"/>
              <w:right w:val="single" w:sz="4" w:space="0" w:color="auto"/>
            </w:tcBorders>
          </w:tcPr>
          <w:p w14:paraId="19E7892A" w14:textId="77777777" w:rsidR="00E71621" w:rsidRDefault="00000000">
            <w:pPr>
              <w:spacing w:beforeLines="50" w:before="156" w:afterLines="50" w:after="156"/>
              <w:rPr>
                <w:bCs/>
                <w:iCs/>
                <w:color w:val="000000"/>
                <w:sz w:val="24"/>
              </w:rPr>
            </w:pPr>
            <w:r>
              <w:rPr>
                <w:rFonts w:hint="eastAsia"/>
                <w:bCs/>
                <w:iCs/>
                <w:color w:val="000000"/>
                <w:sz w:val="24"/>
              </w:rPr>
              <w:t>2026</w:t>
            </w:r>
            <w:r>
              <w:rPr>
                <w:bCs/>
                <w:iCs/>
                <w:color w:val="000000"/>
                <w:sz w:val="24"/>
              </w:rPr>
              <w:t>年</w:t>
            </w:r>
            <w:r>
              <w:rPr>
                <w:rFonts w:hint="eastAsia"/>
                <w:bCs/>
                <w:iCs/>
                <w:color w:val="000000"/>
                <w:sz w:val="24"/>
              </w:rPr>
              <w:t>8</w:t>
            </w:r>
            <w:r>
              <w:rPr>
                <w:bCs/>
                <w:iCs/>
                <w:color w:val="000000"/>
                <w:sz w:val="24"/>
              </w:rPr>
              <w:t>月</w:t>
            </w:r>
            <w:r>
              <w:rPr>
                <w:rFonts w:hint="eastAsia"/>
                <w:bCs/>
                <w:iCs/>
                <w:color w:val="000000"/>
                <w:sz w:val="24"/>
              </w:rPr>
              <w:t>31</w:t>
            </w:r>
            <w:r>
              <w:rPr>
                <w:rFonts w:hint="eastAsia"/>
                <w:bCs/>
                <w:iCs/>
                <w:color w:val="000000"/>
                <w:sz w:val="24"/>
              </w:rPr>
              <w:t>日</w:t>
            </w:r>
          </w:p>
        </w:tc>
      </w:tr>
    </w:tbl>
    <w:p w14:paraId="4325A8AA" w14:textId="77777777" w:rsidR="00E71621" w:rsidRDefault="00E71621">
      <w:pPr>
        <w:rPr>
          <w:rFonts w:ascii="宋体" w:hAnsi="宋体" w:hint="eastAsia"/>
          <w:b/>
          <w:bCs/>
          <w:sz w:val="24"/>
        </w:rPr>
      </w:pPr>
    </w:p>
    <w:sectPr w:rsidR="00E71621">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D0758" w14:textId="77777777" w:rsidR="00F06BB1" w:rsidRDefault="00F06BB1">
      <w:r>
        <w:separator/>
      </w:r>
    </w:p>
  </w:endnote>
  <w:endnote w:type="continuationSeparator" w:id="0">
    <w:p w14:paraId="65729CD3" w14:textId="77777777" w:rsidR="00F06BB1" w:rsidRDefault="00F06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911474"/>
    </w:sdtPr>
    <w:sdtContent>
      <w:p w14:paraId="673E565E" w14:textId="77777777" w:rsidR="00E71621" w:rsidRDefault="00000000">
        <w:pPr>
          <w:pStyle w:val="a7"/>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1F18C" w14:textId="77777777" w:rsidR="00F06BB1" w:rsidRDefault="00F06BB1">
      <w:r>
        <w:separator/>
      </w:r>
    </w:p>
  </w:footnote>
  <w:footnote w:type="continuationSeparator" w:id="0">
    <w:p w14:paraId="1B8B57C3" w14:textId="77777777" w:rsidR="00F06BB1" w:rsidRDefault="00F06B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04E"/>
    <w:rsid w:val="0000571B"/>
    <w:rsid w:val="00014018"/>
    <w:rsid w:val="000E11A6"/>
    <w:rsid w:val="00100EE4"/>
    <w:rsid w:val="001A22E1"/>
    <w:rsid w:val="001C3B76"/>
    <w:rsid w:val="001E7AE5"/>
    <w:rsid w:val="002625BC"/>
    <w:rsid w:val="0026588F"/>
    <w:rsid w:val="00274E85"/>
    <w:rsid w:val="00287359"/>
    <w:rsid w:val="0029146F"/>
    <w:rsid w:val="003420D9"/>
    <w:rsid w:val="00355617"/>
    <w:rsid w:val="003719D5"/>
    <w:rsid w:val="00372B3E"/>
    <w:rsid w:val="003917DC"/>
    <w:rsid w:val="003E1741"/>
    <w:rsid w:val="00495B5B"/>
    <w:rsid w:val="00537046"/>
    <w:rsid w:val="005C3F06"/>
    <w:rsid w:val="005D18DD"/>
    <w:rsid w:val="00647AC0"/>
    <w:rsid w:val="00671FEC"/>
    <w:rsid w:val="006776F8"/>
    <w:rsid w:val="006C6295"/>
    <w:rsid w:val="00777617"/>
    <w:rsid w:val="007B5220"/>
    <w:rsid w:val="007C5029"/>
    <w:rsid w:val="00901867"/>
    <w:rsid w:val="00925161"/>
    <w:rsid w:val="00926EF7"/>
    <w:rsid w:val="00931AB2"/>
    <w:rsid w:val="0096404E"/>
    <w:rsid w:val="009F2AEB"/>
    <w:rsid w:val="00A006A4"/>
    <w:rsid w:val="00A72EAD"/>
    <w:rsid w:val="00AB3C98"/>
    <w:rsid w:val="00AB5D82"/>
    <w:rsid w:val="00AC007A"/>
    <w:rsid w:val="00AE4B4D"/>
    <w:rsid w:val="00B0498F"/>
    <w:rsid w:val="00BB44E6"/>
    <w:rsid w:val="00C13DBD"/>
    <w:rsid w:val="00C14B91"/>
    <w:rsid w:val="00C3370B"/>
    <w:rsid w:val="00C56990"/>
    <w:rsid w:val="00C7023F"/>
    <w:rsid w:val="00CF2526"/>
    <w:rsid w:val="00D206A1"/>
    <w:rsid w:val="00D31043"/>
    <w:rsid w:val="00D71543"/>
    <w:rsid w:val="00DA66F8"/>
    <w:rsid w:val="00DE04A0"/>
    <w:rsid w:val="00DF46DF"/>
    <w:rsid w:val="00E64F69"/>
    <w:rsid w:val="00E71621"/>
    <w:rsid w:val="00EF73EF"/>
    <w:rsid w:val="00F03965"/>
    <w:rsid w:val="00F05C4E"/>
    <w:rsid w:val="00F06BB1"/>
    <w:rsid w:val="00F16403"/>
    <w:rsid w:val="05AB30EB"/>
    <w:rsid w:val="0A285C81"/>
    <w:rsid w:val="3BE61375"/>
    <w:rsid w:val="57EE3A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6F8C5"/>
  <w15:docId w15:val="{217FF7AD-AEF6-4DB4-A414-37E4F7D11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unhideWhenUsed/>
    <w:qFormat/>
    <w:rPr>
      <w:b/>
      <w:bCs/>
    </w:rPr>
  </w:style>
  <w:style w:type="character" w:styleId="ad">
    <w:name w:val="annotation reference"/>
    <w:basedOn w:val="a0"/>
    <w:uiPriority w:val="99"/>
    <w:unhideWhenUsed/>
    <w:qFormat/>
    <w:rPr>
      <w:sz w:val="21"/>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character" w:customStyle="1" w:styleId="a8">
    <w:name w:val="页脚 字符"/>
    <w:basedOn w:val="a0"/>
    <w:link w:val="a7"/>
    <w:uiPriority w:val="99"/>
    <w:qFormat/>
    <w:rPr>
      <w:rFonts w:ascii="Times New Roman" w:eastAsia="宋体" w:hAnsi="Times New Roman" w:cs="Times New Roman"/>
      <w:sz w:val="18"/>
      <w:szCs w:val="18"/>
    </w:rPr>
  </w:style>
  <w:style w:type="character" w:customStyle="1" w:styleId="a4">
    <w:name w:val="批注文字 字符"/>
    <w:basedOn w:val="a0"/>
    <w:link w:val="a3"/>
    <w:uiPriority w:val="99"/>
    <w:semiHidden/>
    <w:qFormat/>
    <w:rPr>
      <w:rFonts w:ascii="Times New Roman" w:eastAsia="宋体" w:hAnsi="Times New Roman" w:cs="Times New Roman"/>
      <w:szCs w:val="24"/>
    </w:rPr>
  </w:style>
  <w:style w:type="character" w:customStyle="1" w:styleId="ac">
    <w:name w:val="批注主题 字符"/>
    <w:basedOn w:val="a4"/>
    <w:link w:val="ab"/>
    <w:uiPriority w:val="99"/>
    <w:semiHidden/>
    <w:qFormat/>
    <w:rPr>
      <w:rFonts w:ascii="Times New Roman" w:eastAsia="宋体" w:hAnsi="Times New Roman" w:cs="Times New Roman"/>
      <w:b/>
      <w:bCs/>
      <w:szCs w:val="24"/>
    </w:r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1">
    <w:name w:val="修订1"/>
    <w:hidden/>
    <w:uiPriority w:val="99"/>
    <w:semiHidden/>
    <w:qFormat/>
    <w:rPr>
      <w:kern w:val="2"/>
      <w:sz w:val="21"/>
      <w:szCs w:val="24"/>
    </w:rPr>
  </w:style>
  <w:style w:type="paragraph" w:customStyle="1" w:styleId="2">
    <w:name w:val="修订2"/>
    <w:hidden/>
    <w:uiPriority w:val="99"/>
    <w:unhideWhenUsed/>
    <w:rPr>
      <w:kern w:val="2"/>
      <w:sz w:val="21"/>
      <w:szCs w:val="24"/>
    </w:rPr>
  </w:style>
  <w:style w:type="paragraph" w:styleId="ae">
    <w:name w:val="Revision"/>
    <w:hidden/>
    <w:uiPriority w:val="99"/>
    <w:unhideWhenUsed/>
    <w:rsid w:val="00F05C4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FF091-E76A-4D59-A00E-51C43AF66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352</Words>
  <Characters>2013</Characters>
  <Application>Microsoft Office Word</Application>
  <DocSecurity>0</DocSecurity>
  <Lines>16</Lines>
  <Paragraphs>4</Paragraphs>
  <ScaleCrop>false</ScaleCrop>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skd004</dc:creator>
  <cp:lastModifiedBy>董办_DB </cp:lastModifiedBy>
  <cp:revision>9</cp:revision>
  <cp:lastPrinted>2022-02-09T09:17:00Z</cp:lastPrinted>
  <dcterms:created xsi:type="dcterms:W3CDTF">2026-09-02T07:16:00Z</dcterms:created>
  <dcterms:modified xsi:type="dcterms:W3CDTF">2026-09-02T07:51:00Z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7B375BC63D1343DE93B0182260C43F81_13</vt:lpwstr>
  </property>
  <property fmtid="{D5CDD505-2E9C-101B-9397-08002B2CF9AE}" pid="4" name="KSOTemplateDocerSaveRecord">
    <vt:lpwstr>eyJoZGlkIjoiOGI0NGQwZGFhY2E3N2QwZjkzOTI4NThhODM1ZGZjY2EiLCJ1c2VySWQiOiIyMTkyMzQ2MzEifQ==</vt:lpwstr>
  </property>
</Properties>
</file>