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5FD2C">
      <w:pPr>
        <w:jc w:val="center"/>
        <w:rPr>
          <w:rFonts w:ascii="sans-serif" w:hAnsi="sans-serif" w:eastAsia="sans-serif" w:cs="sans-serif"/>
          <w:sz w:val="28"/>
          <w:szCs w:val="28"/>
          <w:shd w:val="clear" w:color="auto" w:fill="FFFFFF"/>
        </w:rPr>
      </w:pPr>
      <w:r>
        <w:rPr>
          <w:rFonts w:ascii="sans-serif" w:hAnsi="sans-serif" w:eastAsia="sans-serif" w:cs="sans-serif"/>
          <w:b/>
          <w:bCs/>
          <w:sz w:val="32"/>
          <w:szCs w:val="32"/>
          <w:shd w:val="clear" w:color="auto" w:fill="FFFFFF"/>
        </w:rPr>
        <w:t>投资者关系活动记录表</w:t>
      </w:r>
    </w:p>
    <w:p w14:paraId="0208E064">
      <w:pPr>
        <w:jc w:val="left"/>
        <w:rPr>
          <w:rFonts w:hint="default" w:ascii="Times New Roman" w:hAnsi="Times New Roman" w:eastAsia="宋体" w:cs="Times New Roman"/>
          <w:sz w:val="24"/>
          <w:shd w:val="clear" w:color="auto" w:fill="FFFFFF"/>
          <w:lang w:val="en-US" w:eastAsia="zh-CN"/>
        </w:rPr>
      </w:pPr>
      <w:r>
        <w:rPr>
          <w:rFonts w:hint="eastAsia" w:ascii="sans-serif" w:hAnsi="sans-serif" w:eastAsia="sans-serif" w:cs="sans-serif"/>
          <w:sz w:val="24"/>
          <w:shd w:val="clear" w:color="auto" w:fill="FFFFFF"/>
        </w:rPr>
        <w:t>股票名称：</w:t>
      </w:r>
      <w:r>
        <w:rPr>
          <w:rFonts w:hint="eastAsia" w:ascii="sans-serif" w:hAnsi="sans-serif" w:eastAsia="宋体" w:cs="sans-serif"/>
          <w:sz w:val="24"/>
          <w:shd w:val="clear" w:color="auto" w:fill="FFFFFF"/>
        </w:rPr>
        <w:t xml:space="preserve">鼎通科技           </w:t>
      </w:r>
      <w:r>
        <w:rPr>
          <w:rFonts w:hint="eastAsia" w:ascii="sans-serif" w:hAnsi="sans-serif" w:eastAsia="sans-serif" w:cs="sans-serif"/>
          <w:sz w:val="24"/>
          <w:shd w:val="clear" w:color="auto" w:fill="FFFFFF"/>
        </w:rPr>
        <w:t>股票代码：</w:t>
      </w:r>
      <w:r>
        <w:rPr>
          <w:rFonts w:ascii="Times New Roman" w:hAnsi="Times New Roman" w:eastAsia="宋体" w:cs="Times New Roman"/>
          <w:sz w:val="24"/>
          <w:shd w:val="clear" w:color="auto" w:fill="FFFFFF"/>
        </w:rPr>
        <w:t xml:space="preserve">688668 </w:t>
      </w:r>
      <w:r>
        <w:rPr>
          <w:rFonts w:hint="eastAsia" w:ascii="Times New Roman" w:hAnsi="Times New Roman" w:eastAsia="宋体" w:cs="Times New Roman"/>
          <w:sz w:val="24"/>
          <w:shd w:val="clear" w:color="auto" w:fill="FFFFFF"/>
        </w:rPr>
        <w:t xml:space="preserve">       </w:t>
      </w:r>
      <w:r>
        <w:rPr>
          <w:rFonts w:ascii="Times New Roman" w:hAnsi="Times New Roman" w:eastAsia="宋体" w:cs="Times New Roman"/>
          <w:sz w:val="24"/>
          <w:shd w:val="clear" w:color="auto" w:fill="FFFFFF"/>
        </w:rPr>
        <w:t xml:space="preserve"> </w:t>
      </w:r>
      <w:r>
        <w:rPr>
          <w:rFonts w:hint="eastAsia" w:ascii="sans-serif" w:hAnsi="sans-serif" w:eastAsia="sans-serif" w:cs="sans-serif"/>
          <w:sz w:val="24"/>
          <w:shd w:val="clear" w:color="auto" w:fill="FFFFFF"/>
        </w:rPr>
        <w:t>编号：</w:t>
      </w:r>
      <w:r>
        <w:rPr>
          <w:rFonts w:hint="default" w:ascii="Times New Roman" w:hAnsi="Times New Roman" w:eastAsia="宋体" w:cs="Times New Roman"/>
          <w:sz w:val="24"/>
          <w:shd w:val="clear" w:color="auto" w:fill="FFFFFF"/>
          <w:lang w:val="en-US" w:eastAsia="zh-CN"/>
        </w:rPr>
        <w:t>202</w:t>
      </w:r>
      <w:r>
        <w:rPr>
          <w:rFonts w:hint="eastAsia" w:ascii="Times New Roman" w:hAnsi="Times New Roman" w:eastAsia="宋体" w:cs="Times New Roman"/>
          <w:sz w:val="24"/>
          <w:shd w:val="clear" w:color="auto" w:fill="FFFFFF"/>
          <w:lang w:val="en-US" w:eastAsia="zh-CN"/>
        </w:rPr>
        <w:t>6</w:t>
      </w:r>
      <w:r>
        <w:rPr>
          <w:rFonts w:hint="default" w:ascii="Times New Roman" w:hAnsi="Times New Roman" w:eastAsia="宋体" w:cs="Times New Roman"/>
          <w:sz w:val="24"/>
          <w:shd w:val="clear" w:color="auto" w:fill="FFFFFF"/>
          <w:lang w:val="en-US" w:eastAsia="zh-CN"/>
        </w:rPr>
        <w:t>-0</w:t>
      </w:r>
      <w:r>
        <w:rPr>
          <w:rFonts w:hint="eastAsia" w:ascii="Times New Roman" w:hAnsi="Times New Roman" w:eastAsia="宋体" w:cs="Times New Roman"/>
          <w:sz w:val="24"/>
          <w:shd w:val="clear" w:color="auto" w:fill="FFFFFF"/>
          <w:lang w:val="en-US" w:eastAsia="zh-CN"/>
        </w:rPr>
        <w:t>07</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52CD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2304" w:type="dxa"/>
            <w:vAlign w:val="center"/>
          </w:tcPr>
          <w:p w14:paraId="2185193B">
            <w:pPr>
              <w:jc w:val="center"/>
              <w:rPr>
                <w:rFonts w:ascii="sans-serif" w:hAnsi="sans-serif" w:eastAsia="sans-serif" w:cs="sans-serif"/>
                <w:szCs w:val="21"/>
                <w:shd w:val="clear" w:color="auto" w:fill="FFFFFF"/>
              </w:rPr>
            </w:pPr>
            <w:r>
              <w:rPr>
                <w:rFonts w:hint="eastAsia" w:ascii="Times New Roman" w:hAnsi="Times New Roman" w:eastAsia="宋体" w:cs="宋体"/>
                <w:b w:val="0"/>
                <w:bCs w:val="0"/>
                <w:sz w:val="24"/>
                <w:szCs w:val="24"/>
                <w:shd w:val="clear" w:color="auto" w:fill="FFFFFF"/>
                <w:lang w:val="en-US" w:eastAsia="zh-CN"/>
              </w:rPr>
              <w:t>投资者关系活动类别</w:t>
            </w:r>
          </w:p>
        </w:tc>
        <w:tc>
          <w:tcPr>
            <w:tcW w:w="6218" w:type="dxa"/>
            <w:vAlign w:val="center"/>
          </w:tcPr>
          <w:p w14:paraId="69B82E47">
            <w:pPr>
              <w:jc w:val="left"/>
              <w:rPr>
                <w:rFonts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sym w:font="Wingdings 2" w:char="0052"/>
            </w:r>
            <w:r>
              <w:rPr>
                <w:rFonts w:hint="eastAsia" w:asciiTheme="minorEastAsia" w:hAnsiTheme="minorEastAsia" w:cstheme="minorEastAsia"/>
                <w:szCs w:val="21"/>
                <w:shd w:val="clear" w:color="auto" w:fill="FFFFFF"/>
              </w:rPr>
              <w:t xml:space="preserve">特定对象调研     </w:t>
            </w:r>
            <w:r>
              <w:rPr>
                <w:rFonts w:hint="eastAsia" w:asciiTheme="minorEastAsia" w:hAnsiTheme="minorEastAsia" w:cstheme="minorEastAsia"/>
                <w:szCs w:val="21"/>
                <w:shd w:val="clear" w:color="auto" w:fill="FFFFFF"/>
              </w:rPr>
              <w:sym w:font="Wingdings 2" w:char="00A3"/>
            </w:r>
            <w:r>
              <w:rPr>
                <w:rFonts w:hint="eastAsia" w:asciiTheme="minorEastAsia" w:hAnsiTheme="minorEastAsia" w:cstheme="minorEastAsia"/>
                <w:szCs w:val="21"/>
                <w:shd w:val="clear" w:color="auto" w:fill="FFFFFF"/>
              </w:rPr>
              <w:t xml:space="preserve">分析师会议    </w:t>
            </w:r>
            <w:r>
              <w:rPr>
                <w:rFonts w:hint="eastAsia" w:asciiTheme="minorEastAsia" w:hAnsiTheme="minorEastAsia" w:cstheme="minorEastAsia"/>
                <w:szCs w:val="21"/>
                <w:shd w:val="clear" w:color="auto" w:fill="FFFFFF"/>
              </w:rPr>
              <w:sym w:font="Wingdings 2" w:char="0052"/>
            </w:r>
            <w:r>
              <w:rPr>
                <w:rFonts w:hint="eastAsia" w:asciiTheme="minorEastAsia" w:hAnsiTheme="minorEastAsia" w:cstheme="minorEastAsia"/>
                <w:szCs w:val="21"/>
                <w:shd w:val="clear" w:color="auto" w:fill="FFFFFF"/>
                <w:lang w:eastAsia="zh-CN"/>
              </w:rPr>
              <w:t>电话会议</w:t>
            </w:r>
          </w:p>
          <w:p w14:paraId="3F854FFF">
            <w:pPr>
              <w:jc w:val="left"/>
              <w:rPr>
                <w:rFonts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sym w:font="Wingdings 2" w:char="00A3"/>
            </w:r>
            <w:r>
              <w:rPr>
                <w:rFonts w:hint="eastAsia" w:asciiTheme="minorEastAsia" w:hAnsiTheme="minorEastAsia" w:cstheme="minorEastAsia"/>
                <w:szCs w:val="21"/>
                <w:shd w:val="clear" w:color="auto" w:fill="FFFFFF"/>
              </w:rPr>
              <w:t xml:space="preserve">媒体采访         </w:t>
            </w:r>
            <w:r>
              <w:rPr>
                <w:rFonts w:hint="eastAsia" w:asciiTheme="minorEastAsia" w:hAnsiTheme="minorEastAsia" w:cstheme="minorEastAsia"/>
                <w:szCs w:val="21"/>
                <w:shd w:val="clear" w:color="auto" w:fill="FFFFFF"/>
              </w:rPr>
              <w:sym w:font="Wingdings 2" w:char="0052"/>
            </w:r>
            <w:r>
              <w:rPr>
                <w:rFonts w:hint="eastAsia" w:asciiTheme="minorEastAsia" w:hAnsiTheme="minorEastAsia" w:cstheme="minorEastAsia"/>
                <w:szCs w:val="21"/>
                <w:shd w:val="clear" w:color="auto" w:fill="FFFFFF"/>
              </w:rPr>
              <w:t xml:space="preserve">业绩说明会    </w:t>
            </w:r>
            <w:r>
              <w:rPr>
                <w:rFonts w:hint="eastAsia" w:asciiTheme="minorEastAsia" w:hAnsiTheme="minorEastAsia" w:cstheme="minorEastAsia"/>
                <w:szCs w:val="21"/>
                <w:shd w:val="clear" w:color="auto" w:fill="FFFFFF"/>
              </w:rPr>
              <w:sym w:font="Wingdings 2" w:char="00A3"/>
            </w:r>
            <w:r>
              <w:rPr>
                <w:rFonts w:hint="eastAsia" w:asciiTheme="minorEastAsia" w:hAnsiTheme="minorEastAsia" w:cstheme="minorEastAsia"/>
                <w:szCs w:val="21"/>
                <w:shd w:val="clear" w:color="auto" w:fill="FFFFFF"/>
              </w:rPr>
              <w:t xml:space="preserve">新闻发布会  </w:t>
            </w:r>
          </w:p>
          <w:p w14:paraId="521B818E">
            <w:pPr>
              <w:rPr>
                <w:rFonts w:hint="eastAsia" w:ascii="sans-serif" w:hAnsi="sans-serif" w:eastAsia="宋体" w:cs="sans-serif"/>
                <w:sz w:val="24"/>
                <w:u w:val="single"/>
                <w:shd w:val="clear" w:color="auto" w:fill="FFFFFF"/>
              </w:rPr>
            </w:pPr>
            <w:r>
              <w:rPr>
                <w:rFonts w:hint="eastAsia" w:asciiTheme="minorEastAsia" w:hAnsiTheme="minorEastAsia" w:cstheme="minorEastAsia"/>
                <w:szCs w:val="21"/>
                <w:shd w:val="clear" w:color="auto" w:fill="FFFFFF"/>
              </w:rPr>
              <w:sym w:font="Wingdings 2" w:char="00A3"/>
            </w:r>
            <w:r>
              <w:rPr>
                <w:rFonts w:hint="eastAsia" w:asciiTheme="minorEastAsia" w:hAnsiTheme="minorEastAsia" w:cstheme="minorEastAsia"/>
                <w:szCs w:val="21"/>
                <w:shd w:val="clear" w:color="auto" w:fill="FFFFFF"/>
              </w:rPr>
              <w:t xml:space="preserve">路演活动         </w:t>
            </w:r>
            <w:r>
              <w:rPr>
                <w:rFonts w:hint="eastAsia" w:asciiTheme="minorEastAsia" w:hAnsiTheme="minorEastAsia" w:cstheme="minorEastAsia"/>
                <w:szCs w:val="21"/>
                <w:shd w:val="clear" w:color="auto" w:fill="FFFFFF"/>
              </w:rPr>
              <w:sym w:font="Wingdings 2" w:char="0052"/>
            </w:r>
            <w:r>
              <w:rPr>
                <w:rFonts w:hint="eastAsia" w:asciiTheme="minorEastAsia" w:hAnsiTheme="minorEastAsia" w:cstheme="minorEastAsia"/>
                <w:szCs w:val="21"/>
                <w:shd w:val="clear" w:color="auto" w:fill="FFFFFF"/>
              </w:rPr>
              <w:t xml:space="preserve">现场参观      </w:t>
            </w:r>
            <w:r>
              <w:rPr>
                <w:rFonts w:hint="eastAsia" w:asciiTheme="minorEastAsia" w:hAnsiTheme="minorEastAsia" w:cstheme="minorEastAsia"/>
                <w:szCs w:val="21"/>
                <w:shd w:val="clear" w:color="auto" w:fill="FFFFFF"/>
              </w:rPr>
              <w:sym w:font="Wingdings 2" w:char="00A3"/>
            </w:r>
            <w:r>
              <w:rPr>
                <w:rFonts w:hint="eastAsia" w:asciiTheme="minorEastAsia" w:hAnsiTheme="minorEastAsia" w:cstheme="minorEastAsia"/>
                <w:szCs w:val="21"/>
                <w:shd w:val="clear" w:color="auto" w:fill="FFFFFF"/>
              </w:rPr>
              <w:t>其他</w:t>
            </w:r>
            <w:r>
              <w:rPr>
                <w:rFonts w:hint="eastAsia" w:asciiTheme="minorEastAsia" w:hAnsiTheme="minorEastAsia" w:cstheme="minorEastAsia"/>
                <w:szCs w:val="21"/>
                <w:u w:val="single"/>
                <w:shd w:val="clear" w:color="auto" w:fill="FFFFFF"/>
              </w:rPr>
              <w:t xml:space="preserve">        </w:t>
            </w:r>
          </w:p>
        </w:tc>
      </w:tr>
      <w:tr w14:paraId="396E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2304" w:type="dxa"/>
            <w:vAlign w:val="center"/>
          </w:tcPr>
          <w:p w14:paraId="4A244834">
            <w:pPr>
              <w:jc w:val="center"/>
              <w:rPr>
                <w:rFonts w:ascii="sans-serif" w:hAnsi="sans-serif" w:eastAsia="sans-serif" w:cs="sans-serif"/>
                <w:szCs w:val="21"/>
                <w:shd w:val="clear" w:color="auto" w:fill="FFFFFF"/>
              </w:rPr>
            </w:pPr>
            <w:r>
              <w:rPr>
                <w:rFonts w:hint="eastAsia" w:ascii="Times New Roman" w:hAnsi="Times New Roman" w:eastAsia="宋体" w:cs="宋体"/>
                <w:b w:val="0"/>
                <w:bCs w:val="0"/>
                <w:sz w:val="24"/>
                <w:szCs w:val="24"/>
                <w:shd w:val="clear" w:color="auto" w:fill="FFFFFF"/>
                <w:lang w:val="en-US" w:eastAsia="zh-CN"/>
              </w:rPr>
              <w:t>参与单位名称及人员姓名</w:t>
            </w:r>
          </w:p>
        </w:tc>
        <w:tc>
          <w:tcPr>
            <w:tcW w:w="6218" w:type="dxa"/>
            <w:vAlign w:val="center"/>
          </w:tcPr>
          <w:p w14:paraId="0D75CEF1">
            <w:pPr>
              <w:rPr>
                <w:rFonts w:hint="default"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2026年7月1日 15:00--16:00 线上交流</w:t>
            </w:r>
          </w:p>
          <w:p w14:paraId="52AD33C7">
            <w:pPr>
              <w:rPr>
                <w:rFonts w:hint="default"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东方红基金</w:t>
            </w:r>
          </w:p>
          <w:p w14:paraId="29730D2B">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2026年7月1日 16:00--17:00 线上交流</w:t>
            </w:r>
          </w:p>
          <w:p w14:paraId="506B71A8">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南方基金</w:t>
            </w:r>
          </w:p>
          <w:p w14:paraId="3E9ED7F4">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 xml:space="preserve">2026年7月2日 13:30--14:30 现场调研 </w:t>
            </w:r>
          </w:p>
          <w:p w14:paraId="52A71496">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招商基金</w:t>
            </w:r>
          </w:p>
          <w:p w14:paraId="33623A69">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 xml:space="preserve">2026年7月6日 14:00--15:00 现场调研 </w:t>
            </w:r>
          </w:p>
          <w:p w14:paraId="4C7F5C4C">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信达澳亚</w:t>
            </w:r>
          </w:p>
          <w:p w14:paraId="302BCBB8">
            <w:pPr>
              <w:rPr>
                <w:rFonts w:hint="default"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2026年7月7日 10:00--11:00 线上交流</w:t>
            </w:r>
          </w:p>
          <w:p w14:paraId="37965EB2">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兴全基金</w:t>
            </w:r>
          </w:p>
          <w:p w14:paraId="18632670">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2026年7月7日 15:00--16:00 线上交流</w:t>
            </w:r>
          </w:p>
          <w:p w14:paraId="4DC04EDC">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华安基金</w:t>
            </w:r>
          </w:p>
          <w:p w14:paraId="0B51AB3D">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2026年7月14日 10:00--11:00 现场调研</w:t>
            </w:r>
          </w:p>
          <w:p w14:paraId="3E0C4DB0">
            <w:pPr>
              <w:rPr>
                <w:rFonts w:hint="default"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华夏基金</w:t>
            </w:r>
          </w:p>
          <w:p w14:paraId="6BCD1845">
            <w:pPr>
              <w:rPr>
                <w:rFonts w:hint="default"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2026年7月15日 10:00--11:00 现场调研</w:t>
            </w:r>
          </w:p>
          <w:p w14:paraId="599A7B75">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长城财富保险、泰康资产、平安基金、中欧睿博、诺安基金、博时基金、华安资产、平安基金</w:t>
            </w:r>
          </w:p>
          <w:p w14:paraId="1F56F008">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2026年7月16日 13:30--14:30 现场调研</w:t>
            </w:r>
          </w:p>
          <w:p w14:paraId="26484DF1">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工银瑞信</w:t>
            </w:r>
          </w:p>
          <w:p w14:paraId="5508F925">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2026年7月16日 20:00--21:00 电话会议</w:t>
            </w:r>
          </w:p>
          <w:p w14:paraId="52327426">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国金基金、中银理财、方正富邦、兴证资管、天弘基金、泰信基金、泰康基金、江信基金、长江证券、招商基金、长城财富保险资管、丹弈资产、信达澳亚基金、寰宸基金、中域投资、胤胜资产、华安证券、光大保德信基金、泉果基金、时代复兴、湘财基金、兴银理财、长盛基金、太平洋资产、工银瑞信基金、诺德基金、华源证券、睿沣私募、博时基金、创金合信、中信建投证券、永赢基金、东财基金、坤溪投资、中信保诚基金、平安基金、中信建投、深圳龙腾资产、广发基金、长信基金、涛略投资、长城证券、国信证券、财信基金、兴业基金、华泰资管、国泰基金、蜂巢基金、摩根基金、鹏华基金、中信保诚、新华基金、华泰柏瑞、长江资管、兴业证券、易方达、路博迈基金、汇丰晋信、光大自营、中银基金、中银资管、富安达、新华资产、富国基金、国寿养老、浦银安盛基金、新华养老、银华基金、英大信托、景顺长城、兴合基金、大家资产、太平养老、富荣基金、信达澳亚、华富基金、兴全基金、瑞园基金、交银施罗德基金、华西基金、亚太财产保险、上海人寿、建信基金、银河基金、交银基金、南方基金、华夏久盈资产、华创证券研究所、长城基金、华安基金</w:t>
            </w:r>
          </w:p>
          <w:p w14:paraId="5D35C2A9">
            <w:pPr>
              <w:rPr>
                <w:rFonts w:hint="default"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2026年7月29日 14:00--15:00 现场调研</w:t>
            </w:r>
          </w:p>
          <w:p w14:paraId="33F63F1F">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兴全基金</w:t>
            </w:r>
          </w:p>
          <w:p w14:paraId="0E311F78">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2026年8月18日 16:00-17:00</w:t>
            </w:r>
          </w:p>
          <w:p w14:paraId="04A27473">
            <w:pPr>
              <w:rPr>
                <w:rFonts w:hint="eastAsia" w:ascii="Times New Roman" w:hAnsi="Times New Roman" w:eastAsia="宋体" w:cs="宋体"/>
                <w:b w:val="0"/>
                <w:bCs w:val="0"/>
                <w:sz w:val="24"/>
                <w:szCs w:val="24"/>
                <w:shd w:val="clear" w:color="auto" w:fill="FFFFFF"/>
                <w:lang w:val="en-US" w:eastAsia="zh-CN"/>
              </w:rPr>
            </w:pPr>
            <w:r>
              <w:rPr>
                <w:rFonts w:hint="default" w:ascii="宋体" w:hAnsi="宋体" w:eastAsia="宋体" w:cs="宋体"/>
                <w:sz w:val="24"/>
                <w:szCs w:val="24"/>
                <w:shd w:val="clear" w:color="auto" w:fill="FFFFFF"/>
                <w:lang w:val="en-US" w:eastAsia="zh-CN"/>
              </w:rPr>
              <w:t>全体通过网络互动方式参与</w:t>
            </w:r>
            <w:r>
              <w:rPr>
                <w:rFonts w:hint="eastAsia" w:ascii="宋体" w:hAnsi="宋体" w:eastAsia="宋体" w:cs="宋体"/>
                <w:sz w:val="24"/>
                <w:szCs w:val="24"/>
                <w:shd w:val="clear" w:color="auto" w:fill="FFFFFF"/>
                <w:lang w:val="en-US" w:eastAsia="zh-CN"/>
              </w:rPr>
              <w:t>鼎通科技</w:t>
            </w:r>
            <w:r>
              <w:rPr>
                <w:rFonts w:hint="eastAsia" w:ascii="宋体" w:hAnsi="宋体" w:eastAsia="宋体" w:cs="宋体"/>
                <w:b w:val="0"/>
                <w:bCs w:val="0"/>
                <w:sz w:val="24"/>
                <w:shd w:val="clear" w:color="auto" w:fill="FFFFFF"/>
                <w:lang w:val="en-US" w:eastAsia="zh-CN"/>
              </w:rPr>
              <w:t>2026年半年度业绩暨现金分红说明会的投资者</w:t>
            </w:r>
          </w:p>
          <w:p w14:paraId="05FE7074">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2026年8月19日 14:30--15:30 现场调研</w:t>
            </w:r>
          </w:p>
          <w:p w14:paraId="23CBF79A">
            <w:pPr>
              <w:rPr>
                <w:rFonts w:hint="default"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国寿养老、长江证券</w:t>
            </w:r>
          </w:p>
        </w:tc>
      </w:tr>
      <w:tr w14:paraId="71C9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04" w:type="dxa"/>
            <w:vAlign w:val="center"/>
          </w:tcPr>
          <w:p w14:paraId="45A71650">
            <w:pPr>
              <w:jc w:val="center"/>
              <w:rPr>
                <w:rFonts w:ascii="sans-serif" w:hAnsi="sans-serif" w:eastAsia="sans-serif" w:cs="sans-serif"/>
                <w:szCs w:val="21"/>
                <w:shd w:val="clear" w:color="auto" w:fill="FFFFFF"/>
              </w:rPr>
            </w:pPr>
            <w:r>
              <w:rPr>
                <w:rFonts w:hint="eastAsia" w:ascii="Times New Roman" w:hAnsi="Times New Roman" w:eastAsia="宋体" w:cs="宋体"/>
                <w:b w:val="0"/>
                <w:bCs w:val="0"/>
                <w:sz w:val="24"/>
                <w:szCs w:val="24"/>
                <w:shd w:val="clear" w:color="auto" w:fill="FFFFFF"/>
                <w:lang w:val="en-US" w:eastAsia="zh-CN"/>
              </w:rPr>
              <w:t>时间</w:t>
            </w:r>
          </w:p>
        </w:tc>
        <w:tc>
          <w:tcPr>
            <w:tcW w:w="6218" w:type="dxa"/>
            <w:vAlign w:val="center"/>
          </w:tcPr>
          <w:p w14:paraId="6477EBE9">
            <w:pPr>
              <w:rPr>
                <w:rFonts w:hint="default"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请见上表</w:t>
            </w:r>
          </w:p>
        </w:tc>
      </w:tr>
      <w:tr w14:paraId="7BBF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04" w:type="dxa"/>
            <w:vAlign w:val="center"/>
          </w:tcPr>
          <w:p w14:paraId="7D40BB39">
            <w:pPr>
              <w:jc w:val="center"/>
              <w:rPr>
                <w:rFonts w:hint="eastAsia" w:ascii="sans-serif" w:hAnsi="sans-serif" w:eastAsia="宋体" w:cs="sans-serif"/>
                <w:szCs w:val="21"/>
                <w:shd w:val="clear" w:color="auto" w:fill="FFFFFF"/>
              </w:rPr>
            </w:pPr>
            <w:r>
              <w:rPr>
                <w:rFonts w:hint="eastAsia" w:ascii="Times New Roman" w:hAnsi="Times New Roman" w:eastAsia="宋体" w:cs="宋体"/>
                <w:b w:val="0"/>
                <w:bCs w:val="0"/>
                <w:sz w:val="24"/>
                <w:szCs w:val="24"/>
                <w:shd w:val="clear" w:color="auto" w:fill="FFFFFF"/>
                <w:lang w:val="en-US" w:eastAsia="zh-CN"/>
              </w:rPr>
              <w:t>地点</w:t>
            </w:r>
          </w:p>
        </w:tc>
        <w:tc>
          <w:tcPr>
            <w:tcW w:w="6218" w:type="dxa"/>
            <w:vAlign w:val="center"/>
          </w:tcPr>
          <w:p w14:paraId="72347EE0">
            <w:pPr>
              <w:jc w:val="left"/>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线上交流</w:t>
            </w:r>
            <w:r>
              <w:rPr>
                <w:rFonts w:hint="eastAsia" w:ascii="Times New Roman" w:hAnsi="Times New Roman" w:eastAsia="宋体" w:cs="宋体"/>
                <w:b/>
                <w:bCs/>
                <w:sz w:val="24"/>
                <w:szCs w:val="24"/>
                <w:shd w:val="clear" w:color="auto" w:fill="FFFFFF"/>
                <w:lang w:val="en-US" w:eastAsia="zh-CN"/>
              </w:rPr>
              <w:br w:type="textWrapping"/>
            </w:r>
            <w:r>
              <w:rPr>
                <w:rFonts w:hint="eastAsia" w:ascii="Times New Roman" w:hAnsi="Times New Roman" w:eastAsia="宋体" w:cs="宋体"/>
                <w:b/>
                <w:bCs/>
                <w:sz w:val="24"/>
                <w:szCs w:val="24"/>
                <w:shd w:val="clear" w:color="auto" w:fill="FFFFFF"/>
                <w:lang w:val="en-US" w:eastAsia="zh-CN"/>
              </w:rPr>
              <w:t>上海证券交易所上证路演中心</w:t>
            </w:r>
          </w:p>
          <w:p w14:paraId="31D5DD4C">
            <w:pPr>
              <w:jc w:val="left"/>
              <w:rPr>
                <w:rFonts w:hint="default"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(网址:htps:/roadshow.sseinfo.com/)</w:t>
            </w:r>
            <w:r>
              <w:rPr>
                <w:rFonts w:hint="eastAsia" w:ascii="Times New Roman" w:hAnsi="Times New Roman" w:eastAsia="宋体" w:cs="宋体"/>
                <w:b/>
                <w:bCs/>
                <w:sz w:val="24"/>
                <w:szCs w:val="24"/>
                <w:shd w:val="clear" w:color="auto" w:fill="FFFFFF"/>
                <w:lang w:val="en-US" w:eastAsia="zh-CN"/>
              </w:rPr>
              <w:br w:type="textWrapping"/>
            </w:r>
            <w:r>
              <w:rPr>
                <w:rFonts w:hint="eastAsia" w:ascii="Times New Roman" w:hAnsi="Times New Roman" w:eastAsia="宋体" w:cs="宋体"/>
                <w:b/>
                <w:bCs/>
                <w:sz w:val="24"/>
                <w:szCs w:val="24"/>
                <w:shd w:val="clear" w:color="auto" w:fill="FFFFFF"/>
                <w:lang w:val="en-US" w:eastAsia="zh-CN"/>
              </w:rPr>
              <w:t>现场调研在公司一号会议室</w:t>
            </w:r>
          </w:p>
        </w:tc>
      </w:tr>
      <w:tr w14:paraId="6DEA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04" w:type="dxa"/>
            <w:vAlign w:val="center"/>
          </w:tcPr>
          <w:p w14:paraId="5EA65112">
            <w:pPr>
              <w:jc w:val="center"/>
              <w:rPr>
                <w:rFonts w:ascii="sans-serif" w:hAnsi="sans-serif" w:eastAsia="sans-serif" w:cs="sans-serif"/>
                <w:szCs w:val="21"/>
                <w:shd w:val="clear" w:color="auto" w:fill="FFFFFF"/>
              </w:rPr>
            </w:pPr>
            <w:r>
              <w:rPr>
                <w:rFonts w:hint="eastAsia" w:ascii="宋体" w:hAnsi="宋体" w:eastAsia="宋体" w:cs="宋体"/>
                <w:sz w:val="24"/>
                <w:szCs w:val="24"/>
                <w:shd w:val="clear" w:color="auto" w:fill="FFFFFF"/>
              </w:rPr>
              <w:t>公司接待人员姓名</w:t>
            </w:r>
          </w:p>
        </w:tc>
        <w:tc>
          <w:tcPr>
            <w:tcW w:w="6218" w:type="dxa"/>
            <w:vAlign w:val="center"/>
          </w:tcPr>
          <w:p w14:paraId="5A812376">
            <w:pPr>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董事长、总经理：王成海</w:t>
            </w:r>
          </w:p>
          <w:p w14:paraId="0EBE1C63">
            <w:pPr>
              <w:rPr>
                <w:rFonts w:hint="default"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独立董事：张燕琴</w:t>
            </w:r>
          </w:p>
          <w:p w14:paraId="44833E9B">
            <w:pPr>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董事会秘书：王晓兰</w:t>
            </w:r>
          </w:p>
          <w:p w14:paraId="6116EF94">
            <w:pPr>
              <w:rPr>
                <w:rFonts w:hint="default"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财务总监：陈公平</w:t>
            </w:r>
          </w:p>
        </w:tc>
      </w:tr>
      <w:tr w14:paraId="3FC6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2304" w:type="dxa"/>
            <w:vAlign w:val="center"/>
          </w:tcPr>
          <w:p w14:paraId="30428562">
            <w:pPr>
              <w:jc w:val="both"/>
              <w:rPr>
                <w:rFonts w:ascii="sans-serif" w:hAnsi="sans-serif" w:eastAsia="sans-serif" w:cs="sans-serif"/>
                <w:szCs w:val="21"/>
                <w:shd w:val="clear" w:color="auto" w:fill="FFFFFF"/>
              </w:rPr>
            </w:pPr>
            <w:r>
              <w:rPr>
                <w:rFonts w:hint="eastAsia" w:ascii="Times New Roman" w:hAnsi="Times New Roman"/>
                <w:sz w:val="24"/>
                <w:lang w:val="en-US" w:eastAsia="zh-CN"/>
              </w:rPr>
              <w:t>投资者关系活动主要内容介绍</w:t>
            </w:r>
          </w:p>
        </w:tc>
        <w:tc>
          <w:tcPr>
            <w:tcW w:w="6218" w:type="dxa"/>
            <w:vAlign w:val="center"/>
          </w:tcPr>
          <w:p w14:paraId="3909F04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1、公司今年规划合计5条液冷产线，请问第3、4、5条产线大致投产时间怎么安排？下半年液冷产品整体的交付爬坡节奏如何？后续会不会根据客户订单量新增产线？</w:t>
            </w:r>
          </w:p>
          <w:p w14:paraId="24F5E32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答：尊敬的投资者，您好，目前公司液冷产线投产时间主要根据客户订单而定，具体情况可关注公司后续相关公告，谢谢。</w:t>
            </w:r>
          </w:p>
          <w:p w14:paraId="4E00B9B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16D9027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2、请问公司液冷产线在运营几条？满产了吗？</w:t>
            </w:r>
          </w:p>
          <w:p w14:paraId="49FE41A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答：尊敬的投资者，您好，目前公司液冷产线已有2条正在运行中，另外根据市场需求及客户预测等信息，对于液冷产品今年共规划5条产线，目前正在有序进行扩产中，暂时尚未满产，谢谢。</w:t>
            </w:r>
          </w:p>
          <w:p w14:paraId="6068B34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4FB9180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3、鼎通科技三季度液冷Cage整体出货情况怎么样？海外基地供货对象主要是哪些？产能是否释放？</w:t>
            </w:r>
          </w:p>
          <w:p w14:paraId="19B448E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答：尊敬的投资者，您好，目前液冷产品根据客户需求正常出货；</w:t>
            </w:r>
            <w:r>
              <w:rPr>
                <w:rFonts w:hint="default" w:ascii="宋体"/>
                <w:sz w:val="24"/>
                <w:lang w:val="en-US"/>
              </w:rPr>
              <w:t>公司将与安费诺、泰科电子、莫仕等头部厂商的深度绑定，依托马来西亚、越南海外产能布局，进一步拓展海外终端客户资源</w:t>
            </w:r>
            <w:r>
              <w:rPr>
                <w:rFonts w:hint="eastAsia" w:ascii="宋体"/>
                <w:sz w:val="24"/>
                <w:lang w:val="en-US" w:eastAsia="zh-CN"/>
              </w:rPr>
              <w:t>，</w:t>
            </w:r>
            <w:r>
              <w:rPr>
                <w:rFonts w:hint="eastAsia" w:ascii="Times New Roman" w:hAnsi="Times New Roman" w:cstheme="minorBidi"/>
                <w:kern w:val="2"/>
                <w:sz w:val="24"/>
                <w:szCs w:val="24"/>
                <w:lang w:val="en-US" w:eastAsia="zh-CN" w:bidi="ar-SA"/>
              </w:rPr>
              <w:t>越南生产基地目前正在建设阶段还未营业，</w:t>
            </w:r>
            <w:r>
              <w:rPr>
                <w:rFonts w:hint="default" w:ascii="宋体"/>
                <w:sz w:val="24"/>
                <w:lang w:val="en-US"/>
              </w:rPr>
              <w:t>马来西亚生产基地目前运营平稳、盈利状况良好，产能利用率随海外核心客户订单交付稳步提升</w:t>
            </w:r>
            <w:r>
              <w:rPr>
                <w:rFonts w:hint="eastAsia" w:ascii="宋体"/>
                <w:sz w:val="24"/>
                <w:lang w:val="en-US" w:eastAsia="zh-CN"/>
              </w:rPr>
              <w:t>，</w:t>
            </w:r>
            <w:r>
              <w:rPr>
                <w:rFonts w:hint="eastAsia" w:ascii="Times New Roman" w:hAnsi="Times New Roman" w:cstheme="minorBidi"/>
                <w:kern w:val="2"/>
                <w:sz w:val="24"/>
                <w:szCs w:val="24"/>
                <w:lang w:val="en-US" w:eastAsia="zh-CN" w:bidi="ar-SA"/>
              </w:rPr>
              <w:t>谢谢。</w:t>
            </w:r>
          </w:p>
          <w:p w14:paraId="598EC0E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3C25C61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4、请问二季度的224G液冷产品的出货量？另外今年扩产的产线是否预按期或者提前完成？客户给的指引情况有没有超预期？</w:t>
            </w:r>
          </w:p>
          <w:p w14:paraId="2D54F10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答：尊敬的投资者，您好，二季度液冷产品根据客户需求正常出货，液冷产品今年共规划5条产线，目前正在有序进行扩产中，谢谢。</w:t>
            </w:r>
          </w:p>
          <w:p w14:paraId="1A7489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3EFD4E1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5、请问2026年度下游对液冷Cage的需求有没有发生变化？</w:t>
            </w:r>
          </w:p>
          <w:p w14:paraId="5AEE334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答：尊敬的投资者，您好，公司目前液冷产品生产经营正常，需求未发生大的变化，谢谢。</w:t>
            </w:r>
          </w:p>
          <w:p w14:paraId="694B478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1355BFB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6、请问公司在建的液冷产线有几条？什么时候能建成？</w:t>
            </w:r>
          </w:p>
          <w:p w14:paraId="0449206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答：尊敬的投资者，您好，公司液冷产品今年共规划5条产线，目前正在有序进行扩产中，谢谢。</w:t>
            </w:r>
          </w:p>
          <w:p w14:paraId="21AE17B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2C787E3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7、请问二季度液冷连接器出货有多少套？三条新建产线什么时候能投产？谢谢！</w:t>
            </w:r>
          </w:p>
          <w:p w14:paraId="08A9FB3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答：尊敬的投资者，您好，二季度液冷产品根据客户需求正常出货，具体情况请关注公司后续相关公告，谢谢。</w:t>
            </w:r>
          </w:p>
          <w:p w14:paraId="23EA786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6775BF9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8、请问公司对下半年经营的展望如何，是否有信心保持同比环比高速增长？</w:t>
            </w:r>
          </w:p>
          <w:p w14:paraId="4FA5AF3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答：尊敬的投资者，您好，公司产线与设备已提前布局，会根据客户需求持续稳定交付，谢谢。</w:t>
            </w:r>
          </w:p>
          <w:p w14:paraId="4577AA3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762963A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9、请问贵公司竞争对手奕东电子和胜蓝股份的液冷连接器交付情况怎么样？公司有没有这方面的关注</w:t>
            </w:r>
          </w:p>
          <w:p w14:paraId="1BDC73E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答：尊敬的投资者，您好，同行企业的具体交付数据与经营动态属于对方企业未公开经营信息，公司无公开渠道核实，谢谢。</w:t>
            </w:r>
          </w:p>
          <w:p w14:paraId="589FD88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5FA017E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10、请问可否组织公司现场调研活动，感觉公司类似的活动和路演都比较少，我们希望能多举办这种活动。</w:t>
            </w:r>
          </w:p>
          <w:p w14:paraId="34C4F9E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公司高度重视投资者沟通工作，公司通过上证E互动、在上证路演中心举办定期报告业绩说明会、公司投资者电话以及电子邮箱与投资者沟通和交流，同时组织有意愿的个人投资者来公司现场参观并进行调研，谢谢。</w:t>
            </w:r>
          </w:p>
          <w:p w14:paraId="4E728D5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539D8E7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11、您好，我是鼎通科技的一名普通投资者。请介绍一下上半年咱们的224G液冷产品的出货量情况？是否达到预期？对下半年的整体预期如何？</w:t>
            </w:r>
          </w:p>
          <w:p w14:paraId="2D7D436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答：尊敬的投资者，您好，今年上半年公司液冷产品根据客户需求正常出货，液冷产品今年共规划5条产线，目前正在有序进行扩产中，谢谢。</w:t>
            </w:r>
          </w:p>
          <w:p w14:paraId="0BE1320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0BC3D4A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12、请问贵司已经量产的产线有几条？产能利用率有多少？</w:t>
            </w:r>
          </w:p>
          <w:p w14:paraId="216640F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 xml:space="preserve">答：尊敬的投资者，您好，液冷产品生产情况主要根据客户订单而定，暂时尚未满产，谢谢。 </w:t>
            </w:r>
          </w:p>
          <w:p w14:paraId="6CA4A64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0E3219F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13、请问客户指引有没有较年初指引上修？</w:t>
            </w:r>
          </w:p>
          <w:p w14:paraId="6250E14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答：尊敬的投资者，您好，公司会根据客户需求正常交付产品，具体情况请关注公司后续相关公告，谢谢。</w:t>
            </w:r>
          </w:p>
          <w:p w14:paraId="1236094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1CEFFE0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14、请问公司液冷产品的出货节奏海外头部客户是否有给出指引，产线仅两条在运行且未满产，是否会浪费产能，另外网传近日海外N开头的头部厂商入厂视察访厂，并通过直供认证是否属实？</w:t>
            </w:r>
          </w:p>
          <w:p w14:paraId="1733E80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答：尊敬的投资者，您好，公司根据市场需求及客户预测等信息，会提前备产，公司直接客户主要为安费诺、泰科电子、莫仕、立讯精密等行业知名企业，谢谢。</w:t>
            </w:r>
          </w:p>
          <w:p w14:paraId="25F1C26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51F4AB5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eastAsiaTheme="minorEastAsia" w:cstheme="minorBidi"/>
                <w:kern w:val="2"/>
                <w:sz w:val="24"/>
                <w:szCs w:val="24"/>
                <w:lang w:val="en-US" w:eastAsia="zh-CN" w:bidi="ar-SA"/>
              </w:rPr>
              <w:t>1</w:t>
            </w:r>
            <w:r>
              <w:rPr>
                <w:rFonts w:hint="eastAsia" w:ascii="Times New Roman" w:hAnsi="Times New Roman" w:cstheme="minorBidi"/>
                <w:kern w:val="2"/>
                <w:sz w:val="24"/>
                <w:szCs w:val="24"/>
                <w:lang w:val="en-US" w:eastAsia="zh-CN" w:bidi="ar-SA"/>
              </w:rPr>
              <w:t>5</w:t>
            </w:r>
            <w:r>
              <w:rPr>
                <w:rFonts w:hint="eastAsia" w:ascii="Times New Roman" w:hAnsi="Times New Roman" w:eastAsiaTheme="minorEastAsia" w:cstheme="minorBidi"/>
                <w:kern w:val="2"/>
                <w:sz w:val="24"/>
                <w:szCs w:val="24"/>
                <w:lang w:val="en-US" w:eastAsia="zh-CN" w:bidi="ar-SA"/>
              </w:rPr>
              <w:t>、</w:t>
            </w:r>
            <w:r>
              <w:rPr>
                <w:rFonts w:hint="eastAsia" w:ascii="Times New Roman" w:hAnsi="Times New Roman" w:cstheme="minorBidi"/>
                <w:kern w:val="2"/>
                <w:sz w:val="24"/>
                <w:szCs w:val="24"/>
                <w:lang w:val="en-US" w:eastAsia="zh-CN" w:bidi="ar-SA"/>
              </w:rPr>
              <w:t>公司二季度毛利率和净利率情况如何？</w:t>
            </w:r>
          </w:p>
          <w:p w14:paraId="7ACD188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答：尊敬的投资者，您好，公司一季度毛利率为32.39%，半年度毛利率为34.06%，环比提升幅度显著，核心驱动因素是新产品附加值提升。净利率提升幅度稍小于毛利率的提升，主要受费用端因素影响,谢谢。</w:t>
            </w:r>
          </w:p>
          <w:p w14:paraId="30B9C6D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0B0185C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eastAsiaTheme="minorEastAsia" w:cstheme="minorBidi"/>
                <w:kern w:val="2"/>
                <w:sz w:val="24"/>
                <w:szCs w:val="24"/>
                <w:lang w:val="en-US" w:eastAsia="zh-CN" w:bidi="ar-SA"/>
              </w:rPr>
              <w:t>1</w:t>
            </w:r>
            <w:r>
              <w:rPr>
                <w:rFonts w:hint="eastAsia" w:ascii="Times New Roman" w:hAnsi="Times New Roman" w:cstheme="minorBidi"/>
                <w:kern w:val="2"/>
                <w:sz w:val="24"/>
                <w:szCs w:val="24"/>
                <w:lang w:val="en-US" w:eastAsia="zh-CN" w:bidi="ar-SA"/>
              </w:rPr>
              <w:t>6</w:t>
            </w:r>
            <w:r>
              <w:rPr>
                <w:rFonts w:hint="eastAsia" w:ascii="Times New Roman" w:hAnsi="Times New Roman" w:eastAsiaTheme="minorEastAsia" w:cstheme="minorBidi"/>
                <w:kern w:val="2"/>
                <w:sz w:val="24"/>
                <w:szCs w:val="24"/>
                <w:lang w:val="en-US" w:eastAsia="zh-CN" w:bidi="ar-SA"/>
              </w:rPr>
              <w:t>、</w:t>
            </w:r>
            <w:r>
              <w:rPr>
                <w:rFonts w:hint="eastAsia" w:ascii="Times New Roman" w:hAnsi="Times New Roman" w:cstheme="minorBidi"/>
                <w:kern w:val="2"/>
                <w:sz w:val="24"/>
                <w:szCs w:val="24"/>
                <w:lang w:val="en-US" w:eastAsia="zh-CN" w:bidi="ar-SA"/>
              </w:rPr>
              <w:t>二季度风冷的毛利率和一季度比有变化吗？</w:t>
            </w:r>
          </w:p>
          <w:p w14:paraId="54754B4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答：尊敬的投资者，您好，Cage风冷产品毛利率基本没有什么变化，公司整体毛利率的提升主要是液冷带来的。风冷的技术、工艺各方面已经相对成熟，毛利率相对比较稳定，谢谢。</w:t>
            </w:r>
          </w:p>
          <w:p w14:paraId="7C9A070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150EE72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eastAsiaTheme="minorEastAsia" w:cstheme="minorBidi"/>
                <w:kern w:val="2"/>
                <w:sz w:val="24"/>
                <w:szCs w:val="24"/>
                <w:lang w:val="en-US" w:eastAsia="zh-CN" w:bidi="ar-SA"/>
              </w:rPr>
              <w:t>1</w:t>
            </w:r>
            <w:r>
              <w:rPr>
                <w:rFonts w:hint="eastAsia" w:ascii="Times New Roman" w:hAnsi="Times New Roman" w:cstheme="minorBidi"/>
                <w:kern w:val="2"/>
                <w:sz w:val="24"/>
                <w:szCs w:val="24"/>
                <w:lang w:val="en-US" w:eastAsia="zh-CN" w:bidi="ar-SA"/>
              </w:rPr>
              <w:t>7</w:t>
            </w:r>
            <w:r>
              <w:rPr>
                <w:rFonts w:hint="eastAsia" w:ascii="Times New Roman" w:hAnsi="Times New Roman" w:eastAsiaTheme="minorEastAsia" w:cstheme="minorBidi"/>
                <w:kern w:val="2"/>
                <w:sz w:val="24"/>
                <w:szCs w:val="24"/>
                <w:lang w:val="en-US" w:eastAsia="zh-CN" w:bidi="ar-SA"/>
              </w:rPr>
              <w:t>、</w:t>
            </w:r>
            <w:r>
              <w:rPr>
                <w:rFonts w:hint="eastAsia" w:ascii="Times New Roman" w:hAnsi="Times New Roman" w:cstheme="minorBidi"/>
                <w:kern w:val="2"/>
                <w:sz w:val="24"/>
                <w:szCs w:val="24"/>
                <w:lang w:val="en-US" w:eastAsia="zh-CN" w:bidi="ar-SA"/>
              </w:rPr>
              <w:t>从公司的半年报来看，公司费用率很低，请问后续会保持吗？</w:t>
            </w:r>
          </w:p>
          <w:p w14:paraId="0C1F1F7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答：尊敬的投资者，您好，后续公司管理费用会随业务规模的扩大有所提升，研发费用会保持一定水平，销售费用从占比上来看会有所下降，谢谢。</w:t>
            </w:r>
          </w:p>
          <w:p w14:paraId="7D845A1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267398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18、公司汽车产品目前情况如何？</w:t>
            </w:r>
          </w:p>
          <w:p w14:paraId="4D304D6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答：尊敬的投资者，您好，汽车市场行情竞争激烈，对于目前有些亏损的汽车项目，公司会向客户申请缩减对应份额，将份额转移至其他供应商；BMS今年是第一年放量，能够贡献的收入补给有限，因此汽车业务整体占比有所降低，</w:t>
            </w:r>
            <w:bookmarkStart w:id="0" w:name="_GoBack"/>
            <w:bookmarkEnd w:id="0"/>
            <w:r>
              <w:rPr>
                <w:rFonts w:hint="eastAsia" w:ascii="Times New Roman" w:hAnsi="Times New Roman" w:cstheme="minorBidi"/>
                <w:kern w:val="2"/>
                <w:sz w:val="24"/>
                <w:szCs w:val="24"/>
                <w:lang w:val="en-US" w:eastAsia="zh-CN" w:bidi="ar-SA"/>
              </w:rPr>
              <w:t>谢谢。</w:t>
            </w:r>
          </w:p>
          <w:p w14:paraId="394F6E7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heme="minorBidi"/>
                <w:kern w:val="2"/>
                <w:sz w:val="24"/>
                <w:szCs w:val="24"/>
                <w:lang w:val="en-US" w:eastAsia="zh-CN" w:bidi="ar-SA"/>
              </w:rPr>
            </w:pPr>
          </w:p>
          <w:p w14:paraId="40250D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imes New Roman" w:hAnsi="Times New Roman" w:cstheme="minorBidi"/>
                <w:kern w:val="2"/>
                <w:sz w:val="24"/>
                <w:szCs w:val="24"/>
                <w:lang w:val="en-US" w:eastAsia="zh-CN" w:bidi="ar-SA"/>
              </w:rPr>
            </w:pPr>
            <w:r>
              <w:rPr>
                <w:rFonts w:hint="eastAsia" w:ascii="Times New Roman" w:hAnsi="Times New Roman" w:cstheme="minorBidi"/>
                <w:kern w:val="2"/>
                <w:sz w:val="24"/>
                <w:szCs w:val="24"/>
                <w:lang w:val="en-US" w:eastAsia="zh-CN" w:bidi="ar-SA"/>
              </w:rPr>
              <w:t>19、想请教公司客户端在 NPO、CPO 领域是否有相关需求，以及当前的产品推进进度如何？</w:t>
            </w:r>
          </w:p>
          <w:p w14:paraId="4BD77F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default" w:ascii="宋体"/>
                <w:sz w:val="24"/>
                <w:lang w:val="en-US" w:eastAsia="zh-CN"/>
              </w:rPr>
            </w:pPr>
            <w:r>
              <w:rPr>
                <w:rFonts w:hint="eastAsia" w:ascii="Times New Roman" w:hAnsi="Times New Roman" w:cstheme="minorBidi"/>
                <w:kern w:val="2"/>
                <w:sz w:val="24"/>
                <w:szCs w:val="24"/>
                <w:lang w:val="en-US" w:eastAsia="zh-CN" w:bidi="ar-SA"/>
              </w:rPr>
              <w:t>答：尊敬的投资者，您好，</w:t>
            </w:r>
            <w:r>
              <w:rPr>
                <w:rFonts w:hint="default" w:ascii="宋体"/>
                <w:sz w:val="24"/>
                <w:lang w:val="en-US"/>
              </w:rPr>
              <w:t>公司</w:t>
            </w:r>
            <w:r>
              <w:rPr>
                <w:rFonts w:hint="eastAsia" w:ascii="宋体"/>
                <w:sz w:val="24"/>
                <w:lang w:val="en-US" w:eastAsia="zh-CN"/>
              </w:rPr>
              <w:t>目前</w:t>
            </w:r>
            <w:r>
              <w:rPr>
                <w:rFonts w:hint="default" w:ascii="宋体"/>
                <w:sz w:val="24"/>
                <w:lang w:val="en-US"/>
              </w:rPr>
              <w:t>在配合客户进行新技术迭代开发</w:t>
            </w:r>
            <w:r>
              <w:rPr>
                <w:rFonts w:hint="eastAsia" w:ascii="宋体"/>
                <w:sz w:val="24"/>
                <w:lang w:val="en-US" w:eastAsia="zh-CN"/>
              </w:rPr>
              <w:t>，谢谢。</w:t>
            </w:r>
          </w:p>
        </w:tc>
      </w:tr>
      <w:tr w14:paraId="1C2B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2304" w:type="dxa"/>
            <w:vAlign w:val="center"/>
          </w:tcPr>
          <w:p w14:paraId="3B085DCD">
            <w:pPr>
              <w:jc w:val="both"/>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关于本次活动是否涉及应当披露重大信息的说明</w:t>
            </w:r>
          </w:p>
        </w:tc>
        <w:tc>
          <w:tcPr>
            <w:tcW w:w="6218" w:type="dxa"/>
            <w:vAlign w:val="center"/>
          </w:tcPr>
          <w:p w14:paraId="4FA248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不涉及</w:t>
            </w:r>
          </w:p>
        </w:tc>
      </w:tr>
      <w:tr w14:paraId="6988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304" w:type="dxa"/>
            <w:vAlign w:val="center"/>
          </w:tcPr>
          <w:p w14:paraId="523EF813">
            <w:pPr>
              <w:jc w:val="center"/>
              <w:rPr>
                <w:rFonts w:ascii="sans-serif" w:hAnsi="sans-serif" w:eastAsia="sans-serif" w:cs="sans-serif"/>
                <w:szCs w:val="21"/>
                <w:shd w:val="clear" w:color="auto" w:fill="FFFFFF"/>
              </w:rPr>
            </w:pPr>
            <w:r>
              <w:rPr>
                <w:rFonts w:hint="eastAsia" w:ascii="Times New Roman" w:hAnsi="Times New Roman"/>
                <w:sz w:val="24"/>
                <w:lang w:val="en-US" w:eastAsia="zh-CN"/>
              </w:rPr>
              <w:t>附件清单（如有）</w:t>
            </w:r>
          </w:p>
        </w:tc>
        <w:tc>
          <w:tcPr>
            <w:tcW w:w="6218" w:type="dxa"/>
            <w:vAlign w:val="center"/>
          </w:tcPr>
          <w:p w14:paraId="0F279AD3">
            <w:pPr>
              <w:jc w:val="left"/>
              <w:rPr>
                <w:rFonts w:hint="eastAsia" w:ascii="宋体" w:hAnsi="宋体" w:eastAsia="宋体" w:cs="宋体"/>
                <w:color w:val="auto"/>
                <w:sz w:val="24"/>
                <w:shd w:val="clear" w:color="auto" w:fill="FFFFFF"/>
                <w:lang w:eastAsia="zh-CN"/>
              </w:rPr>
            </w:pPr>
            <w:r>
              <w:rPr>
                <w:rFonts w:hint="eastAsia" w:ascii="宋体" w:hAnsi="宋体" w:eastAsia="宋体" w:cs="宋体"/>
                <w:color w:val="auto"/>
                <w:sz w:val="24"/>
                <w:shd w:val="clear" w:color="auto" w:fill="FFFFFF"/>
                <w:lang w:eastAsia="zh-CN"/>
              </w:rPr>
              <w:t>无</w:t>
            </w:r>
          </w:p>
        </w:tc>
      </w:tr>
    </w:tbl>
    <w:p w14:paraId="2645328C">
      <w:pPr>
        <w:jc w:val="left"/>
        <w:rPr>
          <w:rFonts w:ascii="sans-serif" w:hAnsi="sans-serif" w:eastAsia="sans-serif" w:cs="sans-serif"/>
          <w:sz w:val="24"/>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FPHei Std W5">
    <w:altName w:val="宋体"/>
    <w:panose1 w:val="00000000000000000000"/>
    <w:charset w:val="86"/>
    <w:family w:val="swiss"/>
    <w:pitch w:val="default"/>
    <w:sig w:usb0="00000000" w:usb1="0000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panose1 w:val="05020102010507070707"/>
    <w:charset w:val="02"/>
    <w:family w:val="roman"/>
    <w:pitch w:val="default"/>
    <w:sig w:usb0="00000000" w:usb1="00000000" w:usb2="00000000" w:usb3="00000000" w:csb0="8000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3ODRjMDk5YTg4ZTk1ZWNlODVlODNkYTgwOWRkOTQifQ=="/>
  </w:docVars>
  <w:rsids>
    <w:rsidRoot w:val="00172A27"/>
    <w:rsid w:val="00062B32"/>
    <w:rsid w:val="007F09A4"/>
    <w:rsid w:val="0091283B"/>
    <w:rsid w:val="02DB1E83"/>
    <w:rsid w:val="03260EE3"/>
    <w:rsid w:val="03350C98"/>
    <w:rsid w:val="03A10CAA"/>
    <w:rsid w:val="048D7041"/>
    <w:rsid w:val="04EA1A7B"/>
    <w:rsid w:val="0516577E"/>
    <w:rsid w:val="056917EC"/>
    <w:rsid w:val="058D1612"/>
    <w:rsid w:val="064267DB"/>
    <w:rsid w:val="06514C09"/>
    <w:rsid w:val="082621BA"/>
    <w:rsid w:val="082A2121"/>
    <w:rsid w:val="0886622F"/>
    <w:rsid w:val="088F0F3B"/>
    <w:rsid w:val="08C06527"/>
    <w:rsid w:val="08D6582F"/>
    <w:rsid w:val="09177D3F"/>
    <w:rsid w:val="092E2FE0"/>
    <w:rsid w:val="0A7B43AC"/>
    <w:rsid w:val="0B204802"/>
    <w:rsid w:val="0B4A7E73"/>
    <w:rsid w:val="0B7F2E6D"/>
    <w:rsid w:val="0BBF6171"/>
    <w:rsid w:val="0C803B53"/>
    <w:rsid w:val="0C830864"/>
    <w:rsid w:val="0D92199D"/>
    <w:rsid w:val="0D995FCB"/>
    <w:rsid w:val="0D9E6C99"/>
    <w:rsid w:val="0E104E69"/>
    <w:rsid w:val="0E701318"/>
    <w:rsid w:val="0EC86D78"/>
    <w:rsid w:val="0F2C00E1"/>
    <w:rsid w:val="10DA70EF"/>
    <w:rsid w:val="11AB4A2E"/>
    <w:rsid w:val="120668A8"/>
    <w:rsid w:val="123478B9"/>
    <w:rsid w:val="127A5769"/>
    <w:rsid w:val="12CC5D44"/>
    <w:rsid w:val="12F0389D"/>
    <w:rsid w:val="13731856"/>
    <w:rsid w:val="13E55A05"/>
    <w:rsid w:val="13ED7BAD"/>
    <w:rsid w:val="14107EB2"/>
    <w:rsid w:val="156256EA"/>
    <w:rsid w:val="15B90272"/>
    <w:rsid w:val="16081E73"/>
    <w:rsid w:val="163F05DA"/>
    <w:rsid w:val="16CD3D3A"/>
    <w:rsid w:val="16D818F3"/>
    <w:rsid w:val="16EB42BE"/>
    <w:rsid w:val="16EC3C91"/>
    <w:rsid w:val="174D2976"/>
    <w:rsid w:val="184166A8"/>
    <w:rsid w:val="18A62A00"/>
    <w:rsid w:val="18B851FD"/>
    <w:rsid w:val="18C809B6"/>
    <w:rsid w:val="1A153EDB"/>
    <w:rsid w:val="1A4E3D94"/>
    <w:rsid w:val="1A627095"/>
    <w:rsid w:val="1AE87493"/>
    <w:rsid w:val="1B3E3557"/>
    <w:rsid w:val="1B48461B"/>
    <w:rsid w:val="1BBA7BD8"/>
    <w:rsid w:val="1C1A2FDF"/>
    <w:rsid w:val="1C3844FE"/>
    <w:rsid w:val="1D1A3B4F"/>
    <w:rsid w:val="1DD15F6D"/>
    <w:rsid w:val="1E0A6BFC"/>
    <w:rsid w:val="1E391112"/>
    <w:rsid w:val="1EB474A5"/>
    <w:rsid w:val="209507F0"/>
    <w:rsid w:val="20FF5BE5"/>
    <w:rsid w:val="21BD2B8F"/>
    <w:rsid w:val="22111C88"/>
    <w:rsid w:val="221F520B"/>
    <w:rsid w:val="22E93B7B"/>
    <w:rsid w:val="237D5147"/>
    <w:rsid w:val="23BB5384"/>
    <w:rsid w:val="24786DB4"/>
    <w:rsid w:val="254610F8"/>
    <w:rsid w:val="25EC5149"/>
    <w:rsid w:val="26795443"/>
    <w:rsid w:val="27616C96"/>
    <w:rsid w:val="294033B8"/>
    <w:rsid w:val="294A767C"/>
    <w:rsid w:val="29AA2697"/>
    <w:rsid w:val="29CF1324"/>
    <w:rsid w:val="2A355B25"/>
    <w:rsid w:val="2ADD1F5E"/>
    <w:rsid w:val="2B204DEB"/>
    <w:rsid w:val="2B407A89"/>
    <w:rsid w:val="2B6701BA"/>
    <w:rsid w:val="2C4C6F88"/>
    <w:rsid w:val="2C5A2CAA"/>
    <w:rsid w:val="2D5C786C"/>
    <w:rsid w:val="2D834162"/>
    <w:rsid w:val="2E19750B"/>
    <w:rsid w:val="2F9E4AD1"/>
    <w:rsid w:val="30C33764"/>
    <w:rsid w:val="30F53AAF"/>
    <w:rsid w:val="31235140"/>
    <w:rsid w:val="312570A8"/>
    <w:rsid w:val="31CC1E9B"/>
    <w:rsid w:val="31D740F6"/>
    <w:rsid w:val="31E05A04"/>
    <w:rsid w:val="31FC546F"/>
    <w:rsid w:val="325564B3"/>
    <w:rsid w:val="32E60304"/>
    <w:rsid w:val="32FA0B34"/>
    <w:rsid w:val="33B11F7B"/>
    <w:rsid w:val="348851A8"/>
    <w:rsid w:val="35657C97"/>
    <w:rsid w:val="35F66AB0"/>
    <w:rsid w:val="36232900"/>
    <w:rsid w:val="364E0396"/>
    <w:rsid w:val="376712E7"/>
    <w:rsid w:val="38221F62"/>
    <w:rsid w:val="38265678"/>
    <w:rsid w:val="38B4055C"/>
    <w:rsid w:val="38B642D4"/>
    <w:rsid w:val="38C56E85"/>
    <w:rsid w:val="39BA4298"/>
    <w:rsid w:val="3A3853C3"/>
    <w:rsid w:val="3A8A2E97"/>
    <w:rsid w:val="3AD64AD9"/>
    <w:rsid w:val="3B5D137F"/>
    <w:rsid w:val="3B9755D7"/>
    <w:rsid w:val="3C237ED3"/>
    <w:rsid w:val="3D1E68EC"/>
    <w:rsid w:val="3D2F2036"/>
    <w:rsid w:val="3D7A2E99"/>
    <w:rsid w:val="3DF416CD"/>
    <w:rsid w:val="3E2A46C8"/>
    <w:rsid w:val="3E895FE7"/>
    <w:rsid w:val="3EB27595"/>
    <w:rsid w:val="4013200C"/>
    <w:rsid w:val="402A503F"/>
    <w:rsid w:val="405D5B36"/>
    <w:rsid w:val="41290F84"/>
    <w:rsid w:val="425F282E"/>
    <w:rsid w:val="42B3339C"/>
    <w:rsid w:val="42BC4BDD"/>
    <w:rsid w:val="42EE1632"/>
    <w:rsid w:val="434626F9"/>
    <w:rsid w:val="43E25798"/>
    <w:rsid w:val="44175382"/>
    <w:rsid w:val="442C7B41"/>
    <w:rsid w:val="448D1B53"/>
    <w:rsid w:val="44CC51FD"/>
    <w:rsid w:val="456A353C"/>
    <w:rsid w:val="45A831F7"/>
    <w:rsid w:val="469E5BB2"/>
    <w:rsid w:val="46BA3E23"/>
    <w:rsid w:val="46DC75FC"/>
    <w:rsid w:val="46ED1809"/>
    <w:rsid w:val="46FE0EF5"/>
    <w:rsid w:val="47170634"/>
    <w:rsid w:val="479F0BBD"/>
    <w:rsid w:val="47F27F30"/>
    <w:rsid w:val="48040B11"/>
    <w:rsid w:val="4840005F"/>
    <w:rsid w:val="4869690F"/>
    <w:rsid w:val="486A50DB"/>
    <w:rsid w:val="48E446B2"/>
    <w:rsid w:val="49BA061D"/>
    <w:rsid w:val="49C102A1"/>
    <w:rsid w:val="4A04152D"/>
    <w:rsid w:val="4AFA5CC9"/>
    <w:rsid w:val="4BCA43F4"/>
    <w:rsid w:val="4BD56694"/>
    <w:rsid w:val="4C2F0F0C"/>
    <w:rsid w:val="4D5819A6"/>
    <w:rsid w:val="4DC93502"/>
    <w:rsid w:val="4DD23507"/>
    <w:rsid w:val="4DFE10C7"/>
    <w:rsid w:val="4F337933"/>
    <w:rsid w:val="4FAF58B0"/>
    <w:rsid w:val="4FD1784D"/>
    <w:rsid w:val="4FE92D8A"/>
    <w:rsid w:val="508F4832"/>
    <w:rsid w:val="50EA500B"/>
    <w:rsid w:val="50FC6351"/>
    <w:rsid w:val="51425436"/>
    <w:rsid w:val="516274BF"/>
    <w:rsid w:val="537918D6"/>
    <w:rsid w:val="541A1764"/>
    <w:rsid w:val="54992FD0"/>
    <w:rsid w:val="54FA19CD"/>
    <w:rsid w:val="558746DF"/>
    <w:rsid w:val="575B1271"/>
    <w:rsid w:val="57AE4348"/>
    <w:rsid w:val="58DD42DD"/>
    <w:rsid w:val="59400F93"/>
    <w:rsid w:val="59BF414D"/>
    <w:rsid w:val="59CE718B"/>
    <w:rsid w:val="59E10D15"/>
    <w:rsid w:val="5A166E71"/>
    <w:rsid w:val="5B1F2A6E"/>
    <w:rsid w:val="5B6B21CB"/>
    <w:rsid w:val="5C6362E8"/>
    <w:rsid w:val="5CF8136A"/>
    <w:rsid w:val="5D3729AA"/>
    <w:rsid w:val="5D7A552B"/>
    <w:rsid w:val="5DA40E36"/>
    <w:rsid w:val="5ECD3218"/>
    <w:rsid w:val="5F0B4806"/>
    <w:rsid w:val="5F2E2F07"/>
    <w:rsid w:val="5F4B35F6"/>
    <w:rsid w:val="5F903ADA"/>
    <w:rsid w:val="6007722E"/>
    <w:rsid w:val="605F10EA"/>
    <w:rsid w:val="61EB1323"/>
    <w:rsid w:val="620A05B3"/>
    <w:rsid w:val="62365232"/>
    <w:rsid w:val="62791D4B"/>
    <w:rsid w:val="627B676B"/>
    <w:rsid w:val="62A80031"/>
    <w:rsid w:val="641E704E"/>
    <w:rsid w:val="64B01A7B"/>
    <w:rsid w:val="64DC4DF9"/>
    <w:rsid w:val="64F00CB7"/>
    <w:rsid w:val="664D6AA2"/>
    <w:rsid w:val="66535535"/>
    <w:rsid w:val="66770C98"/>
    <w:rsid w:val="66B5531C"/>
    <w:rsid w:val="66B867E0"/>
    <w:rsid w:val="66DC0EEC"/>
    <w:rsid w:val="671721CB"/>
    <w:rsid w:val="67292CCC"/>
    <w:rsid w:val="688D02FE"/>
    <w:rsid w:val="68E257DD"/>
    <w:rsid w:val="694E3F32"/>
    <w:rsid w:val="696B7F52"/>
    <w:rsid w:val="6975063A"/>
    <w:rsid w:val="6A1D3904"/>
    <w:rsid w:val="6A2061E1"/>
    <w:rsid w:val="6A892D47"/>
    <w:rsid w:val="6B8B276F"/>
    <w:rsid w:val="6C39469E"/>
    <w:rsid w:val="6C4909E0"/>
    <w:rsid w:val="6E1868BC"/>
    <w:rsid w:val="6F1A2EF7"/>
    <w:rsid w:val="6F39380E"/>
    <w:rsid w:val="6F505463"/>
    <w:rsid w:val="6F8B3A7E"/>
    <w:rsid w:val="702B780B"/>
    <w:rsid w:val="70412CFC"/>
    <w:rsid w:val="704F6D52"/>
    <w:rsid w:val="7075322F"/>
    <w:rsid w:val="70786BE4"/>
    <w:rsid w:val="71066EA0"/>
    <w:rsid w:val="712F7A87"/>
    <w:rsid w:val="736E6F7E"/>
    <w:rsid w:val="73C05A2C"/>
    <w:rsid w:val="744C3A31"/>
    <w:rsid w:val="760E4F7C"/>
    <w:rsid w:val="764D279E"/>
    <w:rsid w:val="76A56B7A"/>
    <w:rsid w:val="77817A9A"/>
    <w:rsid w:val="77A9629F"/>
    <w:rsid w:val="77F9150C"/>
    <w:rsid w:val="78236B56"/>
    <w:rsid w:val="784D5185"/>
    <w:rsid w:val="78846242"/>
    <w:rsid w:val="7A5C5F17"/>
    <w:rsid w:val="7B3B5197"/>
    <w:rsid w:val="7B7B027E"/>
    <w:rsid w:val="7C9746FF"/>
    <w:rsid w:val="7D55323F"/>
    <w:rsid w:val="7D851A94"/>
    <w:rsid w:val="7D973ACD"/>
    <w:rsid w:val="7DBF2C63"/>
    <w:rsid w:val="7DF4505C"/>
    <w:rsid w:val="7EDF795D"/>
    <w:rsid w:val="7F3A4B42"/>
    <w:rsid w:val="7F743B6E"/>
    <w:rsid w:val="7FC82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Default"/>
    <w:unhideWhenUsed/>
    <w:qFormat/>
    <w:uiPriority w:val="99"/>
    <w:pPr>
      <w:widowControl w:val="0"/>
      <w:autoSpaceDE w:val="0"/>
      <w:autoSpaceDN w:val="0"/>
      <w:adjustRightInd w:val="0"/>
      <w:spacing w:beforeLines="0" w:afterLines="0"/>
    </w:pPr>
    <w:rPr>
      <w:rFonts w:hint="eastAsia" w:ascii="DFPHei Std W5" w:hAnsi="DFPHei Std W5" w:eastAsia="DFPHei Std W5" w:cs="Times New Roman"/>
      <w:color w:val="000000"/>
      <w:sz w:val="24"/>
      <w:szCs w:val="24"/>
    </w:rPr>
  </w:style>
  <w:style w:type="paragraph" w:customStyle="1" w:styleId="8">
    <w:name w:val="Pa2"/>
    <w:basedOn w:val="7"/>
    <w:next w:val="7"/>
    <w:unhideWhenUsed/>
    <w:qFormat/>
    <w:uiPriority w:val="99"/>
    <w:pPr>
      <w:spacing w:beforeLines="0" w:afterLines="0" w:line="221" w:lineRule="atLeast"/>
    </w:pPr>
    <w:rPr>
      <w:rFonts w:hint="default"/>
      <w:sz w:val="24"/>
      <w:szCs w:val="24"/>
    </w:rPr>
  </w:style>
  <w:style w:type="character" w:customStyle="1" w:styleId="9">
    <w:name w:val="A0"/>
    <w:unhideWhenUsed/>
    <w:qFormat/>
    <w:uiPriority w:val="99"/>
    <w:rPr>
      <w:rFonts w:hint="eastAsia"/>
      <w:color w:val="002B3B"/>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49b170ac-c044-40de-aeb0-b87beb5884eb</errorID>
      <errorWord>(</errorWord>
      <group>L1_Format</group>
      <groupName>格式问题</groupName>
      <ability>L2_HalfPunc</ability>
      <abilityName>全半角检查</abilityName>
      <candidateList>
        <item>（</item>
      </candidateList>
      <explain>文本全半角错误。</explain>
      <paraID>3C8674F3</paraID>
      <start>182</start>
      <end>183</end>
      <status>unmodified</status>
      <modifiedWord/>
      <trackRevisions>false</trackRevisions>
    </reviewItem>
    <reviewItem>
      <errorID>dabe176f-dee9-425c-b136-26641c55c50d</errorID>
      <errorWord>)</errorWord>
      <group>L1_Format</group>
      <groupName>格式问题</groupName>
      <ability>L2_HalfPunc</ability>
      <abilityName>全半角检查</abilityName>
      <candidateList>
        <item>）</item>
      </candidateList>
      <explain>文本全半角错误。</explain>
      <paraID>3C8674F3</paraID>
      <start>185</start>
      <end>186</end>
      <status>unmodified</status>
      <modifiedWord/>
      <trackRevisions>false</trackRevisions>
    </reviewItem>
    <reviewItem>
      <errorID>8444f492-d10f-4fc0-b84f-387ea28b92ee</errorID>
      <errorWord>获</errorWord>
      <group>L1_Word</group>
      <groupName>字词问题</groupName>
      <ability>L2_Typo</ability>
      <abilityName>字词错误</abilityName>
      <candidateList>
        <item>获得</item>
      </candidateList>
      <explain>〈动〉取得；得到（多用于抽象事物）：～好评｜～宝贵的经验｜～显著的成绩。</explain>
      <paraID>6C115064</paraID>
      <start>11</start>
      <end>12</end>
      <status>unmodified</status>
      <modifiedWord/>
      <trackRevisions>false</trackRevisions>
    </reviewItem>
    <reviewItem>
      <errorID>d8089854-cecf-4433-a298-ed5c30b4950c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2FC993B4</paraID>
      <start>109</start>
      <end>110</end>
      <status>unmodified</status>
      <modifiedWord/>
      <trackRevisions>false</trackRevisions>
    </reviewItem>
  </reviewItems>
  <config/>
</contractReview>
</file>

<file path=customXml/itemProps1.xml><?xml version="1.0" encoding="utf-8"?>
<ds:datastoreItem xmlns:ds="http://schemas.openxmlformats.org/officeDocument/2006/customXml" ds:itemID="{c1830542-13c6-4d32-aeb8-f8b227770f8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Pages>
  <Words>2962</Words>
  <Characters>3237</Characters>
  <Lines>2</Lines>
  <Paragraphs>1</Paragraphs>
  <TotalTime>9</TotalTime>
  <ScaleCrop>false</ScaleCrop>
  <LinksUpToDate>false</LinksUpToDate>
  <CharactersWithSpaces>3334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2021-01-20T09:15:00Z</dcterms:created>
  <dc:creator>wxl</dc:creator>
  <cp:lastModifiedBy>严梦婷1468</cp:lastModifiedBy>
  <cp:lastPrinted>2021-01-21T07:19:00Z</cp:lastPrinted>
  <dcterms:modified xsi:type="dcterms:W3CDTF">2026-09-02T08:31:14Z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F65D6717C8F44C23939F074BB95FD6A7_13</vt:lpwstr>
  </property>
  <property fmtid="{D5CDD505-2E9C-101B-9397-08002B2CF9AE}" pid="4" name="KSOTemplateDocerSaveRecord">
    <vt:lpwstr>eyJoZGlkIjoiY2EyOWFhMjc5ZDYyN2YxZGI0OTBlMDRiNTFmYjU2MGUiLCJ1c2VySWQiOiIxODIyOTQ2Njc3In0=</vt:lpwstr>
  </property>
</Properties>
</file>