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2D785">
      <w:pPr>
        <w:ind w:firstLine="562" w:firstLineChars="200"/>
        <w:jc w:val="center"/>
        <w:rPr>
          <w:rFonts w:ascii="宋体" w:hAnsi="宋体"/>
          <w:b/>
          <w:bCs/>
          <w:sz w:val="28"/>
          <w:szCs w:val="28"/>
          <w:highlight w:val="none"/>
        </w:rPr>
      </w:pPr>
      <w:r>
        <w:rPr>
          <w:rFonts w:hint="eastAsia" w:ascii="宋体" w:hAnsi="宋体"/>
          <w:b/>
          <w:bCs/>
          <w:sz w:val="28"/>
          <w:szCs w:val="28"/>
          <w:highlight w:val="none"/>
        </w:rPr>
        <w:t>烟台德邦科技股份有限公司</w:t>
      </w:r>
    </w:p>
    <w:p w14:paraId="3C92EBCF">
      <w:pPr>
        <w:ind w:firstLine="562" w:firstLineChars="200"/>
        <w:jc w:val="center"/>
        <w:rPr>
          <w:rFonts w:ascii="宋体" w:hAnsi="宋体"/>
          <w:b/>
          <w:bCs/>
          <w:sz w:val="28"/>
          <w:szCs w:val="28"/>
          <w:highlight w:val="none"/>
        </w:rPr>
      </w:pPr>
      <w:r>
        <w:rPr>
          <w:rFonts w:hint="eastAsia" w:ascii="宋体" w:hAnsi="宋体"/>
          <w:b/>
          <w:bCs/>
          <w:sz w:val="28"/>
          <w:szCs w:val="28"/>
          <w:highlight w:val="none"/>
        </w:rPr>
        <w:t>投资者关系活动记录表</w:t>
      </w:r>
    </w:p>
    <w:p w14:paraId="6B6D484D">
      <w:pPr>
        <w:ind w:firstLine="562" w:firstLineChars="200"/>
        <w:jc w:val="center"/>
        <w:rPr>
          <w:rFonts w:ascii="宋体" w:hAnsi="宋体"/>
          <w:b/>
          <w:bCs/>
          <w:sz w:val="28"/>
          <w:szCs w:val="28"/>
          <w:highlight w:val="none"/>
        </w:rPr>
      </w:pPr>
    </w:p>
    <w:p w14:paraId="5A7BA596">
      <w:pPr>
        <w:ind w:firstLine="482" w:firstLineChars="200"/>
        <w:rPr>
          <w:rFonts w:hint="eastAsia" w:ascii="宋体" w:hAnsi="宋体" w:eastAsia="宋体"/>
          <w:b/>
          <w:bCs/>
          <w:szCs w:val="24"/>
          <w:highlight w:val="none"/>
          <w:lang w:eastAsia="zh-CN"/>
        </w:rPr>
      </w:pPr>
      <w:r>
        <w:rPr>
          <w:rFonts w:hint="eastAsia" w:ascii="宋体" w:hAnsi="宋体"/>
          <w:b/>
          <w:bCs/>
          <w:szCs w:val="24"/>
          <w:highlight w:val="none"/>
        </w:rPr>
        <w:t xml:space="preserve">证券简称：德邦科技 </w:t>
      </w:r>
      <w:r>
        <w:rPr>
          <w:rFonts w:ascii="宋体" w:hAnsi="宋体"/>
          <w:b/>
          <w:bCs/>
          <w:szCs w:val="24"/>
          <w:highlight w:val="none"/>
        </w:rPr>
        <w:t xml:space="preserve">        </w:t>
      </w:r>
      <w:r>
        <w:rPr>
          <w:rFonts w:hint="eastAsia" w:ascii="宋体" w:hAnsi="宋体"/>
          <w:b/>
          <w:bCs/>
          <w:szCs w:val="24"/>
          <w:highlight w:val="none"/>
        </w:rPr>
        <w:t xml:space="preserve">证券代码：688035 </w:t>
      </w:r>
      <w:r>
        <w:rPr>
          <w:rFonts w:ascii="宋体" w:hAnsi="宋体"/>
          <w:b/>
          <w:bCs/>
          <w:szCs w:val="24"/>
          <w:highlight w:val="none"/>
        </w:rPr>
        <w:t xml:space="preserve">       </w:t>
      </w:r>
      <w:r>
        <w:rPr>
          <w:rFonts w:hint="eastAsia" w:ascii="宋体" w:hAnsi="宋体"/>
          <w:b/>
          <w:bCs/>
          <w:szCs w:val="24"/>
          <w:highlight w:val="none"/>
        </w:rPr>
        <w:t>编号：2026</w:t>
      </w:r>
      <w:r>
        <w:rPr>
          <w:rFonts w:ascii="宋体" w:hAnsi="宋体"/>
          <w:b/>
          <w:bCs/>
          <w:szCs w:val="24"/>
          <w:highlight w:val="none"/>
        </w:rPr>
        <w:t>-00</w:t>
      </w:r>
      <w:r>
        <w:rPr>
          <w:rFonts w:hint="eastAsia" w:ascii="宋体" w:hAnsi="宋体"/>
          <w:b/>
          <w:bCs/>
          <w:szCs w:val="24"/>
          <w:highlight w:val="none"/>
          <w:lang w:val="en-US" w:eastAsia="zh-CN"/>
        </w:rPr>
        <w:t>5</w:t>
      </w:r>
    </w:p>
    <w:tbl>
      <w:tblPr>
        <w:tblStyle w:val="11"/>
        <w:tblW w:w="84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6670"/>
      </w:tblGrid>
      <w:tr w14:paraId="765D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25DF0D72">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投资者关系活动类别</w:t>
            </w:r>
          </w:p>
        </w:tc>
        <w:tc>
          <w:tcPr>
            <w:tcW w:w="6670" w:type="dxa"/>
            <w:vAlign w:val="center"/>
          </w:tcPr>
          <w:p w14:paraId="7913A64D">
            <w:pPr>
              <w:keepNext w:val="0"/>
              <w:keepLines w:val="0"/>
              <w:suppressLineNumbers w:val="0"/>
              <w:spacing w:before="0" w:beforeAutospacing="0" w:after="0" w:afterAutospacing="0" w:line="360" w:lineRule="auto"/>
              <w:ind w:left="0" w:right="0"/>
              <w:rPr>
                <w:rFonts w:hint="default" w:ascii="宋体" w:hAnsi="宋体"/>
                <w:szCs w:val="24"/>
                <w:highlight w:val="none"/>
              </w:rPr>
            </w:pPr>
            <w:r>
              <w:rPr>
                <w:rFonts w:hint="eastAsia" w:ascii="Segoe UI Symbol" w:hAnsi="Segoe UI Symbol" w:cs="Segoe UI Symbol"/>
                <w:kern w:val="0"/>
                <w:szCs w:val="24"/>
                <w:highlight w:val="none"/>
                <w:lang w:eastAsia="zh-CN"/>
              </w:rPr>
              <w:t>☑</w:t>
            </w:r>
            <w:r>
              <w:rPr>
                <w:rFonts w:hint="default" w:ascii="宋体" w:hAnsi="宋体"/>
                <w:szCs w:val="24"/>
                <w:highlight w:val="none"/>
              </w:rPr>
              <w:t xml:space="preserve">特定对象调研       </w:t>
            </w:r>
            <w:r>
              <w:rPr>
                <w:rFonts w:hint="default" w:ascii="宋体" w:hAnsi="宋体"/>
                <w:kern w:val="0"/>
                <w:szCs w:val="24"/>
                <w:highlight w:val="none"/>
              </w:rPr>
              <w:t>□</w:t>
            </w:r>
            <w:r>
              <w:rPr>
                <w:rFonts w:hint="default" w:ascii="宋体" w:hAnsi="宋体"/>
                <w:szCs w:val="24"/>
                <w:highlight w:val="none"/>
              </w:rPr>
              <w:t>分析师会议</w:t>
            </w:r>
          </w:p>
          <w:p w14:paraId="01DFDAA7">
            <w:pPr>
              <w:keepNext w:val="0"/>
              <w:keepLines w:val="0"/>
              <w:suppressLineNumbers w:val="0"/>
              <w:spacing w:before="0" w:beforeAutospacing="0" w:after="0" w:afterAutospacing="0" w:line="360" w:lineRule="auto"/>
              <w:ind w:left="0" w:right="0"/>
              <w:rPr>
                <w:rFonts w:hint="default" w:ascii="宋体" w:hAnsi="宋体"/>
                <w:kern w:val="0"/>
                <w:szCs w:val="24"/>
                <w:highlight w:val="none"/>
              </w:rPr>
            </w:pPr>
            <w:r>
              <w:rPr>
                <w:rFonts w:hint="eastAsia" w:ascii="宋体" w:hAnsi="宋体"/>
                <w:kern w:val="0"/>
                <w:szCs w:val="24"/>
                <w:highlight w:val="none"/>
              </w:rPr>
              <w:t>□</w:t>
            </w:r>
            <w:r>
              <w:rPr>
                <w:rFonts w:hint="default" w:ascii="宋体" w:hAnsi="宋体"/>
                <w:kern w:val="0"/>
                <w:szCs w:val="24"/>
                <w:highlight w:val="none"/>
              </w:rPr>
              <w:t>媒体采访           □业绩说明会</w:t>
            </w:r>
          </w:p>
          <w:p w14:paraId="03D3E3C1">
            <w:pPr>
              <w:keepNext w:val="0"/>
              <w:keepLines w:val="0"/>
              <w:suppressLineNumbers w:val="0"/>
              <w:spacing w:before="0" w:beforeAutospacing="0" w:after="0" w:afterAutospacing="0" w:line="360" w:lineRule="auto"/>
              <w:ind w:left="0" w:right="0"/>
              <w:rPr>
                <w:rFonts w:hint="default" w:ascii="宋体" w:hAnsi="宋体"/>
                <w:kern w:val="0"/>
                <w:szCs w:val="24"/>
                <w:highlight w:val="none"/>
              </w:rPr>
            </w:pPr>
            <w:r>
              <w:rPr>
                <w:rFonts w:hint="eastAsia" w:ascii="宋体" w:hAnsi="宋体"/>
                <w:kern w:val="0"/>
                <w:szCs w:val="24"/>
                <w:highlight w:val="none"/>
              </w:rPr>
              <w:t>□</w:t>
            </w:r>
            <w:r>
              <w:rPr>
                <w:rFonts w:hint="default" w:ascii="宋体" w:hAnsi="宋体"/>
                <w:kern w:val="0"/>
                <w:szCs w:val="24"/>
                <w:highlight w:val="none"/>
              </w:rPr>
              <w:t>新闻发布会         □路演活动</w:t>
            </w:r>
          </w:p>
          <w:p w14:paraId="72D52799">
            <w:pPr>
              <w:keepNext w:val="0"/>
              <w:keepLines w:val="0"/>
              <w:suppressLineNumbers w:val="0"/>
              <w:spacing w:before="0" w:beforeAutospacing="0" w:after="0" w:afterAutospacing="0" w:line="360" w:lineRule="auto"/>
              <w:ind w:left="0" w:right="0"/>
              <w:rPr>
                <w:rFonts w:hint="default" w:ascii="宋体" w:hAnsi="宋体"/>
                <w:szCs w:val="24"/>
                <w:highlight w:val="none"/>
              </w:rPr>
            </w:pPr>
            <w:r>
              <w:rPr>
                <w:rFonts w:hint="eastAsia" w:ascii="宋体" w:hAnsi="宋体"/>
                <w:kern w:val="0"/>
                <w:szCs w:val="24"/>
                <w:highlight w:val="none"/>
                <w:lang w:eastAsia="zh-CN"/>
              </w:rPr>
              <w:t>□</w:t>
            </w:r>
            <w:r>
              <w:rPr>
                <w:rFonts w:hint="default" w:ascii="宋体" w:hAnsi="宋体"/>
                <w:kern w:val="0"/>
                <w:szCs w:val="24"/>
                <w:highlight w:val="none"/>
              </w:rPr>
              <w:t xml:space="preserve">现场参观           </w:t>
            </w:r>
            <w:r>
              <w:rPr>
                <w:rFonts w:hint="eastAsia" w:ascii="Segoe UI Symbol" w:hAnsi="Segoe UI Symbol" w:cs="Segoe UI Symbol"/>
                <w:kern w:val="0"/>
                <w:szCs w:val="24"/>
                <w:highlight w:val="none"/>
                <w:lang w:eastAsia="zh-CN"/>
              </w:rPr>
              <w:t>□</w:t>
            </w:r>
            <w:r>
              <w:rPr>
                <w:rFonts w:hint="default" w:ascii="宋体" w:hAnsi="宋体"/>
                <w:kern w:val="0"/>
                <w:szCs w:val="24"/>
                <w:highlight w:val="none"/>
              </w:rPr>
              <w:t>其他</w:t>
            </w:r>
          </w:p>
        </w:tc>
      </w:tr>
      <w:tr w14:paraId="2338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736" w:type="dxa"/>
            <w:vAlign w:val="center"/>
          </w:tcPr>
          <w:p w14:paraId="6A5BC60C">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参与单位名称</w:t>
            </w:r>
          </w:p>
          <w:p w14:paraId="5DC99DA3">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及人员姓名</w:t>
            </w:r>
          </w:p>
        </w:tc>
        <w:tc>
          <w:tcPr>
            <w:tcW w:w="6670" w:type="dxa"/>
            <w:vAlign w:val="center"/>
          </w:tcPr>
          <w:p w14:paraId="1AB16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olor w:val="auto"/>
                <w:szCs w:val="24"/>
                <w:highlight w:val="none"/>
                <w:lang w:val="en-US" w:eastAsia="zh-CN"/>
              </w:rPr>
            </w:pPr>
            <w:r>
              <w:rPr>
                <w:rFonts w:hint="eastAsia" w:ascii="宋体" w:hAnsi="宋体" w:cs="宋体"/>
                <w:sz w:val="24"/>
                <w:szCs w:val="24"/>
                <w:lang w:val="en-US" w:eastAsia="zh-CN"/>
              </w:rPr>
              <w:t>中邮资管、华福证券、浙商证券、积厚资本、天风证券、国投证券、上海</w:t>
            </w:r>
            <w:r>
              <w:rPr>
                <w:rFonts w:hint="default" w:ascii="宋体" w:hAnsi="宋体" w:eastAsia="宋体" w:cs="宋体"/>
                <w:sz w:val="24"/>
                <w:szCs w:val="24"/>
              </w:rPr>
              <w:t>承风金萍私募</w:t>
            </w:r>
            <w:r>
              <w:rPr>
                <w:rFonts w:hint="eastAsia" w:ascii="宋体" w:hAnsi="宋体"/>
                <w:color w:val="auto"/>
                <w:szCs w:val="24"/>
                <w:highlight w:val="none"/>
                <w:lang w:val="en-US" w:eastAsia="zh-CN"/>
              </w:rPr>
              <w:t>、</w:t>
            </w:r>
            <w:r>
              <w:rPr>
                <w:rFonts w:hint="default" w:ascii="宋体" w:hAnsi="宋体" w:eastAsia="宋体" w:cs="宋体"/>
                <w:sz w:val="24"/>
                <w:szCs w:val="24"/>
              </w:rPr>
              <w:t>九方智投</w:t>
            </w:r>
            <w:r>
              <w:rPr>
                <w:rFonts w:hint="eastAsia" w:ascii="宋体" w:hAnsi="宋体"/>
                <w:color w:val="auto"/>
                <w:szCs w:val="24"/>
                <w:highlight w:val="none"/>
                <w:lang w:val="en-US" w:eastAsia="zh-CN"/>
              </w:rPr>
              <w:t>、浙江圣熙资产、仙人掌私募、东北证券、广东银濎证券投资基金、威拜基金、林孚私募、国元证券、珠池基金、</w:t>
            </w:r>
            <w:r>
              <w:rPr>
                <w:rFonts w:hint="default" w:ascii="宋体" w:hAnsi="宋体" w:eastAsia="宋体" w:cs="宋体"/>
                <w:sz w:val="24"/>
                <w:szCs w:val="24"/>
              </w:rPr>
              <w:t>天瑞万合</w:t>
            </w:r>
            <w:r>
              <w:rPr>
                <w:rFonts w:hint="eastAsia" w:ascii="宋体" w:hAnsi="宋体" w:cs="宋体"/>
                <w:sz w:val="24"/>
                <w:szCs w:val="24"/>
                <w:lang w:eastAsia="zh-CN"/>
              </w:rPr>
              <w:t>、招金私募、泽润私募、</w:t>
            </w:r>
            <w:r>
              <w:rPr>
                <w:rFonts w:hint="default" w:ascii="宋体" w:hAnsi="宋体" w:eastAsia="宋体" w:cs="宋体"/>
                <w:sz w:val="24"/>
                <w:szCs w:val="24"/>
              </w:rPr>
              <w:t>青岛创投</w:t>
            </w:r>
            <w:r>
              <w:rPr>
                <w:rFonts w:hint="eastAsia" w:ascii="宋体" w:hAnsi="宋体" w:cs="宋体"/>
                <w:sz w:val="24"/>
                <w:szCs w:val="24"/>
                <w:lang w:eastAsia="zh-CN"/>
              </w:rPr>
              <w:t>、中航新能源</w:t>
            </w:r>
            <w:r>
              <w:rPr>
                <w:rFonts w:hint="eastAsia" w:ascii="宋体" w:hAnsi="宋体" w:cs="宋体"/>
                <w:sz w:val="24"/>
                <w:szCs w:val="24"/>
                <w:lang w:val="en-US" w:eastAsia="zh-CN"/>
              </w:rPr>
              <w:t>等</w:t>
            </w:r>
          </w:p>
        </w:tc>
      </w:tr>
      <w:tr w14:paraId="09CE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736" w:type="dxa"/>
            <w:vAlign w:val="center"/>
          </w:tcPr>
          <w:p w14:paraId="507D7225">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时间</w:t>
            </w:r>
          </w:p>
        </w:tc>
        <w:tc>
          <w:tcPr>
            <w:tcW w:w="6670" w:type="dxa"/>
            <w:vAlign w:val="center"/>
          </w:tcPr>
          <w:p w14:paraId="7790D1D3">
            <w:pPr>
              <w:keepNext w:val="0"/>
              <w:keepLines w:val="0"/>
              <w:suppressLineNumbers w:val="0"/>
              <w:spacing w:before="0" w:beforeAutospacing="0" w:after="0" w:afterAutospacing="0" w:line="360" w:lineRule="auto"/>
              <w:ind w:left="0" w:right="0"/>
              <w:jc w:val="left"/>
              <w:rPr>
                <w:rFonts w:hint="default" w:ascii="宋体" w:hAnsi="宋体"/>
                <w:color w:val="auto"/>
                <w:szCs w:val="24"/>
                <w:highlight w:val="none"/>
                <w:lang w:val="en-US"/>
              </w:rPr>
            </w:pPr>
            <w:r>
              <w:rPr>
                <w:rFonts w:hint="eastAsia" w:ascii="宋体" w:hAnsi="宋体"/>
                <w:color w:val="auto"/>
                <w:szCs w:val="24"/>
                <w:highlight w:val="none"/>
              </w:rPr>
              <w:t>2026年</w:t>
            </w:r>
            <w:r>
              <w:rPr>
                <w:rFonts w:hint="eastAsia" w:ascii="宋体" w:hAnsi="宋体"/>
                <w:color w:val="auto"/>
                <w:szCs w:val="24"/>
                <w:highlight w:val="none"/>
                <w:lang w:val="en-US" w:eastAsia="zh-CN"/>
              </w:rPr>
              <w:t>8月21日--2026年8月27日</w:t>
            </w:r>
          </w:p>
        </w:tc>
      </w:tr>
      <w:tr w14:paraId="2F50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53A184B0">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地点</w:t>
            </w:r>
          </w:p>
        </w:tc>
        <w:tc>
          <w:tcPr>
            <w:tcW w:w="6670" w:type="dxa"/>
            <w:vAlign w:val="center"/>
          </w:tcPr>
          <w:p w14:paraId="766C2EE6">
            <w:pPr>
              <w:keepNext w:val="0"/>
              <w:keepLines w:val="0"/>
              <w:suppressLineNumbers w:val="0"/>
              <w:spacing w:before="0" w:beforeAutospacing="0" w:after="0" w:afterAutospacing="0" w:line="360" w:lineRule="auto"/>
              <w:ind w:left="0" w:right="0"/>
              <w:jc w:val="left"/>
              <w:rPr>
                <w:rFonts w:hint="default" w:ascii="宋体" w:hAnsi="宋体" w:eastAsia="宋体"/>
                <w:szCs w:val="24"/>
                <w:highlight w:val="none"/>
                <w:lang w:val="en-US" w:eastAsia="zh-CN"/>
              </w:rPr>
            </w:pPr>
            <w:r>
              <w:rPr>
                <w:rFonts w:hint="eastAsia" w:ascii="宋体" w:hAnsi="宋体"/>
                <w:szCs w:val="24"/>
                <w:highlight w:val="none"/>
                <w:lang w:val="en-US" w:eastAsia="zh-CN"/>
              </w:rPr>
              <w:t>公司会议室</w:t>
            </w:r>
          </w:p>
        </w:tc>
      </w:tr>
      <w:tr w14:paraId="3AD0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736" w:type="dxa"/>
            <w:vAlign w:val="center"/>
          </w:tcPr>
          <w:p w14:paraId="6A8E2B66">
            <w:pPr>
              <w:keepNext w:val="0"/>
              <w:keepLines w:val="0"/>
              <w:suppressLineNumbers w:val="0"/>
              <w:spacing w:before="0" w:beforeAutospacing="0" w:after="0" w:afterAutospacing="0"/>
              <w:ind w:left="0" w:right="0"/>
              <w:jc w:val="center"/>
              <w:rPr>
                <w:rFonts w:hint="default" w:ascii="宋体" w:hAnsi="宋体"/>
                <w:szCs w:val="24"/>
                <w:highlight w:val="none"/>
              </w:rPr>
            </w:pPr>
            <w:r>
              <w:rPr>
                <w:rFonts w:hint="eastAsia" w:ascii="宋体" w:hAnsi="宋体"/>
                <w:b/>
                <w:bCs/>
                <w:szCs w:val="24"/>
                <w:highlight w:val="none"/>
              </w:rPr>
              <w:t>上市公司接待人员姓名</w:t>
            </w:r>
          </w:p>
        </w:tc>
        <w:tc>
          <w:tcPr>
            <w:tcW w:w="6670" w:type="dxa"/>
            <w:vAlign w:val="center"/>
          </w:tcPr>
          <w:p w14:paraId="42903C4D">
            <w:pPr>
              <w:keepNext w:val="0"/>
              <w:keepLines w:val="0"/>
              <w:suppressLineNumbers w:val="0"/>
              <w:spacing w:before="0" w:beforeAutospacing="0" w:after="0" w:afterAutospacing="0" w:line="360" w:lineRule="auto"/>
              <w:ind w:left="0" w:right="0"/>
              <w:jc w:val="left"/>
              <w:rPr>
                <w:rFonts w:hint="default" w:ascii="宋体" w:hAnsi="宋体" w:eastAsia="宋体"/>
                <w:szCs w:val="24"/>
                <w:highlight w:val="none"/>
                <w:lang w:val="en-US" w:eastAsia="zh-CN"/>
              </w:rPr>
            </w:pPr>
            <w:r>
              <w:rPr>
                <w:rFonts w:hint="eastAsia" w:ascii="宋体" w:hAnsi="宋体"/>
                <w:szCs w:val="24"/>
                <w:highlight w:val="none"/>
                <w:lang w:val="en-US" w:eastAsia="zh-CN"/>
              </w:rPr>
              <w:t>董事、总经理：陈田安</w:t>
            </w:r>
          </w:p>
          <w:p w14:paraId="6B23C796">
            <w:pPr>
              <w:keepNext w:val="0"/>
              <w:keepLines w:val="0"/>
              <w:suppressLineNumbers w:val="0"/>
              <w:spacing w:before="0" w:beforeAutospacing="0" w:after="0" w:afterAutospacing="0" w:line="360" w:lineRule="auto"/>
              <w:ind w:left="0" w:right="0"/>
              <w:jc w:val="left"/>
              <w:rPr>
                <w:rFonts w:hint="default" w:ascii="宋体" w:hAnsi="宋体"/>
                <w:szCs w:val="24"/>
                <w:highlight w:val="none"/>
              </w:rPr>
            </w:pPr>
            <w:r>
              <w:rPr>
                <w:rFonts w:hint="eastAsia" w:ascii="宋体" w:hAnsi="宋体"/>
                <w:szCs w:val="24"/>
                <w:highlight w:val="none"/>
              </w:rPr>
              <w:t>董事会秘书：于杰</w:t>
            </w:r>
          </w:p>
          <w:p w14:paraId="56ACB609">
            <w:pPr>
              <w:keepNext w:val="0"/>
              <w:keepLines w:val="0"/>
              <w:suppressLineNumbers w:val="0"/>
              <w:spacing w:before="0" w:beforeAutospacing="0" w:after="0" w:afterAutospacing="0" w:line="360" w:lineRule="auto"/>
              <w:ind w:left="0" w:right="0"/>
              <w:jc w:val="left"/>
              <w:rPr>
                <w:rFonts w:hint="default" w:ascii="宋体" w:hAnsi="宋体"/>
                <w:szCs w:val="24"/>
                <w:highlight w:val="none"/>
              </w:rPr>
            </w:pPr>
            <w:r>
              <w:rPr>
                <w:rFonts w:hint="eastAsia" w:ascii="宋体" w:hAnsi="宋体"/>
                <w:szCs w:val="24"/>
                <w:highlight w:val="none"/>
              </w:rPr>
              <w:t>董事会办公室</w:t>
            </w:r>
            <w:r>
              <w:rPr>
                <w:rFonts w:hint="default" w:ascii="宋体" w:hAnsi="宋体"/>
                <w:szCs w:val="24"/>
                <w:highlight w:val="none"/>
              </w:rPr>
              <w:t>总监：战世能</w:t>
            </w:r>
          </w:p>
          <w:p w14:paraId="568F9177">
            <w:pPr>
              <w:keepNext w:val="0"/>
              <w:keepLines w:val="0"/>
              <w:suppressLineNumbers w:val="0"/>
              <w:spacing w:before="0" w:beforeAutospacing="0" w:after="0" w:afterAutospacing="0" w:line="360" w:lineRule="auto"/>
              <w:ind w:left="0" w:right="0"/>
              <w:jc w:val="left"/>
              <w:rPr>
                <w:rFonts w:hint="default" w:ascii="宋体" w:hAnsi="宋体"/>
                <w:szCs w:val="24"/>
                <w:highlight w:val="none"/>
              </w:rPr>
            </w:pPr>
            <w:r>
              <w:rPr>
                <w:rFonts w:hint="eastAsia" w:ascii="宋体" w:hAnsi="宋体"/>
                <w:szCs w:val="24"/>
                <w:highlight w:val="none"/>
              </w:rPr>
              <w:t>证券事务代表：翟丞</w:t>
            </w:r>
          </w:p>
        </w:tc>
      </w:tr>
      <w:tr w14:paraId="5ED5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6" w:type="dxa"/>
            <w:vAlign w:val="center"/>
          </w:tcPr>
          <w:p w14:paraId="3773EC06">
            <w:pPr>
              <w:keepNext w:val="0"/>
              <w:keepLines w:val="0"/>
              <w:suppressLineNumbers w:val="0"/>
              <w:spacing w:before="0" w:beforeAutospacing="0" w:after="0" w:afterAutospacing="0"/>
              <w:ind w:left="0" w:right="0"/>
              <w:jc w:val="center"/>
              <w:rPr>
                <w:rFonts w:hint="eastAsia" w:ascii="宋体" w:hAnsi="宋体"/>
                <w:b/>
                <w:bCs/>
                <w:szCs w:val="24"/>
                <w:highlight w:val="none"/>
              </w:rPr>
            </w:pPr>
            <w:r>
              <w:rPr>
                <w:rFonts w:hint="eastAsia" w:ascii="宋体" w:hAnsi="宋体"/>
                <w:b/>
                <w:bCs/>
                <w:szCs w:val="24"/>
                <w:highlight w:val="none"/>
              </w:rPr>
              <w:t>投资者关系</w:t>
            </w:r>
          </w:p>
          <w:p w14:paraId="6E7604D5">
            <w:pPr>
              <w:keepNext w:val="0"/>
              <w:keepLines w:val="0"/>
              <w:suppressLineNumbers w:val="0"/>
              <w:spacing w:before="0" w:beforeAutospacing="0" w:after="0" w:afterAutospacing="0"/>
              <w:ind w:left="0" w:right="0"/>
              <w:jc w:val="center"/>
              <w:rPr>
                <w:rFonts w:hint="eastAsia" w:ascii="宋体" w:hAnsi="宋体"/>
                <w:b/>
                <w:bCs/>
                <w:szCs w:val="24"/>
                <w:highlight w:val="none"/>
              </w:rPr>
            </w:pPr>
            <w:r>
              <w:rPr>
                <w:rFonts w:hint="eastAsia" w:ascii="宋体" w:hAnsi="宋体"/>
                <w:b/>
                <w:bCs/>
                <w:szCs w:val="24"/>
                <w:highlight w:val="none"/>
              </w:rPr>
              <w:t>活动主要</w:t>
            </w:r>
          </w:p>
          <w:p w14:paraId="63C77C39">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内容介绍</w:t>
            </w:r>
          </w:p>
        </w:tc>
        <w:tc>
          <w:tcPr>
            <w:tcW w:w="6670" w:type="dxa"/>
            <w:vAlign w:val="center"/>
          </w:tcPr>
          <w:p w14:paraId="69420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w:t>
            </w:r>
            <w:r>
              <w:rPr>
                <w:rFonts w:hint="default" w:ascii="Segoe UI Emoji" w:hAnsi="Segoe UI Emoji" w:eastAsia="Segoe UI Emoji" w:cs="Segoe UI Emoji"/>
                <w:b/>
                <w:bCs/>
                <w:i w:val="0"/>
                <w:iCs w:val="0"/>
                <w:caps w:val="0"/>
                <w:spacing w:val="0"/>
                <w:sz w:val="24"/>
                <w:szCs w:val="24"/>
              </w:rPr>
              <w:t>请介绍公司整体发展</w:t>
            </w:r>
            <w:r>
              <w:rPr>
                <w:rFonts w:hint="eastAsia" w:ascii="Segoe UI Emoji" w:hAnsi="Segoe UI Emoji" w:eastAsia="宋体" w:cs="Segoe UI Emoji"/>
                <w:b/>
                <w:bCs/>
                <w:i w:val="0"/>
                <w:iCs w:val="0"/>
                <w:caps w:val="0"/>
                <w:spacing w:val="0"/>
                <w:sz w:val="24"/>
                <w:szCs w:val="24"/>
                <w:lang w:val="en-US" w:eastAsia="zh-CN"/>
              </w:rPr>
              <w:t>规划</w:t>
            </w:r>
            <w:r>
              <w:rPr>
                <w:rFonts w:hint="default" w:ascii="Segoe UI Emoji" w:hAnsi="Segoe UI Emoji" w:eastAsia="Segoe UI Emoji" w:cs="Segoe UI Emoji"/>
                <w:b/>
                <w:bCs/>
                <w:i w:val="0"/>
                <w:iCs w:val="0"/>
                <w:caps w:val="0"/>
                <w:spacing w:val="0"/>
                <w:sz w:val="24"/>
                <w:szCs w:val="24"/>
              </w:rPr>
              <w:t>？</w:t>
            </w:r>
          </w:p>
          <w:p w14:paraId="2156B5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default"/>
                <w:color w:val="000000"/>
                <w:sz w:val="24"/>
                <w:szCs w:val="24"/>
              </w:rPr>
            </w:pPr>
            <w:r>
              <w:rPr>
                <w:rFonts w:hint="eastAsia" w:ascii="宋体" w:hAnsi="宋体" w:eastAsia="宋体" w:cs="宋体"/>
                <w:b w:val="0"/>
                <w:bCs w:val="0"/>
                <w:color w:val="000000"/>
                <w:kern w:val="0"/>
                <w:sz w:val="24"/>
                <w:szCs w:val="24"/>
                <w:lang w:val="en-US" w:eastAsia="zh-CN" w:bidi="ar"/>
              </w:rPr>
              <w:t>答：公司</w:t>
            </w:r>
            <w:r>
              <w:rPr>
                <w:rFonts w:hint="eastAsia" w:asciiTheme="minorEastAsia" w:hAnsiTheme="minorEastAsia"/>
                <w:sz w:val="24"/>
                <w:szCs w:val="24"/>
              </w:rPr>
              <w:t>以集成电路封装材料技术为引领</w:t>
            </w:r>
            <w:r>
              <w:rPr>
                <w:rFonts w:hint="default" w:ascii="宋体" w:hAnsi="宋体" w:eastAsia="宋体" w:cs="宋体"/>
                <w:color w:val="000000"/>
                <w:kern w:val="0"/>
                <w:sz w:val="24"/>
                <w:szCs w:val="24"/>
                <w:lang w:val="en-US" w:eastAsia="zh-CN" w:bidi="ar"/>
              </w:rPr>
              <w:t>，深耕核心材料技术攻关，全力推动高端封装材料的国产替代进程。依托成熟的材料技术平台，</w:t>
            </w:r>
            <w:r>
              <w:rPr>
                <w:rFonts w:hint="default" w:ascii="宋体" w:hAnsi="宋体" w:eastAsia="宋体" w:cs="宋体"/>
                <w:sz w:val="24"/>
                <w:szCs w:val="24"/>
              </w:rPr>
              <w:t>公司不断拓宽产品应用场景</w:t>
            </w:r>
            <w:r>
              <w:rPr>
                <w:rFonts w:hint="default" w:ascii="宋体" w:hAnsi="宋体" w:eastAsia="宋体" w:cs="宋体"/>
                <w:color w:val="000000"/>
                <w:kern w:val="0"/>
                <w:sz w:val="24"/>
                <w:szCs w:val="24"/>
                <w:lang w:val="en-US" w:eastAsia="zh-CN" w:bidi="ar"/>
              </w:rPr>
              <w:t>，</w:t>
            </w:r>
            <w:r>
              <w:rPr>
                <w:rFonts w:hint="eastAsia" w:asciiTheme="minorEastAsia" w:hAnsiTheme="minorEastAsia"/>
                <w:sz w:val="24"/>
                <w:szCs w:val="24"/>
              </w:rPr>
              <w:t>并延伸至智能终端封装材料、新能源应用材料、高端装备应用材料</w:t>
            </w:r>
            <w:r>
              <w:rPr>
                <w:rFonts w:hint="eastAsia" w:asciiTheme="minorEastAsia" w:hAnsiTheme="minorEastAsia"/>
                <w:sz w:val="24"/>
                <w:szCs w:val="24"/>
                <w:lang w:val="en-US" w:eastAsia="zh-CN"/>
              </w:rPr>
              <w:t>板块，</w:t>
            </w:r>
            <w:r>
              <w:rPr>
                <w:rFonts w:hint="default" w:ascii="宋体" w:hAnsi="宋体" w:eastAsia="宋体" w:cs="宋体"/>
                <w:sz w:val="24"/>
                <w:szCs w:val="24"/>
              </w:rPr>
              <w:t>拓展长期成长空间，致力于为客户提供一站式综合解决方案</w:t>
            </w:r>
            <w:r>
              <w:rPr>
                <w:rFonts w:hint="default" w:ascii="宋体" w:hAnsi="宋体" w:eastAsia="宋体" w:cs="宋体"/>
                <w:color w:val="000000"/>
                <w:kern w:val="0"/>
                <w:sz w:val="24"/>
                <w:szCs w:val="24"/>
                <w:lang w:val="en-US" w:eastAsia="zh-CN" w:bidi="ar"/>
              </w:rPr>
              <w:t>。</w:t>
            </w:r>
          </w:p>
          <w:p w14:paraId="0E5E74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sz w:val="24"/>
                <w:szCs w:val="24"/>
              </w:rPr>
            </w:pPr>
            <w:r>
              <w:rPr>
                <w:rFonts w:hint="default" w:ascii="宋体" w:hAnsi="宋体" w:eastAsia="宋体" w:cs="宋体"/>
                <w:color w:val="000000"/>
                <w:kern w:val="0"/>
                <w:sz w:val="24"/>
                <w:szCs w:val="24"/>
                <w:lang w:val="en-US" w:eastAsia="zh-CN" w:bidi="ar"/>
              </w:rPr>
              <w:t>公司坚持“内生发展</w:t>
            </w:r>
            <w:r>
              <w:rPr>
                <w:rFonts w:hint="eastAsia" w:ascii="宋体" w:hAnsi="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外延扩张”双轮驱动，持续</w:t>
            </w:r>
            <w:r>
              <w:rPr>
                <w:rFonts w:hint="eastAsia" w:ascii="宋体" w:hAnsi="宋体" w:cs="宋体"/>
                <w:color w:val="000000"/>
                <w:kern w:val="0"/>
                <w:sz w:val="24"/>
                <w:szCs w:val="24"/>
                <w:lang w:val="en-US" w:eastAsia="zh-CN" w:bidi="ar"/>
              </w:rPr>
              <w:t>加码</w:t>
            </w:r>
            <w:r>
              <w:rPr>
                <w:rFonts w:hint="default" w:ascii="宋体" w:hAnsi="宋体" w:eastAsia="宋体" w:cs="宋体"/>
                <w:color w:val="000000"/>
                <w:kern w:val="0"/>
                <w:sz w:val="24"/>
                <w:szCs w:val="24"/>
                <w:lang w:val="en-US" w:eastAsia="zh-CN" w:bidi="ar"/>
              </w:rPr>
              <w:t>研发投入，</w:t>
            </w:r>
            <w:r>
              <w:rPr>
                <w:rFonts w:hint="default" w:ascii="宋体" w:hAnsi="宋体" w:eastAsia="宋体" w:cs="宋体"/>
                <w:sz w:val="24"/>
                <w:szCs w:val="24"/>
              </w:rPr>
              <w:t>紧抓AI算力快速增长、半导体国产替代提速带来的行业机遇</w:t>
            </w:r>
            <w:r>
              <w:rPr>
                <w:rFonts w:hint="eastAsia" w:ascii="宋体" w:hAnsi="宋体" w:cs="宋体"/>
                <w:sz w:val="24"/>
                <w:szCs w:val="24"/>
                <w:lang w:eastAsia="zh-CN"/>
              </w:rPr>
              <w:t>。</w:t>
            </w:r>
            <w:r>
              <w:rPr>
                <w:rFonts w:hint="default" w:ascii="宋体" w:hAnsi="宋体" w:cs="宋体"/>
                <w:sz w:val="24"/>
                <w:szCs w:val="24"/>
                <w:lang w:val="en-US" w:eastAsia="zh-CN"/>
              </w:rPr>
              <w:t>同时，</w:t>
            </w:r>
            <w:r>
              <w:rPr>
                <w:rFonts w:hint="eastAsia" w:ascii="宋体" w:hAnsi="宋体" w:eastAsia="宋体" w:cs="宋体"/>
                <w:i w:val="0"/>
                <w:iCs w:val="0"/>
                <w:caps w:val="0"/>
                <w:color w:val="auto"/>
                <w:spacing w:val="0"/>
                <w:sz w:val="24"/>
                <w:szCs w:val="24"/>
                <w:shd w:val="clear" w:fill="auto"/>
              </w:rPr>
              <w:t>公司围绕主业及产业链，通过整合优质标的</w:t>
            </w:r>
            <w:r>
              <w:rPr>
                <w:rStyle w:val="12"/>
                <w:rFonts w:hint="eastAsia" w:ascii="宋体" w:hAnsi="宋体" w:eastAsia="宋体" w:cs="宋体"/>
                <w:b w:val="0"/>
                <w:bCs w:val="0"/>
                <w:i w:val="0"/>
                <w:iCs w:val="0"/>
                <w:caps w:val="0"/>
                <w:color w:val="000000"/>
                <w:spacing w:val="0"/>
                <w:sz w:val="24"/>
                <w:szCs w:val="24"/>
                <w:shd w:val="clear" w:fill="FFFFFF"/>
              </w:rPr>
              <w:t>扩大业务规模、扩充产品品类</w:t>
            </w:r>
            <w:r>
              <w:rPr>
                <w:rFonts w:hint="eastAsia" w:ascii="宋体" w:hAnsi="宋体" w:eastAsia="宋体" w:cs="宋体"/>
                <w:i w:val="0"/>
                <w:iCs w:val="0"/>
                <w:caps w:val="0"/>
                <w:color w:val="auto"/>
                <w:spacing w:val="0"/>
                <w:sz w:val="24"/>
                <w:szCs w:val="24"/>
                <w:shd w:val="clear" w:fill="auto"/>
              </w:rPr>
              <w:t>，</w:t>
            </w:r>
            <w:r>
              <w:rPr>
                <w:rFonts w:hint="default" w:ascii="宋体" w:hAnsi="宋体" w:eastAsia="宋体" w:cs="宋体"/>
                <w:sz w:val="24"/>
                <w:szCs w:val="24"/>
              </w:rPr>
              <w:t>力争实现公司高质量、可持续发展。</w:t>
            </w:r>
          </w:p>
          <w:p w14:paraId="4C2AA60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sz w:val="24"/>
                <w:szCs w:val="24"/>
                <w:lang w:val="en-US" w:eastAsia="zh-CN"/>
              </w:rPr>
              <w:t>2</w:t>
            </w:r>
            <w:r>
              <w:rPr>
                <w:rFonts w:hint="default" w:ascii="宋体" w:hAnsi="宋体" w:eastAsia="宋体" w:cs="宋体"/>
                <w:b/>
                <w:bCs/>
                <w:color w:val="auto"/>
                <w:sz w:val="24"/>
                <w:szCs w:val="24"/>
              </w:rPr>
              <w:t>、请介绍公司在 AI 散热相关领域的整体布局？</w:t>
            </w:r>
          </w:p>
          <w:p w14:paraId="16E2BD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kern w:val="2"/>
                <w:sz w:val="24"/>
                <w:szCs w:val="24"/>
                <w:lang w:val="en-US" w:eastAsia="zh-CN" w:bidi="ar"/>
              </w:rPr>
            </w:pPr>
            <w:r>
              <w:rPr>
                <w:rFonts w:hint="default" w:ascii="宋体" w:hAnsi="宋体" w:eastAsia="宋体" w:cs="宋体"/>
                <w:color w:val="auto"/>
                <w:kern w:val="0"/>
                <w:sz w:val="24"/>
                <w:szCs w:val="24"/>
                <w:lang w:val="en-US" w:eastAsia="zh-CN" w:bidi="ar"/>
              </w:rPr>
              <w:t>答：</w:t>
            </w:r>
            <w:r>
              <w:rPr>
                <w:rFonts w:hint="default" w:ascii="宋体" w:hAnsi="宋体" w:eastAsia="宋体" w:cs="宋体"/>
                <w:sz w:val="24"/>
                <w:szCs w:val="24"/>
              </w:rPr>
              <w:t>AI 散热行业发展迅速，技术迭代节奏快，具备广阔的市场成长空间</w:t>
            </w:r>
            <w:r>
              <w:rPr>
                <w:rFonts w:hint="default" w:ascii="宋体" w:hAnsi="宋体" w:cs="宋体"/>
                <w:sz w:val="24"/>
                <w:szCs w:val="24"/>
                <w:lang w:eastAsia="zh-CN"/>
              </w:rPr>
              <w:t>，</w:t>
            </w:r>
            <w:r>
              <w:rPr>
                <w:rFonts w:hint="default" w:ascii="宋体" w:hAnsi="宋体" w:eastAsia="宋体" w:cs="宋体"/>
                <w:kern w:val="2"/>
                <w:sz w:val="24"/>
                <w:szCs w:val="24"/>
                <w:lang w:val="en-US" w:eastAsia="zh-CN" w:bidi="ar"/>
              </w:rPr>
              <w:t>服务器、交换机、光模块等场景对导热散热材料需求旺盛。</w:t>
            </w:r>
          </w:p>
          <w:p w14:paraId="749B0F5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default" w:ascii="宋体" w:hAnsi="宋体" w:eastAsia="宋体" w:cs="宋体"/>
                <w:b w:val="0"/>
                <w:bCs w:val="0"/>
                <w:sz w:val="24"/>
                <w:szCs w:val="24"/>
                <w:lang w:val="en-US" w:eastAsia="zh-CN"/>
              </w:rPr>
            </w:pPr>
            <w:r>
              <w:rPr>
                <w:rFonts w:hint="default" w:ascii="宋体" w:hAnsi="宋体" w:eastAsia="宋体" w:cs="宋体"/>
                <w:b w:val="0"/>
                <w:bCs w:val="0"/>
                <w:kern w:val="2"/>
                <w:sz w:val="24"/>
                <w:szCs w:val="24"/>
                <w:lang w:val="en-US" w:eastAsia="zh-CN" w:bidi="ar"/>
              </w:rPr>
              <w:t>围绕AI散热赛道，公司已形成较为完善的产品布局，</w:t>
            </w:r>
            <w:r>
              <w:rPr>
                <w:rFonts w:hint="default" w:ascii="宋体" w:hAnsi="宋体" w:cs="宋体"/>
                <w:b w:val="0"/>
                <w:bCs w:val="0"/>
                <w:kern w:val="2"/>
                <w:sz w:val="24"/>
                <w:szCs w:val="24"/>
                <w:lang w:val="en-US" w:eastAsia="zh-CN" w:bidi="ar"/>
              </w:rPr>
              <w:t>相关材料可</w:t>
            </w:r>
            <w:r>
              <w:rPr>
                <w:rFonts w:hint="default" w:ascii="宋体" w:hAnsi="宋体" w:eastAsia="宋体" w:cs="宋体"/>
                <w:b w:val="0"/>
                <w:bCs w:val="0"/>
                <w:kern w:val="2"/>
                <w:sz w:val="24"/>
                <w:szCs w:val="24"/>
                <w:lang w:val="en-US" w:eastAsia="zh-CN" w:bidi="ar"/>
              </w:rPr>
              <w:t>应用于数据中心、消费电子、汽车域控</w:t>
            </w:r>
            <w:r>
              <w:rPr>
                <w:rFonts w:hint="default" w:ascii="宋体" w:hAnsi="宋体" w:cs="宋体"/>
                <w:b w:val="0"/>
                <w:bCs w:val="0"/>
                <w:kern w:val="2"/>
                <w:sz w:val="24"/>
                <w:szCs w:val="24"/>
                <w:lang w:val="en-US" w:eastAsia="zh-CN" w:bidi="ar"/>
              </w:rPr>
              <w:t>等领域，覆盖</w:t>
            </w:r>
            <w:r>
              <w:rPr>
                <w:rFonts w:hint="default" w:ascii="宋体" w:hAnsi="宋体" w:eastAsia="宋体" w:cs="宋体"/>
                <w:b w:val="0"/>
                <w:bCs w:val="0"/>
                <w:kern w:val="2"/>
                <w:sz w:val="24"/>
                <w:szCs w:val="24"/>
                <w:lang w:val="en-US" w:eastAsia="zh-CN" w:bidi="ar"/>
              </w:rPr>
              <w:t>冷板</w:t>
            </w:r>
            <w:r>
              <w:rPr>
                <w:rFonts w:hint="default" w:ascii="宋体" w:hAnsi="宋体" w:cs="宋体"/>
                <w:b w:val="0"/>
                <w:bCs w:val="0"/>
                <w:kern w:val="2"/>
                <w:sz w:val="24"/>
                <w:szCs w:val="24"/>
                <w:lang w:val="en-US" w:eastAsia="zh-CN" w:bidi="ar"/>
              </w:rPr>
              <w:t>式</w:t>
            </w:r>
            <w:r>
              <w:rPr>
                <w:rFonts w:hint="default" w:ascii="宋体" w:hAnsi="宋体" w:eastAsia="宋体" w:cs="宋体"/>
                <w:b w:val="0"/>
                <w:bCs w:val="0"/>
                <w:kern w:val="2"/>
                <w:sz w:val="24"/>
                <w:szCs w:val="24"/>
                <w:lang w:val="en-US" w:eastAsia="zh-CN" w:bidi="ar"/>
              </w:rPr>
              <w:t>及浸没式</w:t>
            </w:r>
            <w:r>
              <w:rPr>
                <w:rFonts w:hint="default" w:ascii="宋体" w:hAnsi="宋体" w:cs="宋体"/>
                <w:b w:val="0"/>
                <w:bCs w:val="0"/>
                <w:kern w:val="2"/>
                <w:sz w:val="24"/>
                <w:szCs w:val="24"/>
                <w:lang w:val="en-US" w:eastAsia="zh-CN" w:bidi="ar"/>
              </w:rPr>
              <w:t>液冷</w:t>
            </w:r>
            <w:r>
              <w:rPr>
                <w:rFonts w:hint="default" w:ascii="宋体" w:hAnsi="宋体" w:eastAsia="宋体" w:cs="宋体"/>
                <w:b w:val="0"/>
                <w:bCs w:val="0"/>
                <w:kern w:val="2"/>
                <w:sz w:val="24"/>
                <w:szCs w:val="24"/>
                <w:lang w:val="en-US" w:eastAsia="zh-CN" w:bidi="ar"/>
              </w:rPr>
              <w:t>服务器</w:t>
            </w:r>
            <w:r>
              <w:rPr>
                <w:rFonts w:hint="default" w:ascii="宋体" w:hAnsi="宋体" w:cs="宋体"/>
                <w:b w:val="0"/>
                <w:bCs w:val="0"/>
                <w:kern w:val="2"/>
                <w:sz w:val="24"/>
                <w:szCs w:val="24"/>
                <w:lang w:val="en-US" w:eastAsia="zh-CN" w:bidi="ar"/>
              </w:rPr>
              <w:t>中</w:t>
            </w:r>
            <w:r>
              <w:rPr>
                <w:rFonts w:hint="default" w:ascii="宋体" w:hAnsi="宋体" w:eastAsia="宋体" w:cs="宋体"/>
                <w:b w:val="0"/>
                <w:bCs w:val="0"/>
                <w:kern w:val="2"/>
                <w:sz w:val="24"/>
                <w:szCs w:val="24"/>
                <w:lang w:val="en-US" w:eastAsia="zh-CN" w:bidi="ar"/>
              </w:rPr>
              <w:t>算力芯片及</w:t>
            </w:r>
            <w:r>
              <w:rPr>
                <w:rFonts w:hint="default" w:ascii="宋体" w:hAnsi="宋体" w:cs="宋体"/>
                <w:b w:val="0"/>
                <w:bCs w:val="0"/>
                <w:kern w:val="2"/>
                <w:sz w:val="24"/>
                <w:szCs w:val="24"/>
                <w:lang w:val="en-US" w:eastAsia="zh-CN" w:bidi="ar"/>
              </w:rPr>
              <w:t>功率器件</w:t>
            </w:r>
            <w:r>
              <w:rPr>
                <w:rFonts w:hint="default" w:ascii="宋体" w:hAnsi="宋体" w:eastAsia="宋体" w:cs="宋体"/>
                <w:b w:val="0"/>
                <w:bCs w:val="0"/>
                <w:kern w:val="2"/>
                <w:sz w:val="24"/>
                <w:szCs w:val="24"/>
                <w:lang w:val="en-US" w:eastAsia="zh-CN" w:bidi="ar"/>
              </w:rPr>
              <w:t>的散热</w:t>
            </w:r>
            <w:r>
              <w:rPr>
                <w:rFonts w:hint="default" w:ascii="宋体" w:hAnsi="宋体" w:cs="宋体"/>
                <w:b w:val="0"/>
                <w:bCs w:val="0"/>
                <w:kern w:val="2"/>
                <w:sz w:val="24"/>
                <w:szCs w:val="24"/>
                <w:lang w:val="en-US" w:eastAsia="zh-CN" w:bidi="ar"/>
              </w:rPr>
              <w:t>需求</w:t>
            </w:r>
            <w:r>
              <w:rPr>
                <w:rFonts w:hint="default" w:ascii="宋体" w:hAnsi="宋体" w:eastAsia="宋体" w:cs="宋体"/>
                <w:b w:val="0"/>
                <w:bCs w:val="0"/>
                <w:kern w:val="2"/>
                <w:sz w:val="24"/>
                <w:szCs w:val="24"/>
                <w:lang w:val="en-US" w:eastAsia="zh-CN" w:bidi="ar"/>
              </w:rPr>
              <w:t>。</w:t>
            </w:r>
            <w:r>
              <w:rPr>
                <w:rFonts w:hint="default" w:ascii="宋体" w:hAnsi="宋体" w:cs="宋体"/>
                <w:b w:val="0"/>
                <w:bCs w:val="0"/>
                <w:kern w:val="2"/>
                <w:sz w:val="24"/>
                <w:szCs w:val="24"/>
                <w:lang w:val="en-US" w:eastAsia="zh-CN" w:bidi="ar"/>
              </w:rPr>
              <w:t>现阶段</w:t>
            </w:r>
            <w:r>
              <w:rPr>
                <w:rFonts w:hint="default" w:ascii="宋体" w:hAnsi="宋体" w:eastAsia="宋体" w:cs="宋体"/>
                <w:b w:val="0"/>
                <w:bCs w:val="0"/>
                <w:kern w:val="2"/>
                <w:sz w:val="24"/>
                <w:szCs w:val="24"/>
                <w:lang w:val="en-US" w:eastAsia="zh-CN" w:bidi="ar"/>
              </w:rPr>
              <w:t>，</w:t>
            </w:r>
            <w:r>
              <w:rPr>
                <w:rFonts w:hint="default" w:ascii="宋体" w:hAnsi="宋体" w:cs="宋体"/>
                <w:b w:val="0"/>
                <w:bCs w:val="0"/>
                <w:kern w:val="2"/>
                <w:sz w:val="24"/>
                <w:szCs w:val="24"/>
                <w:lang w:val="en-US" w:eastAsia="zh-CN" w:bidi="ar"/>
              </w:rPr>
              <w:t>相关</w:t>
            </w:r>
            <w:r>
              <w:rPr>
                <w:rFonts w:hint="default" w:ascii="宋体" w:hAnsi="宋体" w:eastAsia="宋体" w:cs="宋体"/>
                <w:b w:val="0"/>
                <w:bCs w:val="0"/>
                <w:kern w:val="2"/>
                <w:sz w:val="24"/>
                <w:szCs w:val="24"/>
                <w:lang w:val="en-US" w:eastAsia="zh-CN" w:bidi="ar"/>
              </w:rPr>
              <w:t>产品已</w:t>
            </w:r>
            <w:r>
              <w:rPr>
                <w:rFonts w:hint="default" w:ascii="宋体" w:hAnsi="宋体" w:cs="宋体"/>
                <w:b w:val="0"/>
                <w:bCs w:val="0"/>
                <w:kern w:val="2"/>
                <w:sz w:val="24"/>
                <w:szCs w:val="24"/>
                <w:lang w:val="en-US" w:eastAsia="zh-CN" w:bidi="ar"/>
              </w:rPr>
              <w:t>通过部分知名</w:t>
            </w:r>
            <w:r>
              <w:rPr>
                <w:rFonts w:hint="default" w:ascii="宋体" w:hAnsi="宋体" w:eastAsia="宋体" w:cs="宋体"/>
                <w:b w:val="0"/>
                <w:bCs w:val="0"/>
                <w:kern w:val="2"/>
                <w:sz w:val="24"/>
                <w:szCs w:val="24"/>
                <w:lang w:val="en-US" w:eastAsia="zh-CN" w:bidi="ar"/>
              </w:rPr>
              <w:t>芯片设计公司</w:t>
            </w:r>
            <w:r>
              <w:rPr>
                <w:rFonts w:hint="default" w:ascii="宋体" w:hAnsi="宋体" w:cs="宋体"/>
                <w:b w:val="0"/>
                <w:bCs w:val="0"/>
                <w:kern w:val="2"/>
                <w:sz w:val="24"/>
                <w:szCs w:val="24"/>
                <w:lang w:val="en-US" w:eastAsia="zh-CN" w:bidi="ar"/>
              </w:rPr>
              <w:t>认证，并在</w:t>
            </w:r>
            <w:r>
              <w:rPr>
                <w:rFonts w:hint="default" w:ascii="宋体" w:hAnsi="宋体" w:eastAsia="宋体" w:cs="宋体"/>
                <w:b w:val="0"/>
                <w:bCs w:val="0"/>
                <w:kern w:val="2"/>
                <w:sz w:val="24"/>
                <w:szCs w:val="24"/>
                <w:lang w:val="en-US" w:eastAsia="zh-CN" w:bidi="ar"/>
              </w:rPr>
              <w:t>AI服务器、交换机厂商等客户端得到批量应用。</w:t>
            </w:r>
            <w:r>
              <w:rPr>
                <w:rFonts w:hint="default" w:ascii="宋体" w:hAnsi="宋体" w:eastAsia="宋体" w:cs="宋体"/>
                <w:b w:val="0"/>
                <w:bCs w:val="0"/>
                <w:sz w:val="24"/>
                <w:szCs w:val="24"/>
              </w:rPr>
              <w:t>后续</w:t>
            </w:r>
            <w:r>
              <w:rPr>
                <w:rFonts w:hint="default" w:ascii="宋体" w:hAnsi="宋体" w:cs="宋体"/>
                <w:b w:val="0"/>
                <w:bCs w:val="0"/>
                <w:sz w:val="24"/>
                <w:szCs w:val="24"/>
                <w:lang w:eastAsia="zh-CN"/>
              </w:rPr>
              <w:t>，</w:t>
            </w:r>
            <w:r>
              <w:rPr>
                <w:rFonts w:hint="default" w:ascii="宋体" w:hAnsi="宋体" w:eastAsia="宋体" w:cs="宋体"/>
                <w:b w:val="0"/>
                <w:bCs w:val="0"/>
                <w:sz w:val="24"/>
                <w:szCs w:val="24"/>
              </w:rPr>
              <w:t>公司将持续紧抓 AI 算力发展机遇，不断拓展相关业务。</w:t>
            </w:r>
          </w:p>
          <w:p w14:paraId="08D0301B">
            <w:pPr>
              <w:keepNext w:val="0"/>
              <w:keepLines w:val="0"/>
              <w:widowControl w:val="0"/>
              <w:suppressLineNumbers w:val="0"/>
              <w:spacing w:before="0" w:beforeAutospacing="0" w:after="0" w:afterAutospacing="0" w:line="360" w:lineRule="auto"/>
              <w:ind w:left="0" w:right="0"/>
              <w:rPr>
                <w:rFonts w:hint="default"/>
                <w:b/>
                <w:bCs/>
                <w:color w:val="auto"/>
                <w:sz w:val="24"/>
                <w:szCs w:val="24"/>
              </w:rPr>
            </w:pPr>
            <w:r>
              <w:rPr>
                <w:rFonts w:hint="eastAsia"/>
                <w:b/>
                <w:bCs/>
                <w:color w:val="auto"/>
                <w:sz w:val="24"/>
                <w:szCs w:val="24"/>
                <w:lang w:val="en-US" w:eastAsia="zh-CN"/>
              </w:rPr>
              <w:t>3</w:t>
            </w:r>
            <w:r>
              <w:rPr>
                <w:rFonts w:hint="default"/>
                <w:b/>
                <w:bCs/>
                <w:color w:val="auto"/>
                <w:sz w:val="24"/>
                <w:szCs w:val="24"/>
              </w:rPr>
              <w:t>、公司在热界面材料及产能端做了哪些储备？</w:t>
            </w:r>
          </w:p>
          <w:p w14:paraId="71DABFFB">
            <w:pPr>
              <w:keepNext w:val="0"/>
              <w:keepLines w:val="0"/>
              <w:widowControl w:val="0"/>
              <w:suppressLineNumbers w:val="0"/>
              <w:spacing w:before="0" w:beforeAutospacing="0" w:after="0" w:afterAutospacing="0" w:line="360" w:lineRule="auto"/>
              <w:ind w:left="0" w:right="0" w:firstLine="0" w:firstLineChars="0"/>
              <w:jc w:val="left"/>
              <w:rPr>
                <w:rFonts w:hint="default"/>
              </w:rPr>
            </w:pPr>
            <w:r>
              <w:rPr>
                <w:rFonts w:hint="default" w:ascii="宋体" w:hAnsi="宋体" w:eastAsia="宋体" w:cs="宋体"/>
                <w:color w:val="auto"/>
                <w:kern w:val="0"/>
                <w:sz w:val="24"/>
                <w:szCs w:val="24"/>
                <w:lang w:val="en-US" w:eastAsia="zh-CN" w:bidi="ar"/>
              </w:rPr>
              <w:t>答：</w:t>
            </w:r>
            <w:r>
              <w:rPr>
                <w:rFonts w:hint="default" w:ascii="宋体" w:hAnsi="宋体" w:eastAsia="宋体" w:cs="宋体"/>
                <w:sz w:val="24"/>
                <w:szCs w:val="24"/>
              </w:rPr>
              <w:t>公司热界面材料业务主要由深圳德邦界面、泰吉诺两个主体开展，两家子公司产品应用定位形成错位互补。深圳德邦界面的产品广泛应用于消费电子、汽车电子、存储、通讯、新能源等领域，并持续在汽车电子、存储等高附加值市场实现突破；泰吉诺产品重点面向 AI 服务器等高算力散热领域，同时也可应用于消费电子、汽车电子、通讯等行业。</w:t>
            </w:r>
            <w:r>
              <w:rPr>
                <w:rFonts w:hint="default" w:ascii="宋体" w:hAnsi="宋体" w:eastAsia="宋体" w:cs="宋体"/>
                <w:kern w:val="0"/>
                <w:sz w:val="24"/>
                <w:szCs w:val="24"/>
                <w:lang w:val="en-US" w:eastAsia="zh-CN" w:bidi="ar"/>
              </w:rPr>
              <w:t>目前现有产能可充分满足当前市场需求，具备快速柔性扩产能力。同时公司</w:t>
            </w:r>
            <w:r>
              <w:rPr>
                <w:rFonts w:hint="eastAsia" w:ascii="宋体" w:hAnsi="宋体" w:cs="宋体"/>
                <w:kern w:val="0"/>
                <w:sz w:val="24"/>
                <w:szCs w:val="24"/>
                <w:lang w:val="en-US" w:eastAsia="zh-CN" w:bidi="ar"/>
              </w:rPr>
              <w:t>正在</w:t>
            </w:r>
            <w:r>
              <w:rPr>
                <w:rFonts w:hint="default" w:ascii="宋体" w:hAnsi="宋体" w:eastAsia="宋体" w:cs="宋体"/>
                <w:kern w:val="0"/>
                <w:sz w:val="24"/>
                <w:szCs w:val="24"/>
                <w:lang w:val="en-US" w:eastAsia="zh-CN" w:bidi="ar"/>
              </w:rPr>
              <w:t>推进华南基地建设，未来将持续扩充热界面材料产能，夯实长期供货保障能力。</w:t>
            </w:r>
          </w:p>
          <w:p w14:paraId="62314F92">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4、公司与长江存储、长鑫存储的业务进展情况？</w:t>
            </w:r>
          </w:p>
          <w:p w14:paraId="17CB6DE3">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rightChars="0" w:firstLine="0" w:firstLineChars="0"/>
              <w:jc w:val="left"/>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答：</w:t>
            </w:r>
            <w:r>
              <w:rPr>
                <w:rFonts w:hint="default" w:ascii="宋体" w:hAnsi="宋体" w:cs="宋体"/>
                <w:color w:val="auto"/>
                <w:sz w:val="24"/>
                <w:szCs w:val="24"/>
                <w:lang w:val="en-US" w:eastAsia="zh-CN"/>
              </w:rPr>
              <w:t>在长江存储，公司高导热界面材料已实现小批量供货；在长江存储的封测平台宏茂微，公司的固晶胶产品已实现小批量供货；DAF（固晶膜）产品已经完成技术验证并进入其合格供应商名录，目前正处于等待客户下单阶段；公</w:t>
            </w:r>
            <w:bookmarkStart w:id="0" w:name="_GoBack"/>
            <w:bookmarkEnd w:id="0"/>
            <w:r>
              <w:rPr>
                <w:rFonts w:hint="default" w:ascii="宋体" w:hAnsi="宋体" w:cs="宋体"/>
                <w:color w:val="auto"/>
                <w:sz w:val="24"/>
                <w:szCs w:val="24"/>
                <w:lang w:val="en-US" w:eastAsia="zh-CN"/>
              </w:rPr>
              <w:t>司还有其他系列的封装材料，正在持续配合长鑫存储、长江存储及其合作外包封测厂开展测试验证工作</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通常来看，公司产品在客户端测试验证通过后，到实现批量供货需要一个循序渐进、逐渐上量的过程。</w:t>
            </w:r>
          </w:p>
          <w:p w14:paraId="196287A0">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lang w:val="en-US" w:eastAsia="zh-CN"/>
              </w:rPr>
            </w:pPr>
            <w:r>
              <w:rPr>
                <w:rFonts w:hint="eastAsia" w:ascii="宋体" w:hAnsi="宋体" w:cs="宋体"/>
                <w:b/>
                <w:bCs/>
                <w:color w:val="auto"/>
                <w:sz w:val="24"/>
                <w:szCs w:val="24"/>
                <w:lang w:val="en-US" w:eastAsia="zh-CN"/>
              </w:rPr>
              <w:t>5</w:t>
            </w:r>
            <w:r>
              <w:rPr>
                <w:rFonts w:hint="eastAsia" w:ascii="宋体" w:hAnsi="宋体" w:eastAsia="宋体" w:cs="宋体"/>
                <w:b/>
                <w:bCs/>
                <w:color w:val="auto"/>
                <w:sz w:val="24"/>
                <w:szCs w:val="24"/>
                <w:lang w:val="en-US" w:eastAsia="zh-CN"/>
              </w:rPr>
              <w:t>、问：</w:t>
            </w:r>
            <w:r>
              <w:rPr>
                <w:rStyle w:val="13"/>
                <w:rFonts w:hint="default" w:ascii="宋体" w:hAnsi="宋体" w:eastAsia="宋体" w:cs="宋体"/>
                <w:color w:val="auto"/>
                <w:sz w:val="24"/>
                <w:szCs w:val="24"/>
              </w:rPr>
              <w:t>公司收购的泰吉诺、蓝珀半导体，目前整合、客户验证及订单、业绩周期如何？</w:t>
            </w:r>
            <w:r>
              <w:rPr>
                <w:rFonts w:hint="default" w:ascii="宋体" w:hAnsi="宋体" w:eastAsia="宋体" w:cs="宋体"/>
                <w:color w:val="auto"/>
                <w:sz w:val="24"/>
                <w:szCs w:val="24"/>
              </w:rPr>
              <w:t xml:space="preserve"> </w:t>
            </w:r>
          </w:p>
          <w:p w14:paraId="55BD3D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sz w:val="24"/>
                <w:szCs w:val="24"/>
                <w:lang w:val="en-US" w:eastAsia="zh-CN"/>
              </w:rPr>
              <w:t>答：</w:t>
            </w:r>
            <w:r>
              <w:rPr>
                <w:rFonts w:hint="eastAsia" w:ascii="宋体" w:hAnsi="宋体" w:eastAsia="宋体" w:cs="宋体"/>
                <w:i w:val="0"/>
                <w:iCs w:val="0"/>
                <w:caps w:val="0"/>
                <w:color w:val="auto"/>
                <w:spacing w:val="0"/>
                <w:sz w:val="24"/>
                <w:szCs w:val="24"/>
              </w:rPr>
              <w:t xml:space="preserve"> </w:t>
            </w:r>
            <w:r>
              <w:rPr>
                <w:rFonts w:hint="eastAsia" w:ascii="宋体" w:hAnsi="宋体" w:cs="宋体"/>
                <w:i w:val="0"/>
                <w:iCs w:val="0"/>
                <w:caps w:val="0"/>
                <w:color w:val="auto"/>
                <w:spacing w:val="0"/>
                <w:sz w:val="24"/>
                <w:szCs w:val="24"/>
                <w:lang w:val="en-US" w:eastAsia="zh-CN"/>
              </w:rPr>
              <w:t>泰吉诺的并购整合工作进展顺利，</w:t>
            </w:r>
            <w:r>
              <w:rPr>
                <w:rFonts w:hint="default" w:ascii="宋体" w:hAnsi="宋体" w:eastAsia="宋体" w:cs="宋体"/>
                <w:color w:val="auto"/>
                <w:kern w:val="0"/>
                <w:sz w:val="24"/>
                <w:szCs w:val="24"/>
                <w:lang w:val="en-US" w:eastAsia="zh-CN" w:bidi="ar"/>
              </w:rPr>
              <w:t>其业务与公司深圳界面板块以互补协同为主</w:t>
            </w:r>
            <w:r>
              <w:rPr>
                <w:rFonts w:hint="eastAsia" w:ascii="宋体" w:hAnsi="宋体" w:cs="宋体"/>
                <w:color w:val="auto"/>
                <w:kern w:val="0"/>
                <w:sz w:val="24"/>
                <w:szCs w:val="24"/>
                <w:lang w:val="en-US" w:eastAsia="zh-CN" w:bidi="ar"/>
              </w:rPr>
              <w:t>，</w:t>
            </w:r>
            <w:r>
              <w:rPr>
                <w:rFonts w:hint="default" w:ascii="宋体" w:hAnsi="宋体" w:eastAsia="宋体" w:cs="宋体"/>
                <w:color w:val="auto"/>
                <w:kern w:val="0"/>
                <w:sz w:val="24"/>
                <w:szCs w:val="24"/>
                <w:lang w:val="en-US" w:eastAsia="zh-CN" w:bidi="ar"/>
              </w:rPr>
              <w:t>依托公司平台资源持续拓展海内外客户，AI散热相关产品加速导入下游市场，业务稳步增长。</w:t>
            </w:r>
          </w:p>
          <w:p w14:paraId="4263BB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kern w:val="0"/>
                <w:sz w:val="24"/>
                <w:szCs w:val="24"/>
                <w:lang w:val="en-US" w:eastAsia="zh-CN" w:bidi="ar"/>
              </w:rPr>
              <w:t>蓝珀半导体</w:t>
            </w:r>
            <w:r>
              <w:rPr>
                <w:rFonts w:hint="eastAsia" w:ascii="宋体" w:hAnsi="宋体" w:cs="宋体"/>
                <w:color w:val="auto"/>
                <w:kern w:val="0"/>
                <w:sz w:val="24"/>
                <w:szCs w:val="24"/>
                <w:lang w:val="en-US" w:eastAsia="zh-CN" w:bidi="ar"/>
              </w:rPr>
              <w:t>核心业务为</w:t>
            </w:r>
            <w:r>
              <w:rPr>
                <w:rFonts w:hint="default" w:ascii="宋体" w:hAnsi="宋体" w:eastAsia="宋体" w:cs="宋体"/>
                <w:color w:val="auto"/>
                <w:kern w:val="0"/>
                <w:sz w:val="24"/>
                <w:szCs w:val="24"/>
                <w:lang w:val="en-US" w:eastAsia="zh-CN" w:bidi="ar"/>
              </w:rPr>
              <w:t>临时键合胶，属于晶圆级先进封装领域关键材料。目前相关产品开发已趋于成熟，正处在客户导入及市场推广阶段。</w:t>
            </w:r>
            <w:r>
              <w:rPr>
                <w:rFonts w:hint="default" w:ascii="宋体" w:hAnsi="宋体" w:eastAsia="宋体" w:cs="宋体"/>
                <w:sz w:val="24"/>
                <w:szCs w:val="24"/>
              </w:rPr>
              <w:t>公司在测试资源、质量管控、生产运营等方面赋能，加速产品验证及规模化落地，进一步完善先进封装材料产品线布局。</w:t>
            </w:r>
          </w:p>
          <w:p w14:paraId="5CF82B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6</w:t>
            </w:r>
            <w:r>
              <w:rPr>
                <w:rFonts w:hint="eastAsia" w:ascii="宋体" w:hAnsi="宋体" w:eastAsia="宋体" w:cs="宋体"/>
                <w:b/>
                <w:bCs/>
                <w:color w:val="auto"/>
                <w:sz w:val="24"/>
                <w:szCs w:val="24"/>
              </w:rPr>
              <w:t>、锂电行业需求增长，但行业产能扩张更快，请介绍公司</w:t>
            </w:r>
            <w:r>
              <w:rPr>
                <w:rFonts w:hint="eastAsia" w:ascii="宋体" w:hAnsi="宋体" w:cs="宋体"/>
                <w:b/>
                <w:bCs/>
                <w:color w:val="auto"/>
                <w:sz w:val="24"/>
                <w:szCs w:val="24"/>
                <w:lang w:val="en-US" w:eastAsia="zh-CN"/>
              </w:rPr>
              <w:t>动力电池</w:t>
            </w:r>
            <w:r>
              <w:rPr>
                <w:rFonts w:hint="eastAsia" w:ascii="宋体" w:hAnsi="宋体" w:eastAsia="宋体" w:cs="宋体"/>
                <w:b/>
                <w:bCs/>
                <w:color w:val="auto"/>
                <w:sz w:val="24"/>
                <w:szCs w:val="24"/>
              </w:rPr>
              <w:t>业务客户结构、产品、价格及毛利情况？</w:t>
            </w:r>
          </w:p>
          <w:p w14:paraId="04CFC3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color w:val="auto"/>
                <w:kern w:val="0"/>
                <w:sz w:val="24"/>
                <w:szCs w:val="24"/>
                <w:lang w:val="en-US" w:eastAsia="zh-CN" w:bidi="ar"/>
              </w:rPr>
            </w:pPr>
            <w:r>
              <w:rPr>
                <w:rFonts w:hint="default" w:ascii="宋体" w:hAnsi="宋体" w:eastAsia="宋体" w:cs="宋体"/>
                <w:color w:val="auto"/>
                <w:kern w:val="0"/>
                <w:sz w:val="24"/>
                <w:szCs w:val="24"/>
                <w:lang w:val="en-US" w:eastAsia="zh-CN" w:bidi="ar"/>
              </w:rPr>
              <w:t>答：公司锂电主要涉及材料为应用于动力电池和储能电池电池包内部的结构导热材料，目前该业务公司处于行业领先地位，产品主要供给宁德时代、比亚迪、国轩、亿</w:t>
            </w:r>
            <w:r>
              <w:rPr>
                <w:rFonts w:hint="eastAsia" w:ascii="宋体" w:hAnsi="宋体" w:cs="宋体"/>
                <w:color w:val="auto"/>
                <w:kern w:val="0"/>
                <w:sz w:val="24"/>
                <w:szCs w:val="24"/>
                <w:lang w:val="en-US" w:eastAsia="zh-CN" w:bidi="ar"/>
              </w:rPr>
              <w:t>纬</w:t>
            </w:r>
            <w:r>
              <w:rPr>
                <w:rFonts w:hint="default" w:ascii="宋体" w:hAnsi="宋体" w:eastAsia="宋体" w:cs="宋体"/>
                <w:color w:val="auto"/>
                <w:kern w:val="0"/>
                <w:sz w:val="24"/>
                <w:szCs w:val="24"/>
                <w:lang w:val="en-US" w:eastAsia="zh-CN" w:bidi="ar"/>
              </w:rPr>
              <w:t>等国内头部电池厂商。</w:t>
            </w:r>
          </w:p>
          <w:p w14:paraId="63443B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auto"/>
                <w:spacing w:val="0"/>
                <w:sz w:val="24"/>
                <w:szCs w:val="24"/>
              </w:rPr>
            </w:pPr>
            <w:r>
              <w:rPr>
                <w:rFonts w:hint="default" w:ascii="宋体" w:hAnsi="宋体" w:eastAsia="宋体" w:cs="宋体"/>
                <w:color w:val="auto"/>
                <w:kern w:val="0"/>
                <w:sz w:val="24"/>
                <w:szCs w:val="24"/>
                <w:lang w:val="en-US" w:eastAsia="zh-CN" w:bidi="ar"/>
              </w:rPr>
              <w:t>受益于下游新能源汽车产销稳步增长、储能行业加速普及渗透，公司新能源应用材料出货量保持高速增长，市场份额保持稳健。同时，公司依托产线智能化水平，持续优化物料转运、投料、生产、入库等全流程运营效率，降本增效，通过上述措施，新能源板块在销量增长的同时，毛利率也稳定在合理的区间。</w:t>
            </w:r>
          </w:p>
          <w:p w14:paraId="6B52CC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宋体" w:hAnsi="宋体" w:eastAsia="宋体" w:cs="宋体"/>
                <w:color w:val="auto"/>
                <w:sz w:val="24"/>
                <w:szCs w:val="24"/>
              </w:rPr>
            </w:pPr>
            <w:r>
              <w:rPr>
                <w:rFonts w:hint="eastAsia" w:ascii="宋体" w:hAnsi="宋体" w:cs="宋体"/>
                <w:b/>
                <w:bCs/>
                <w:i w:val="0"/>
                <w:iCs w:val="0"/>
                <w:caps w:val="0"/>
                <w:color w:val="auto"/>
                <w:spacing w:val="0"/>
                <w:sz w:val="24"/>
                <w:szCs w:val="24"/>
                <w:lang w:val="en-US" w:eastAsia="zh-CN"/>
              </w:rPr>
              <w:t>7</w:t>
            </w:r>
            <w:r>
              <w:rPr>
                <w:rFonts w:hint="eastAsia" w:ascii="宋体" w:hAnsi="宋体" w:eastAsia="宋体" w:cs="宋体"/>
                <w:b/>
                <w:bCs/>
                <w:i w:val="0"/>
                <w:iCs w:val="0"/>
                <w:caps w:val="0"/>
                <w:color w:val="auto"/>
                <w:spacing w:val="0"/>
                <w:sz w:val="24"/>
                <w:szCs w:val="24"/>
                <w:lang w:val="en-US" w:eastAsia="zh-CN"/>
              </w:rPr>
              <w:t>、问：</w:t>
            </w:r>
            <w:r>
              <w:rPr>
                <w:rStyle w:val="13"/>
                <w:rFonts w:hint="default" w:ascii="宋体" w:hAnsi="宋体" w:eastAsia="宋体" w:cs="宋体"/>
                <w:b/>
                <w:bCs/>
                <w:color w:val="auto"/>
                <w:sz w:val="24"/>
                <w:szCs w:val="24"/>
              </w:rPr>
              <w:t>公司整体毛利率小幅下滑，是否因为新能源板块占比较高、毛利偏低？</w:t>
            </w:r>
            <w:r>
              <w:rPr>
                <w:rStyle w:val="13"/>
                <w:rFonts w:hint="default" w:ascii="宋体" w:hAnsi="宋体" w:eastAsia="宋体" w:cs="宋体"/>
                <w:color w:val="auto"/>
                <w:sz w:val="24"/>
                <w:szCs w:val="24"/>
              </w:rPr>
              <w:t>未来能否优化？</w:t>
            </w:r>
            <w:r>
              <w:rPr>
                <w:rFonts w:hint="default" w:ascii="宋体" w:hAnsi="宋体" w:eastAsia="宋体" w:cs="宋体"/>
                <w:color w:val="auto"/>
                <w:sz w:val="24"/>
                <w:szCs w:val="24"/>
              </w:rPr>
              <w:t xml:space="preserve"> </w:t>
            </w:r>
          </w:p>
          <w:p w14:paraId="152818E8">
            <w:pPr>
              <w:keepNext w:val="0"/>
              <w:keepLines w:val="0"/>
              <w:widowControl w:val="0"/>
              <w:suppressLineNumbers w:val="0"/>
              <w:spacing w:before="0" w:beforeAutospacing="0" w:after="0" w:afterAutospacing="0" w:line="360" w:lineRule="auto"/>
              <w:ind w:left="0" w:right="0" w:firstLine="0" w:firstLineChars="0"/>
              <w:jc w:val="left"/>
              <w:rPr>
                <w:rFonts w:hint="default" w:ascii="宋体" w:hAnsi="宋体" w:eastAsia="宋体" w:cs="宋体"/>
                <w:color w:val="auto"/>
                <w:sz w:val="24"/>
                <w:szCs w:val="24"/>
              </w:rPr>
            </w:pPr>
            <w:r>
              <w:rPr>
                <w:rFonts w:hint="eastAsia" w:ascii="宋体" w:hAnsi="宋体" w:eastAsia="宋体" w:cs="宋体"/>
                <w:color w:val="auto"/>
                <w:sz w:val="24"/>
                <w:szCs w:val="24"/>
                <w:lang w:val="en-US" w:eastAsia="zh-CN"/>
              </w:rPr>
              <w:t>答:</w:t>
            </w:r>
            <w:r>
              <w:rPr>
                <w:rFonts w:hint="default" w:ascii="宋体" w:hAnsi="宋体" w:eastAsia="宋体" w:cs="宋体"/>
                <w:sz w:val="24"/>
                <w:szCs w:val="24"/>
              </w:rPr>
              <w:t>近年来公司一直在推进业务结构优化，加大高附加值、高毛利业务的拓展力度</w:t>
            </w:r>
            <w:r>
              <w:rPr>
                <w:rFonts w:hint="eastAsia" w:ascii="宋体" w:hAnsi="宋体" w:cs="宋体"/>
                <w:sz w:val="24"/>
                <w:szCs w:val="24"/>
                <w:lang w:eastAsia="zh-CN"/>
              </w:rPr>
              <w:t>，</w:t>
            </w:r>
            <w:r>
              <w:rPr>
                <w:rFonts w:hint="eastAsia" w:ascii="宋体" w:hAnsi="宋体" w:cs="宋体"/>
                <w:color w:val="auto"/>
                <w:sz w:val="24"/>
                <w:szCs w:val="24"/>
                <w:lang w:val="en-US" w:eastAsia="zh-CN"/>
              </w:rPr>
              <w:t>其中毛利率相对更高的</w:t>
            </w:r>
            <w:r>
              <w:rPr>
                <w:rFonts w:hint="default" w:ascii="宋体" w:hAnsi="宋体" w:eastAsia="宋体" w:cs="宋体"/>
                <w:color w:val="auto"/>
                <w:sz w:val="24"/>
                <w:szCs w:val="24"/>
              </w:rPr>
              <w:t>集成电路板块增速较快</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营收占比明显提升</w:t>
            </w:r>
            <w:r>
              <w:rPr>
                <w:rFonts w:hint="eastAsia" w:ascii="宋体" w:hAnsi="宋体" w:cs="宋体"/>
                <w:color w:val="auto"/>
                <w:sz w:val="24"/>
                <w:szCs w:val="24"/>
                <w:lang w:eastAsia="zh-CN"/>
              </w:rPr>
              <w:t>，</w:t>
            </w:r>
            <w:r>
              <w:rPr>
                <w:rFonts w:hint="default" w:ascii="宋体" w:hAnsi="宋体" w:eastAsia="宋体" w:cs="宋体"/>
                <w:color w:val="auto"/>
                <w:sz w:val="24"/>
                <w:szCs w:val="24"/>
              </w:rPr>
              <w:t>智能终端板块新应用项目持续放量，增速优于整体；</w:t>
            </w:r>
            <w:r>
              <w:rPr>
                <w:rFonts w:hint="eastAsia" w:ascii="宋体" w:hAnsi="宋体" w:cs="宋体"/>
                <w:color w:val="auto"/>
                <w:sz w:val="24"/>
                <w:szCs w:val="24"/>
                <w:lang w:val="en-US" w:eastAsia="zh-CN"/>
              </w:rPr>
              <w:t>毛利率偏低的</w:t>
            </w:r>
            <w:r>
              <w:rPr>
                <w:rFonts w:hint="default" w:ascii="宋体" w:hAnsi="宋体" w:eastAsia="宋体" w:cs="宋体"/>
                <w:color w:val="auto"/>
                <w:sz w:val="24"/>
                <w:szCs w:val="24"/>
              </w:rPr>
              <w:t>新能源板块市场份额稳定、保持稳健增长。</w:t>
            </w:r>
          </w:p>
          <w:p w14:paraId="4289D33C">
            <w:pPr>
              <w:keepNext w:val="0"/>
              <w:keepLines w:val="0"/>
              <w:widowControl w:val="0"/>
              <w:suppressLineNumbers w:val="0"/>
              <w:spacing w:before="0" w:beforeAutospacing="0" w:after="0" w:afterAutospacing="0" w:line="360" w:lineRule="auto"/>
              <w:ind w:left="0" w:right="0" w:firstLine="480" w:firstLineChars="200"/>
              <w:jc w:val="left"/>
              <w:rPr>
                <w:rFonts w:hint="default" w:ascii="宋体" w:hAnsi="宋体"/>
                <w:szCs w:val="24"/>
                <w:highlight w:val="none"/>
              </w:rPr>
            </w:pPr>
            <w:r>
              <w:rPr>
                <w:rFonts w:hint="default" w:ascii="宋体" w:hAnsi="宋体" w:eastAsia="宋体" w:cs="宋体"/>
                <w:sz w:val="24"/>
                <w:szCs w:val="24"/>
              </w:rPr>
              <w:t>业务结构调整优化需要一定的培育周期，后续公司将持续提升高毛利业务的营收占比，逐步改善整体盈利水平。</w:t>
            </w:r>
          </w:p>
        </w:tc>
      </w:tr>
      <w:tr w14:paraId="4440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736" w:type="dxa"/>
            <w:vAlign w:val="center"/>
          </w:tcPr>
          <w:p w14:paraId="6AA83004">
            <w:pPr>
              <w:keepNext w:val="0"/>
              <w:keepLines w:val="0"/>
              <w:suppressLineNumbers w:val="0"/>
              <w:spacing w:before="0" w:beforeAutospacing="0" w:after="0" w:afterAutospacing="0"/>
              <w:ind w:left="0" w:right="0"/>
              <w:jc w:val="center"/>
              <w:rPr>
                <w:rFonts w:hint="eastAsia" w:ascii="宋体" w:hAnsi="宋体"/>
                <w:b/>
                <w:bCs/>
                <w:szCs w:val="24"/>
                <w:highlight w:val="none"/>
              </w:rPr>
            </w:pPr>
            <w:r>
              <w:rPr>
                <w:rFonts w:hint="eastAsia" w:ascii="宋体" w:hAnsi="宋体"/>
                <w:b/>
                <w:bCs/>
                <w:szCs w:val="24"/>
                <w:highlight w:val="none"/>
              </w:rPr>
              <w:t>附件清单</w:t>
            </w:r>
          </w:p>
          <w:p w14:paraId="3E0BBE39">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（如有）</w:t>
            </w:r>
          </w:p>
        </w:tc>
        <w:tc>
          <w:tcPr>
            <w:tcW w:w="6670" w:type="dxa"/>
            <w:vAlign w:val="center"/>
          </w:tcPr>
          <w:p w14:paraId="638D714A">
            <w:pPr>
              <w:keepNext w:val="0"/>
              <w:keepLines w:val="0"/>
              <w:suppressLineNumbers w:val="0"/>
              <w:spacing w:before="0" w:beforeAutospacing="0" w:after="0" w:afterAutospacing="0"/>
              <w:ind w:left="0" w:right="0"/>
              <w:jc w:val="left"/>
              <w:rPr>
                <w:rFonts w:hint="default" w:ascii="宋体" w:hAnsi="宋体"/>
                <w:szCs w:val="24"/>
                <w:highlight w:val="none"/>
              </w:rPr>
            </w:pPr>
            <w:r>
              <w:rPr>
                <w:rFonts w:hint="default" w:ascii="宋体" w:hAnsi="宋体"/>
                <w:szCs w:val="24"/>
                <w:highlight w:val="none"/>
              </w:rPr>
              <w:t>无</w:t>
            </w:r>
          </w:p>
        </w:tc>
      </w:tr>
    </w:tbl>
    <w:p w14:paraId="66BBCAF4">
      <w:pPr>
        <w:widowControl/>
        <w:spacing w:line="400" w:lineRule="exact"/>
        <w:jc w:val="left"/>
        <w:rPr>
          <w:rFonts w:ascii="宋体" w:hAnsi="宋体"/>
          <w:sz w:val="21"/>
          <w:szCs w:val="21"/>
          <w:highlight w:val="none"/>
        </w:rPr>
      </w:pPr>
    </w:p>
    <w:sectPr>
      <w:pgSz w:w="11906" w:h="16838"/>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auto"/>
    <w:pitch w:val="default"/>
    <w:sig w:usb0="00000001" w:usb1="02000000" w:usb2="08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iZWRmYjIyZmVlODU4MjUwMmIyYmRjNTU0MjBlZGYifQ=="/>
  </w:docVars>
  <w:rsids>
    <w:rsidRoot w:val="00DC5E46"/>
    <w:rsid w:val="0000245C"/>
    <w:rsid w:val="00004B20"/>
    <w:rsid w:val="00011187"/>
    <w:rsid w:val="00017DD1"/>
    <w:rsid w:val="0002014A"/>
    <w:rsid w:val="00030DE9"/>
    <w:rsid w:val="0003154F"/>
    <w:rsid w:val="00032633"/>
    <w:rsid w:val="000415F4"/>
    <w:rsid w:val="00041C9D"/>
    <w:rsid w:val="0004467C"/>
    <w:rsid w:val="000459A9"/>
    <w:rsid w:val="00050C04"/>
    <w:rsid w:val="00056AB7"/>
    <w:rsid w:val="00067427"/>
    <w:rsid w:val="000704AF"/>
    <w:rsid w:val="00070D2B"/>
    <w:rsid w:val="00080818"/>
    <w:rsid w:val="00084870"/>
    <w:rsid w:val="00092107"/>
    <w:rsid w:val="000A12C5"/>
    <w:rsid w:val="000A2DB5"/>
    <w:rsid w:val="000A64A8"/>
    <w:rsid w:val="000B4324"/>
    <w:rsid w:val="000B61FC"/>
    <w:rsid w:val="000C53F3"/>
    <w:rsid w:val="000D2872"/>
    <w:rsid w:val="000E1009"/>
    <w:rsid w:val="000E4665"/>
    <w:rsid w:val="000E46ED"/>
    <w:rsid w:val="000F4C75"/>
    <w:rsid w:val="00100005"/>
    <w:rsid w:val="0010080C"/>
    <w:rsid w:val="00111ED8"/>
    <w:rsid w:val="0011359B"/>
    <w:rsid w:val="00115906"/>
    <w:rsid w:val="00117112"/>
    <w:rsid w:val="00122AAA"/>
    <w:rsid w:val="00122CA4"/>
    <w:rsid w:val="001259EE"/>
    <w:rsid w:val="001404DD"/>
    <w:rsid w:val="00140A1B"/>
    <w:rsid w:val="00146FB8"/>
    <w:rsid w:val="00157C01"/>
    <w:rsid w:val="001600CB"/>
    <w:rsid w:val="001609E9"/>
    <w:rsid w:val="00163CA5"/>
    <w:rsid w:val="00167014"/>
    <w:rsid w:val="00171B17"/>
    <w:rsid w:val="001743F1"/>
    <w:rsid w:val="001800F7"/>
    <w:rsid w:val="00180D5D"/>
    <w:rsid w:val="00183228"/>
    <w:rsid w:val="001837A2"/>
    <w:rsid w:val="001956C4"/>
    <w:rsid w:val="001A6640"/>
    <w:rsid w:val="001A774A"/>
    <w:rsid w:val="001C3AD2"/>
    <w:rsid w:val="001D04DD"/>
    <w:rsid w:val="001D2B9C"/>
    <w:rsid w:val="001D4053"/>
    <w:rsid w:val="001E1C23"/>
    <w:rsid w:val="001E1C6F"/>
    <w:rsid w:val="001E3B67"/>
    <w:rsid w:val="001E42FC"/>
    <w:rsid w:val="001E50AD"/>
    <w:rsid w:val="001F0F88"/>
    <w:rsid w:val="001F4458"/>
    <w:rsid w:val="001F6EF2"/>
    <w:rsid w:val="0020500F"/>
    <w:rsid w:val="0020687B"/>
    <w:rsid w:val="002075CC"/>
    <w:rsid w:val="00212C27"/>
    <w:rsid w:val="002143C9"/>
    <w:rsid w:val="00221631"/>
    <w:rsid w:val="00236E2E"/>
    <w:rsid w:val="00246207"/>
    <w:rsid w:val="00246EE0"/>
    <w:rsid w:val="00247FB5"/>
    <w:rsid w:val="0025376E"/>
    <w:rsid w:val="00253A35"/>
    <w:rsid w:val="00254DA5"/>
    <w:rsid w:val="00264304"/>
    <w:rsid w:val="00275016"/>
    <w:rsid w:val="00277618"/>
    <w:rsid w:val="00277AD7"/>
    <w:rsid w:val="00280FC0"/>
    <w:rsid w:val="0028324C"/>
    <w:rsid w:val="00283447"/>
    <w:rsid w:val="002A021D"/>
    <w:rsid w:val="002A3326"/>
    <w:rsid w:val="002B0BDB"/>
    <w:rsid w:val="002B3841"/>
    <w:rsid w:val="002B42E0"/>
    <w:rsid w:val="002B4498"/>
    <w:rsid w:val="002B79CA"/>
    <w:rsid w:val="002C388F"/>
    <w:rsid w:val="002D72FA"/>
    <w:rsid w:val="002E5264"/>
    <w:rsid w:val="002E5293"/>
    <w:rsid w:val="002F5525"/>
    <w:rsid w:val="002F7163"/>
    <w:rsid w:val="003017AE"/>
    <w:rsid w:val="00311DBB"/>
    <w:rsid w:val="00314871"/>
    <w:rsid w:val="003206FD"/>
    <w:rsid w:val="00324C44"/>
    <w:rsid w:val="00326C79"/>
    <w:rsid w:val="00327BCE"/>
    <w:rsid w:val="00334055"/>
    <w:rsid w:val="0033761C"/>
    <w:rsid w:val="00337A19"/>
    <w:rsid w:val="003423B7"/>
    <w:rsid w:val="00362F55"/>
    <w:rsid w:val="0036572D"/>
    <w:rsid w:val="00372B09"/>
    <w:rsid w:val="00393F39"/>
    <w:rsid w:val="0039540B"/>
    <w:rsid w:val="003A0BD1"/>
    <w:rsid w:val="003A3A46"/>
    <w:rsid w:val="003A6113"/>
    <w:rsid w:val="003B5598"/>
    <w:rsid w:val="003B7978"/>
    <w:rsid w:val="003C3B4D"/>
    <w:rsid w:val="003C3F99"/>
    <w:rsid w:val="003C53DB"/>
    <w:rsid w:val="003D1463"/>
    <w:rsid w:val="003E53CF"/>
    <w:rsid w:val="003E5D9C"/>
    <w:rsid w:val="003E610A"/>
    <w:rsid w:val="003F11AD"/>
    <w:rsid w:val="003F12C8"/>
    <w:rsid w:val="003F1E65"/>
    <w:rsid w:val="003F3C92"/>
    <w:rsid w:val="003F489C"/>
    <w:rsid w:val="00400E77"/>
    <w:rsid w:val="00403E58"/>
    <w:rsid w:val="004046D1"/>
    <w:rsid w:val="0040596A"/>
    <w:rsid w:val="00407C94"/>
    <w:rsid w:val="00412655"/>
    <w:rsid w:val="00427D88"/>
    <w:rsid w:val="00430DCC"/>
    <w:rsid w:val="00431E4C"/>
    <w:rsid w:val="00442451"/>
    <w:rsid w:val="0044314E"/>
    <w:rsid w:val="00451E2F"/>
    <w:rsid w:val="004538F4"/>
    <w:rsid w:val="00457653"/>
    <w:rsid w:val="0045786E"/>
    <w:rsid w:val="004638AF"/>
    <w:rsid w:val="00466861"/>
    <w:rsid w:val="004732F9"/>
    <w:rsid w:val="004754E9"/>
    <w:rsid w:val="00483884"/>
    <w:rsid w:val="00495DFF"/>
    <w:rsid w:val="004978E4"/>
    <w:rsid w:val="004A29B3"/>
    <w:rsid w:val="004B2A3F"/>
    <w:rsid w:val="004B4383"/>
    <w:rsid w:val="004C2778"/>
    <w:rsid w:val="004C634C"/>
    <w:rsid w:val="004C6F80"/>
    <w:rsid w:val="004D665E"/>
    <w:rsid w:val="004D7345"/>
    <w:rsid w:val="004E408D"/>
    <w:rsid w:val="004E40CA"/>
    <w:rsid w:val="004E7C20"/>
    <w:rsid w:val="00501FA7"/>
    <w:rsid w:val="00510BB1"/>
    <w:rsid w:val="00511935"/>
    <w:rsid w:val="00513BB5"/>
    <w:rsid w:val="005146E3"/>
    <w:rsid w:val="00524BE4"/>
    <w:rsid w:val="00531E7B"/>
    <w:rsid w:val="00536442"/>
    <w:rsid w:val="005400CA"/>
    <w:rsid w:val="00541D8C"/>
    <w:rsid w:val="00543700"/>
    <w:rsid w:val="00555A3F"/>
    <w:rsid w:val="00557D76"/>
    <w:rsid w:val="005673FA"/>
    <w:rsid w:val="0057267D"/>
    <w:rsid w:val="00572766"/>
    <w:rsid w:val="005727E9"/>
    <w:rsid w:val="00590BA6"/>
    <w:rsid w:val="005A0DED"/>
    <w:rsid w:val="005A2448"/>
    <w:rsid w:val="005A4140"/>
    <w:rsid w:val="005A4181"/>
    <w:rsid w:val="005A6293"/>
    <w:rsid w:val="005A6B74"/>
    <w:rsid w:val="005B065D"/>
    <w:rsid w:val="005B3225"/>
    <w:rsid w:val="005C2212"/>
    <w:rsid w:val="005D05C3"/>
    <w:rsid w:val="005D117F"/>
    <w:rsid w:val="005D4012"/>
    <w:rsid w:val="005E2365"/>
    <w:rsid w:val="005F54BB"/>
    <w:rsid w:val="005F6B7E"/>
    <w:rsid w:val="006002AD"/>
    <w:rsid w:val="006043C4"/>
    <w:rsid w:val="0060633C"/>
    <w:rsid w:val="006076A7"/>
    <w:rsid w:val="00610BC3"/>
    <w:rsid w:val="006237F6"/>
    <w:rsid w:val="00630CCF"/>
    <w:rsid w:val="00650074"/>
    <w:rsid w:val="0065282C"/>
    <w:rsid w:val="0065311E"/>
    <w:rsid w:val="0065397E"/>
    <w:rsid w:val="0066055E"/>
    <w:rsid w:val="00672825"/>
    <w:rsid w:val="00680153"/>
    <w:rsid w:val="006806DF"/>
    <w:rsid w:val="00694B4A"/>
    <w:rsid w:val="006B1ED8"/>
    <w:rsid w:val="006B6D59"/>
    <w:rsid w:val="006D1F99"/>
    <w:rsid w:val="006D3624"/>
    <w:rsid w:val="006E5D09"/>
    <w:rsid w:val="006E62D9"/>
    <w:rsid w:val="006E7FC6"/>
    <w:rsid w:val="006F07B6"/>
    <w:rsid w:val="00700618"/>
    <w:rsid w:val="007050EB"/>
    <w:rsid w:val="00707CA5"/>
    <w:rsid w:val="0071704A"/>
    <w:rsid w:val="00720173"/>
    <w:rsid w:val="00723D9F"/>
    <w:rsid w:val="007338F3"/>
    <w:rsid w:val="00733DCD"/>
    <w:rsid w:val="00746099"/>
    <w:rsid w:val="00747DA6"/>
    <w:rsid w:val="00755204"/>
    <w:rsid w:val="00762A69"/>
    <w:rsid w:val="00765421"/>
    <w:rsid w:val="00773E29"/>
    <w:rsid w:val="007804CA"/>
    <w:rsid w:val="0078434B"/>
    <w:rsid w:val="007846B6"/>
    <w:rsid w:val="007856B2"/>
    <w:rsid w:val="00786B2D"/>
    <w:rsid w:val="007A05A2"/>
    <w:rsid w:val="007A50F1"/>
    <w:rsid w:val="007A5737"/>
    <w:rsid w:val="007B05B5"/>
    <w:rsid w:val="007B1298"/>
    <w:rsid w:val="007B369A"/>
    <w:rsid w:val="007B3D2A"/>
    <w:rsid w:val="007B710B"/>
    <w:rsid w:val="007C067E"/>
    <w:rsid w:val="007C4D3C"/>
    <w:rsid w:val="007C7562"/>
    <w:rsid w:val="007D04EE"/>
    <w:rsid w:val="007D6811"/>
    <w:rsid w:val="007D69ED"/>
    <w:rsid w:val="007F03D8"/>
    <w:rsid w:val="007F0F7C"/>
    <w:rsid w:val="007F2945"/>
    <w:rsid w:val="007F3B4C"/>
    <w:rsid w:val="007F6A1C"/>
    <w:rsid w:val="00803B60"/>
    <w:rsid w:val="00807C02"/>
    <w:rsid w:val="00810BF8"/>
    <w:rsid w:val="00816335"/>
    <w:rsid w:val="00816AF5"/>
    <w:rsid w:val="00821BFA"/>
    <w:rsid w:val="00833E29"/>
    <w:rsid w:val="00836733"/>
    <w:rsid w:val="00840D62"/>
    <w:rsid w:val="008429FC"/>
    <w:rsid w:val="0084424D"/>
    <w:rsid w:val="008479DD"/>
    <w:rsid w:val="00853EBC"/>
    <w:rsid w:val="008617EF"/>
    <w:rsid w:val="008764D9"/>
    <w:rsid w:val="00880942"/>
    <w:rsid w:val="0088594A"/>
    <w:rsid w:val="00885F37"/>
    <w:rsid w:val="00887109"/>
    <w:rsid w:val="00890DE9"/>
    <w:rsid w:val="00893D52"/>
    <w:rsid w:val="008A4E65"/>
    <w:rsid w:val="008A7FAA"/>
    <w:rsid w:val="008C3DFE"/>
    <w:rsid w:val="008C4831"/>
    <w:rsid w:val="008C76CF"/>
    <w:rsid w:val="008D0588"/>
    <w:rsid w:val="008D1E97"/>
    <w:rsid w:val="008E3D93"/>
    <w:rsid w:val="008E50D5"/>
    <w:rsid w:val="008E6760"/>
    <w:rsid w:val="008F3119"/>
    <w:rsid w:val="008F3E89"/>
    <w:rsid w:val="008F4C39"/>
    <w:rsid w:val="008F5F0B"/>
    <w:rsid w:val="0090553B"/>
    <w:rsid w:val="00905A85"/>
    <w:rsid w:val="009121C4"/>
    <w:rsid w:val="00915D33"/>
    <w:rsid w:val="0091640A"/>
    <w:rsid w:val="009178B8"/>
    <w:rsid w:val="00920B5D"/>
    <w:rsid w:val="00922283"/>
    <w:rsid w:val="00924C3F"/>
    <w:rsid w:val="0094154D"/>
    <w:rsid w:val="00943F9D"/>
    <w:rsid w:val="00944897"/>
    <w:rsid w:val="00951801"/>
    <w:rsid w:val="00961F4F"/>
    <w:rsid w:val="00970B27"/>
    <w:rsid w:val="00972096"/>
    <w:rsid w:val="00975C93"/>
    <w:rsid w:val="00976FA4"/>
    <w:rsid w:val="00980FB2"/>
    <w:rsid w:val="0098123D"/>
    <w:rsid w:val="00981263"/>
    <w:rsid w:val="009962D9"/>
    <w:rsid w:val="009A041B"/>
    <w:rsid w:val="009A5352"/>
    <w:rsid w:val="009B4447"/>
    <w:rsid w:val="009B51C4"/>
    <w:rsid w:val="009B7399"/>
    <w:rsid w:val="009C2F44"/>
    <w:rsid w:val="009D458C"/>
    <w:rsid w:val="009D6930"/>
    <w:rsid w:val="009D7279"/>
    <w:rsid w:val="009E68FD"/>
    <w:rsid w:val="009E6B11"/>
    <w:rsid w:val="009F4679"/>
    <w:rsid w:val="00A019D7"/>
    <w:rsid w:val="00A030B7"/>
    <w:rsid w:val="00A05635"/>
    <w:rsid w:val="00A25D3E"/>
    <w:rsid w:val="00A300B7"/>
    <w:rsid w:val="00A30C0D"/>
    <w:rsid w:val="00A341BA"/>
    <w:rsid w:val="00A346B4"/>
    <w:rsid w:val="00A37212"/>
    <w:rsid w:val="00A40315"/>
    <w:rsid w:val="00A47E1A"/>
    <w:rsid w:val="00A54A9D"/>
    <w:rsid w:val="00A61C4B"/>
    <w:rsid w:val="00A650D4"/>
    <w:rsid w:val="00A6696C"/>
    <w:rsid w:val="00A756C7"/>
    <w:rsid w:val="00A96E43"/>
    <w:rsid w:val="00A96FBF"/>
    <w:rsid w:val="00AA397C"/>
    <w:rsid w:val="00AB2F1C"/>
    <w:rsid w:val="00AB7F58"/>
    <w:rsid w:val="00AC30A9"/>
    <w:rsid w:val="00AC7BCF"/>
    <w:rsid w:val="00AD5AE6"/>
    <w:rsid w:val="00AE1F47"/>
    <w:rsid w:val="00AE55B7"/>
    <w:rsid w:val="00AF6290"/>
    <w:rsid w:val="00B048C0"/>
    <w:rsid w:val="00B06539"/>
    <w:rsid w:val="00B06729"/>
    <w:rsid w:val="00B1056C"/>
    <w:rsid w:val="00B11CAB"/>
    <w:rsid w:val="00B17112"/>
    <w:rsid w:val="00B3354B"/>
    <w:rsid w:val="00B37FBC"/>
    <w:rsid w:val="00B525B3"/>
    <w:rsid w:val="00B52BCB"/>
    <w:rsid w:val="00B538BF"/>
    <w:rsid w:val="00B53939"/>
    <w:rsid w:val="00B57F52"/>
    <w:rsid w:val="00B71EE6"/>
    <w:rsid w:val="00B726B4"/>
    <w:rsid w:val="00B7490A"/>
    <w:rsid w:val="00B85999"/>
    <w:rsid w:val="00B91897"/>
    <w:rsid w:val="00B92BAA"/>
    <w:rsid w:val="00B948CE"/>
    <w:rsid w:val="00B961B2"/>
    <w:rsid w:val="00BA17B7"/>
    <w:rsid w:val="00BA203C"/>
    <w:rsid w:val="00BA2215"/>
    <w:rsid w:val="00BA392A"/>
    <w:rsid w:val="00BA50A3"/>
    <w:rsid w:val="00BB0FFA"/>
    <w:rsid w:val="00BB5044"/>
    <w:rsid w:val="00BB6B73"/>
    <w:rsid w:val="00BC0C3C"/>
    <w:rsid w:val="00BD218F"/>
    <w:rsid w:val="00BD7448"/>
    <w:rsid w:val="00BE7616"/>
    <w:rsid w:val="00C00D3C"/>
    <w:rsid w:val="00C023C4"/>
    <w:rsid w:val="00C04CCE"/>
    <w:rsid w:val="00C11531"/>
    <w:rsid w:val="00C12BF8"/>
    <w:rsid w:val="00C12C69"/>
    <w:rsid w:val="00C16397"/>
    <w:rsid w:val="00C20410"/>
    <w:rsid w:val="00C365F3"/>
    <w:rsid w:val="00C44FD4"/>
    <w:rsid w:val="00C47246"/>
    <w:rsid w:val="00C74459"/>
    <w:rsid w:val="00C776DB"/>
    <w:rsid w:val="00C77D1C"/>
    <w:rsid w:val="00C836BA"/>
    <w:rsid w:val="00C86907"/>
    <w:rsid w:val="00CB0968"/>
    <w:rsid w:val="00CB77BD"/>
    <w:rsid w:val="00CC034E"/>
    <w:rsid w:val="00CD45D6"/>
    <w:rsid w:val="00CE7464"/>
    <w:rsid w:val="00CF1FC3"/>
    <w:rsid w:val="00CF36F6"/>
    <w:rsid w:val="00CF52F5"/>
    <w:rsid w:val="00CF630C"/>
    <w:rsid w:val="00D06643"/>
    <w:rsid w:val="00D06D92"/>
    <w:rsid w:val="00D0795C"/>
    <w:rsid w:val="00D1166B"/>
    <w:rsid w:val="00D160E9"/>
    <w:rsid w:val="00D22F4D"/>
    <w:rsid w:val="00D35013"/>
    <w:rsid w:val="00D45316"/>
    <w:rsid w:val="00D46D99"/>
    <w:rsid w:val="00D5719E"/>
    <w:rsid w:val="00D60FAC"/>
    <w:rsid w:val="00D62C6C"/>
    <w:rsid w:val="00D735A7"/>
    <w:rsid w:val="00D86718"/>
    <w:rsid w:val="00D92D8C"/>
    <w:rsid w:val="00D934FF"/>
    <w:rsid w:val="00D94377"/>
    <w:rsid w:val="00DA105B"/>
    <w:rsid w:val="00DA4BC3"/>
    <w:rsid w:val="00DB1118"/>
    <w:rsid w:val="00DB18E5"/>
    <w:rsid w:val="00DB1E4C"/>
    <w:rsid w:val="00DB75D6"/>
    <w:rsid w:val="00DC0644"/>
    <w:rsid w:val="00DC2492"/>
    <w:rsid w:val="00DC3D6F"/>
    <w:rsid w:val="00DC4F83"/>
    <w:rsid w:val="00DC5E46"/>
    <w:rsid w:val="00DC7554"/>
    <w:rsid w:val="00DD341F"/>
    <w:rsid w:val="00DD40ED"/>
    <w:rsid w:val="00DD6319"/>
    <w:rsid w:val="00DD6CF1"/>
    <w:rsid w:val="00DE03D2"/>
    <w:rsid w:val="00DE661B"/>
    <w:rsid w:val="00DE6D51"/>
    <w:rsid w:val="00E02B40"/>
    <w:rsid w:val="00E11069"/>
    <w:rsid w:val="00E15B56"/>
    <w:rsid w:val="00E2026D"/>
    <w:rsid w:val="00E21205"/>
    <w:rsid w:val="00E24839"/>
    <w:rsid w:val="00E4612B"/>
    <w:rsid w:val="00E50D30"/>
    <w:rsid w:val="00E52781"/>
    <w:rsid w:val="00E60EDC"/>
    <w:rsid w:val="00E62E4C"/>
    <w:rsid w:val="00E64F59"/>
    <w:rsid w:val="00E6658D"/>
    <w:rsid w:val="00E74D0A"/>
    <w:rsid w:val="00E87EFF"/>
    <w:rsid w:val="00E9000F"/>
    <w:rsid w:val="00E9322E"/>
    <w:rsid w:val="00E974BA"/>
    <w:rsid w:val="00E97BE6"/>
    <w:rsid w:val="00EA1995"/>
    <w:rsid w:val="00EB4E5E"/>
    <w:rsid w:val="00EC4054"/>
    <w:rsid w:val="00ED398C"/>
    <w:rsid w:val="00ED5004"/>
    <w:rsid w:val="00ED730A"/>
    <w:rsid w:val="00EE580C"/>
    <w:rsid w:val="00EF05D2"/>
    <w:rsid w:val="00EF1FB2"/>
    <w:rsid w:val="00F05EA7"/>
    <w:rsid w:val="00F065A0"/>
    <w:rsid w:val="00F069D4"/>
    <w:rsid w:val="00F175D5"/>
    <w:rsid w:val="00F21084"/>
    <w:rsid w:val="00F21DD1"/>
    <w:rsid w:val="00F44795"/>
    <w:rsid w:val="00F50D2D"/>
    <w:rsid w:val="00F51164"/>
    <w:rsid w:val="00F52347"/>
    <w:rsid w:val="00F55F1C"/>
    <w:rsid w:val="00F56FC4"/>
    <w:rsid w:val="00F70319"/>
    <w:rsid w:val="00F70DF1"/>
    <w:rsid w:val="00F72331"/>
    <w:rsid w:val="00F72D1C"/>
    <w:rsid w:val="00F77606"/>
    <w:rsid w:val="00F9128E"/>
    <w:rsid w:val="00F97D3A"/>
    <w:rsid w:val="00FA254C"/>
    <w:rsid w:val="00FA5CD0"/>
    <w:rsid w:val="00FB5A55"/>
    <w:rsid w:val="00FC1F32"/>
    <w:rsid w:val="00FC7A5F"/>
    <w:rsid w:val="00FD0551"/>
    <w:rsid w:val="00FD107F"/>
    <w:rsid w:val="00FD6D21"/>
    <w:rsid w:val="00FF13E7"/>
    <w:rsid w:val="00FF2283"/>
    <w:rsid w:val="00FF4C3C"/>
    <w:rsid w:val="01FF2366"/>
    <w:rsid w:val="02B16311"/>
    <w:rsid w:val="02BD2C26"/>
    <w:rsid w:val="02C501B2"/>
    <w:rsid w:val="03880939"/>
    <w:rsid w:val="03A241C9"/>
    <w:rsid w:val="0408775A"/>
    <w:rsid w:val="054E27FA"/>
    <w:rsid w:val="05F55414"/>
    <w:rsid w:val="07056611"/>
    <w:rsid w:val="08F1563F"/>
    <w:rsid w:val="0A413FA4"/>
    <w:rsid w:val="0A90012D"/>
    <w:rsid w:val="0B855115"/>
    <w:rsid w:val="0BD40F69"/>
    <w:rsid w:val="0C8E6B89"/>
    <w:rsid w:val="11997D58"/>
    <w:rsid w:val="11DC19C3"/>
    <w:rsid w:val="13D36B4D"/>
    <w:rsid w:val="15AA0F54"/>
    <w:rsid w:val="15EB0834"/>
    <w:rsid w:val="1811285F"/>
    <w:rsid w:val="191A7CB6"/>
    <w:rsid w:val="19453EDB"/>
    <w:rsid w:val="19BC0A7B"/>
    <w:rsid w:val="1ABC0FC6"/>
    <w:rsid w:val="1C9E76A5"/>
    <w:rsid w:val="1D620BA0"/>
    <w:rsid w:val="1D6261D0"/>
    <w:rsid w:val="21463165"/>
    <w:rsid w:val="24635C52"/>
    <w:rsid w:val="27EA09D3"/>
    <w:rsid w:val="27FF6AC7"/>
    <w:rsid w:val="28470706"/>
    <w:rsid w:val="2A2C6AAC"/>
    <w:rsid w:val="2A846B58"/>
    <w:rsid w:val="2B920D55"/>
    <w:rsid w:val="2C872AE5"/>
    <w:rsid w:val="2EA414CB"/>
    <w:rsid w:val="2EE30245"/>
    <w:rsid w:val="319F68C2"/>
    <w:rsid w:val="31E265E9"/>
    <w:rsid w:val="32EB1476"/>
    <w:rsid w:val="337E5A61"/>
    <w:rsid w:val="35E13004"/>
    <w:rsid w:val="36323E84"/>
    <w:rsid w:val="365337CF"/>
    <w:rsid w:val="369960B5"/>
    <w:rsid w:val="38A22607"/>
    <w:rsid w:val="395A76E6"/>
    <w:rsid w:val="3A695D27"/>
    <w:rsid w:val="3D5D4D3B"/>
    <w:rsid w:val="3E661EED"/>
    <w:rsid w:val="3FC80830"/>
    <w:rsid w:val="405344B3"/>
    <w:rsid w:val="40674EB6"/>
    <w:rsid w:val="40E85247"/>
    <w:rsid w:val="434A2E1C"/>
    <w:rsid w:val="44A9641B"/>
    <w:rsid w:val="45FE550D"/>
    <w:rsid w:val="46C11EA8"/>
    <w:rsid w:val="4722229F"/>
    <w:rsid w:val="473257E5"/>
    <w:rsid w:val="47443427"/>
    <w:rsid w:val="48662CAB"/>
    <w:rsid w:val="48CB3C89"/>
    <w:rsid w:val="49043898"/>
    <w:rsid w:val="49653F8A"/>
    <w:rsid w:val="4B2934C1"/>
    <w:rsid w:val="4B2A1C61"/>
    <w:rsid w:val="4D910B7E"/>
    <w:rsid w:val="4EAB2E20"/>
    <w:rsid w:val="4EFB61E1"/>
    <w:rsid w:val="4F894A27"/>
    <w:rsid w:val="500A7A3B"/>
    <w:rsid w:val="51415488"/>
    <w:rsid w:val="52391DA6"/>
    <w:rsid w:val="529E1F0D"/>
    <w:rsid w:val="534570F0"/>
    <w:rsid w:val="5485656A"/>
    <w:rsid w:val="56236027"/>
    <w:rsid w:val="572E1597"/>
    <w:rsid w:val="594220AE"/>
    <w:rsid w:val="5AD276B0"/>
    <w:rsid w:val="5C4727FD"/>
    <w:rsid w:val="5D25156E"/>
    <w:rsid w:val="5D4F6922"/>
    <w:rsid w:val="5E5023B7"/>
    <w:rsid w:val="609B00D0"/>
    <w:rsid w:val="61E443CA"/>
    <w:rsid w:val="61E661C0"/>
    <w:rsid w:val="61F03674"/>
    <w:rsid w:val="62647335"/>
    <w:rsid w:val="62B27774"/>
    <w:rsid w:val="645F71E6"/>
    <w:rsid w:val="64A47615"/>
    <w:rsid w:val="64E46F3F"/>
    <w:rsid w:val="661A54A1"/>
    <w:rsid w:val="66B57547"/>
    <w:rsid w:val="66E01703"/>
    <w:rsid w:val="670B4E2F"/>
    <w:rsid w:val="68451CF9"/>
    <w:rsid w:val="6BFE25C4"/>
    <w:rsid w:val="6D8B4CCE"/>
    <w:rsid w:val="6D9C3684"/>
    <w:rsid w:val="6F613D73"/>
    <w:rsid w:val="6FA519E2"/>
    <w:rsid w:val="6FFB6486"/>
    <w:rsid w:val="70DD0A8F"/>
    <w:rsid w:val="712242FB"/>
    <w:rsid w:val="72F60F1E"/>
    <w:rsid w:val="741D42D5"/>
    <w:rsid w:val="76A2279B"/>
    <w:rsid w:val="76AF683D"/>
    <w:rsid w:val="797804D9"/>
    <w:rsid w:val="7C9B4CD8"/>
    <w:rsid w:val="7F2D7B49"/>
    <w:rsid w:val="7F61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qFormat/>
    <w:uiPriority w:val="0"/>
    <w:pPr>
      <w:spacing w:before="180" w:after="180"/>
    </w:pPr>
  </w:style>
  <w:style w:type="paragraph" w:styleId="5">
    <w:name w:val="Balloon Text"/>
    <w:basedOn w:val="1"/>
    <w:link w:val="16"/>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9">
    <w:name w:val="annotation subject"/>
    <w:basedOn w:val="3"/>
    <w:next w:val="3"/>
    <w:link w:val="23"/>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semiHidden/>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character" w:customStyle="1" w:styleId="16">
    <w:name w:val="批注框文本 Char"/>
    <w:basedOn w:val="12"/>
    <w:link w:val="5"/>
    <w:semiHidden/>
    <w:qFormat/>
    <w:uiPriority w:val="99"/>
    <w:rPr>
      <w:rFonts w:ascii="Times New Roman" w:hAnsi="Times New Roman" w:eastAsia="宋体"/>
      <w:sz w:val="18"/>
      <w:szCs w:val="18"/>
    </w:rPr>
  </w:style>
  <w:style w:type="character" w:customStyle="1" w:styleId="17">
    <w:name w:val="页眉 Char"/>
    <w:basedOn w:val="12"/>
    <w:link w:val="7"/>
    <w:qFormat/>
    <w:uiPriority w:val="99"/>
    <w:rPr>
      <w:rFonts w:ascii="Times New Roman" w:hAnsi="Times New Roman" w:eastAsia="宋体"/>
      <w:sz w:val="18"/>
      <w:szCs w:val="18"/>
    </w:rPr>
  </w:style>
  <w:style w:type="character" w:customStyle="1" w:styleId="18">
    <w:name w:val="页脚 Char"/>
    <w:basedOn w:val="12"/>
    <w:link w:val="6"/>
    <w:qFormat/>
    <w:uiPriority w:val="99"/>
    <w:rPr>
      <w:rFonts w:ascii="Times New Roman" w:hAnsi="Times New Roman" w:eastAsia="宋体"/>
      <w:sz w:val="18"/>
      <w:szCs w:val="18"/>
    </w:rPr>
  </w:style>
  <w:style w:type="paragraph" w:styleId="19">
    <w:name w:val="List Paragraph"/>
    <w:basedOn w:val="1"/>
    <w:autoRedefine/>
    <w:qFormat/>
    <w:uiPriority w:val="34"/>
    <w:pPr>
      <w:ind w:firstLine="420" w:firstLineChars="200"/>
    </w:pPr>
    <w:rPr>
      <w:rFonts w:asciiTheme="minorHAnsi" w:hAnsiTheme="minorHAnsi" w:eastAsiaTheme="minorEastAsia"/>
      <w:sz w:val="21"/>
    </w:rPr>
  </w:style>
  <w:style w:type="character" w:customStyle="1" w:styleId="20">
    <w:name w:val="insert-data"/>
    <w:basedOn w:val="12"/>
    <w:autoRedefine/>
    <w:qFormat/>
    <w:uiPriority w:val="0"/>
  </w:style>
  <w:style w:type="paragraph" w:styleId="2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2">
    <w:name w:val="批注文字 Char"/>
    <w:basedOn w:val="12"/>
    <w:link w:val="3"/>
    <w:semiHidden/>
    <w:qFormat/>
    <w:uiPriority w:val="99"/>
    <w:rPr>
      <w:rFonts w:cstheme="minorBidi"/>
      <w:kern w:val="2"/>
      <w:sz w:val="24"/>
      <w:szCs w:val="22"/>
    </w:rPr>
  </w:style>
  <w:style w:type="character" w:customStyle="1" w:styleId="23">
    <w:name w:val="批注主题 Char"/>
    <w:basedOn w:val="22"/>
    <w:link w:val="9"/>
    <w:semiHidden/>
    <w:qFormat/>
    <w:uiPriority w:val="99"/>
    <w:rPr>
      <w:rFonts w:cstheme="minorBidi"/>
      <w:b/>
      <w:bCs/>
      <w:kern w:val="2"/>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8F1C5-AB99-425B-B93F-1E784BE9B773}">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1963</Words>
  <Characters>1995</Characters>
  <Lines>17</Lines>
  <Paragraphs>5</Paragraphs>
  <TotalTime>28</TotalTime>
  <ScaleCrop>false</ScaleCrop>
  <LinksUpToDate>false</LinksUpToDate>
  <CharactersWithSpaces>2062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2026-03-02T10:19:00Z</dcterms:created>
  <dc:creator>荣大-李雷</dc:creator>
  <cp:lastModifiedBy>小美</cp:lastModifiedBy>
  <cp:lastPrinted>2026-05-12T05:09:00Z</cp:lastPrinted>
  <dcterms:modified xsi:type="dcterms:W3CDTF">2026-09-02T02:56:29Z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0592A3EC2ADC41D4A180F9C3C43F7248_13</vt:lpwstr>
  </property>
  <property fmtid="{D5CDD505-2E9C-101B-9397-08002B2CF9AE}" pid="4" name="KSOTemplateDocerSaveRecord">
    <vt:lpwstr>eyJoZGlkIjoiNGEwZTY3MmRhYTQ3OGRlY2ZmODg3ODVlNWNhYzdjOGIiLCJ1c2VySWQiOiIzMDMwODU3MjkifQ==</vt:lpwstr>
  </property>
</Properties>
</file>