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1E946">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b/>
          <w:bCs/>
          <w:kern w:val="2"/>
          <w:sz w:val="28"/>
          <w:szCs w:val="28"/>
        </w:rPr>
      </w:pPr>
      <w:r>
        <w:rPr>
          <w:rFonts w:hint="eastAsia" w:ascii="宋体" w:hAnsi="宋体" w:eastAsia="宋体" w:cs="宋体"/>
          <w:b/>
          <w:bCs/>
          <w:kern w:val="2"/>
          <w:sz w:val="24"/>
          <w:szCs w:val="24"/>
          <w:lang w:val="en-US" w:eastAsia="zh-CN" w:bidi="ar"/>
        </w:rPr>
        <w:t>证券代码：</w:t>
      </w:r>
      <w:r>
        <w:rPr>
          <w:rFonts w:hint="eastAsia" w:ascii="Times New Roman" w:hAnsi="Times New Roman" w:eastAsia="宋体" w:cs="Times New Roman"/>
          <w:b/>
          <w:bCs/>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 xml:space="preserve">688790 </w:t>
      </w:r>
      <w:r>
        <w:rPr>
          <w:rFonts w:hint="eastAsia" w:ascii="Times New Roman" w:hAnsi="Times New Roman" w:eastAsia="宋体" w:cs="Times New Roman"/>
          <w:b/>
          <w:bCs/>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 xml:space="preserve"> </w:t>
      </w:r>
      <w:r>
        <w:rPr>
          <w:rFonts w:hint="eastAsia" w:ascii="Times New Roman" w:hAnsi="Times New Roman" w:eastAsia="宋体" w:cs="Times New Roman"/>
          <w:b/>
          <w:bCs/>
          <w:kern w:val="2"/>
          <w:sz w:val="24"/>
          <w:szCs w:val="24"/>
          <w:lang w:val="en-US" w:eastAsia="zh-CN" w:bidi="ar"/>
        </w:rPr>
        <w:t xml:space="preserve">     </w:t>
      </w:r>
      <w:r>
        <w:rPr>
          <w:rFonts w:hint="default" w:ascii="Times New Roman" w:hAnsi="Times New Roman" w:eastAsia="宋体" w:cs="Times New Roman"/>
          <w:b/>
          <w:bCs/>
          <w:kern w:val="2"/>
          <w:sz w:val="24"/>
          <w:szCs w:val="24"/>
          <w:lang w:val="en-US" w:eastAsia="zh-CN" w:bidi="ar"/>
        </w:rPr>
        <w:t xml:space="preserve"> </w:t>
      </w:r>
      <w:r>
        <w:rPr>
          <w:rFonts w:hint="eastAsia" w:ascii="宋体" w:hAnsi="宋体" w:eastAsia="宋体" w:cs="宋体"/>
          <w:b/>
          <w:bCs/>
          <w:kern w:val="2"/>
          <w:sz w:val="24"/>
          <w:szCs w:val="24"/>
          <w:lang w:val="en-US" w:eastAsia="zh-CN" w:bidi="ar"/>
        </w:rPr>
        <w:t>证券简称：</w:t>
      </w:r>
      <w:r>
        <w:rPr>
          <w:rFonts w:hint="eastAsia" w:ascii="Times New Roman" w:hAnsi="Times New Roman" w:eastAsia="宋体" w:cs="Times New Roman"/>
          <w:b/>
          <w:bCs/>
          <w:kern w:val="2"/>
          <w:sz w:val="24"/>
          <w:szCs w:val="24"/>
          <w:lang w:val="en-US" w:eastAsia="zh-CN" w:bidi="ar"/>
        </w:rPr>
        <w:t xml:space="preserve"> </w:t>
      </w:r>
      <w:r>
        <w:rPr>
          <w:rFonts w:hint="eastAsia" w:ascii="宋体" w:hAnsi="宋体" w:eastAsia="宋体" w:cs="宋体"/>
          <w:b/>
          <w:bCs/>
          <w:kern w:val="2"/>
          <w:sz w:val="24"/>
          <w:szCs w:val="24"/>
          <w:lang w:val="en-US" w:eastAsia="zh-CN" w:bidi="ar"/>
        </w:rPr>
        <w:t>昂瑞微</w:t>
      </w:r>
    </w:p>
    <w:p w14:paraId="5772438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8"/>
          <w:szCs w:val="28"/>
        </w:rPr>
      </w:pPr>
      <w:r>
        <w:rPr>
          <w:rFonts w:hint="eastAsia" w:ascii="宋体" w:hAnsi="宋体" w:eastAsia="宋体" w:cs="宋体"/>
          <w:b/>
          <w:bCs/>
          <w:kern w:val="2"/>
          <w:sz w:val="28"/>
          <w:szCs w:val="28"/>
          <w:lang w:val="en-US" w:eastAsia="zh-CN" w:bidi="ar"/>
        </w:rPr>
        <w:t>北京昂瑞微电子技术股份有限公司</w:t>
      </w:r>
    </w:p>
    <w:p w14:paraId="27A5551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kern w:val="2"/>
          <w:sz w:val="28"/>
          <w:szCs w:val="28"/>
        </w:rPr>
      </w:pPr>
      <w:r>
        <w:rPr>
          <w:rFonts w:hint="eastAsia" w:ascii="宋体" w:hAnsi="宋体" w:eastAsia="宋体" w:cs="宋体"/>
          <w:b/>
          <w:bCs/>
          <w:kern w:val="2"/>
          <w:sz w:val="28"/>
          <w:szCs w:val="28"/>
          <w:lang w:val="en-US" w:eastAsia="zh-CN" w:bidi="ar"/>
        </w:rPr>
        <w:t>投资者关系活动记录表</w:t>
      </w:r>
    </w:p>
    <w:p w14:paraId="63B64804">
      <w:pPr>
        <w:keepNext w:val="0"/>
        <w:keepLines w:val="0"/>
        <w:widowControl w:val="0"/>
        <w:suppressLineNumbers w:val="0"/>
        <w:spacing w:before="0" w:beforeAutospacing="0" w:after="0" w:afterAutospacing="0"/>
        <w:ind w:left="0" w:right="0" w:firstLine="241" w:firstLineChars="100"/>
        <w:jc w:val="both"/>
        <w:rPr>
          <w:rFonts w:hint="default"/>
          <w:b/>
          <w:bCs/>
          <w:szCs w:val="24"/>
          <w:lang w:val="en-US"/>
        </w:rPr>
      </w:pPr>
      <w:r>
        <w:rPr>
          <w:rFonts w:hint="default" w:ascii="Times New Roman" w:hAnsi="Times New Roman" w:eastAsia="宋体" w:cs="Times New Roman"/>
          <w:b/>
          <w:bCs/>
          <w:kern w:val="2"/>
          <w:sz w:val="24"/>
          <w:szCs w:val="24"/>
          <w:lang w:val="en-US" w:eastAsia="zh-CN" w:bidi="ar"/>
        </w:rPr>
        <w:t xml:space="preserve">         </w:t>
      </w:r>
      <w:r>
        <w:rPr>
          <w:rFonts w:hint="eastAsia" w:ascii="Times New Roman" w:hAnsi="Times New Roman" w:eastAsia="宋体" w:cs="Times New Roman"/>
          <w:b/>
          <w:bCs/>
          <w:kern w:val="2"/>
          <w:sz w:val="24"/>
          <w:szCs w:val="24"/>
          <w:lang w:val="en-US" w:eastAsia="zh-CN" w:bidi="ar"/>
        </w:rPr>
        <w:t xml:space="preserve">                                             </w:t>
      </w:r>
      <w:r>
        <w:rPr>
          <w:rFonts w:hint="eastAsia" w:ascii="宋体" w:hAnsi="宋体" w:eastAsia="宋体" w:cs="宋体"/>
          <w:b/>
          <w:bCs/>
          <w:kern w:val="2"/>
          <w:sz w:val="24"/>
          <w:szCs w:val="24"/>
          <w:lang w:val="en-US" w:eastAsia="zh-CN" w:bidi="ar"/>
        </w:rPr>
        <w:t>编号：</w:t>
      </w:r>
      <w:r>
        <w:rPr>
          <w:rFonts w:hint="default" w:ascii="Times New Roman" w:hAnsi="Times New Roman" w:eastAsia="宋体" w:cs="Times New Roman"/>
          <w:b/>
          <w:bCs/>
          <w:kern w:val="2"/>
          <w:sz w:val="24"/>
          <w:szCs w:val="24"/>
          <w:lang w:val="en-US" w:eastAsia="zh-CN" w:bidi="ar"/>
        </w:rPr>
        <w:t>2026-00</w:t>
      </w:r>
      <w:r>
        <w:rPr>
          <w:rFonts w:hint="eastAsia" w:cs="Times New Roman"/>
          <w:b/>
          <w:bCs/>
          <w:kern w:val="2"/>
          <w:sz w:val="24"/>
          <w:szCs w:val="24"/>
          <w:lang w:val="en-US" w:eastAsia="zh-CN" w:bidi="ar"/>
        </w:rPr>
        <w:t>6</w:t>
      </w:r>
    </w:p>
    <w:tbl>
      <w:tblPr>
        <w:tblStyle w:val="10"/>
        <w:tblW w:w="8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6051"/>
      </w:tblGrid>
      <w:tr w14:paraId="13AE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tcPr>
          <w:p w14:paraId="6E82F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p>
          <w:p w14:paraId="169FB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p>
          <w:p w14:paraId="1B944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投资者关系活动</w:t>
            </w:r>
          </w:p>
          <w:p w14:paraId="1F1EB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类别</w:t>
            </w:r>
          </w:p>
        </w:tc>
        <w:tc>
          <w:tcPr>
            <w:tcW w:w="6051" w:type="dxa"/>
          </w:tcPr>
          <w:p w14:paraId="4C19B7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rPr>
              <w:t>☑</w:t>
            </w:r>
            <w:r>
              <w:rPr>
                <w:rFonts w:hint="eastAsia" w:ascii="宋体" w:hAnsi="宋体" w:eastAsia="宋体" w:cs="宋体"/>
                <w:color w:val="auto"/>
                <w:kern w:val="2"/>
                <w:sz w:val="24"/>
                <w:szCs w:val="24"/>
                <w:lang w:val="en-US" w:eastAsia="zh-CN" w:bidi="ar"/>
              </w:rPr>
              <w:t>特定对象调研</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□分析师会议</w:t>
            </w:r>
          </w:p>
          <w:p w14:paraId="197EA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 xml:space="preserve">□媒体采访 </w:t>
            </w:r>
            <w:r>
              <w:rPr>
                <w:rFonts w:hint="eastAsia" w:ascii="宋体" w:hAnsi="宋体" w:eastAsia="宋体" w:cs="Times New Roman"/>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□业绩说明会</w:t>
            </w:r>
          </w:p>
          <w:p w14:paraId="7A364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Times New Roman"/>
                <w:color w:val="auto"/>
                <w:kern w:val="2"/>
                <w:sz w:val="24"/>
                <w:szCs w:val="24"/>
              </w:rPr>
            </w:pPr>
            <w:r>
              <w:rPr>
                <w:rFonts w:hint="eastAsia" w:ascii="宋体" w:hAnsi="宋体" w:eastAsia="宋体" w:cs="宋体"/>
                <w:color w:val="auto"/>
                <w:kern w:val="2"/>
                <w:sz w:val="24"/>
                <w:szCs w:val="24"/>
                <w:lang w:val="en-US" w:eastAsia="zh-CN" w:bidi="ar"/>
              </w:rPr>
              <w:t xml:space="preserve">□新闻发布会 </w:t>
            </w:r>
            <w:r>
              <w:rPr>
                <w:rFonts w:hint="eastAsia" w:ascii="宋体" w:hAnsi="宋体" w:eastAsia="宋体" w:cs="Times New Roman"/>
                <w:color w:val="auto"/>
                <w:kern w:val="2"/>
                <w:sz w:val="24"/>
                <w:szCs w:val="24"/>
                <w:lang w:val="en-US" w:eastAsia="zh-CN" w:bidi="ar"/>
              </w:rPr>
              <w:t xml:space="preserve">     </w:t>
            </w:r>
            <w:r>
              <w:rPr>
                <w:rFonts w:hint="eastAsia" w:ascii="宋体" w:hAnsi="宋体" w:cs="宋体"/>
                <w:color w:val="auto"/>
                <w:kern w:val="2"/>
                <w:sz w:val="24"/>
                <w:szCs w:val="24"/>
                <w:lang w:val="en-US" w:eastAsia="zh-CN" w:bidi="ar"/>
              </w:rPr>
              <w:t>☑</w:t>
            </w:r>
            <w:r>
              <w:rPr>
                <w:rFonts w:hint="eastAsia" w:ascii="宋体" w:hAnsi="宋体" w:eastAsia="宋体" w:cs="宋体"/>
                <w:color w:val="auto"/>
                <w:kern w:val="2"/>
                <w:sz w:val="24"/>
                <w:szCs w:val="24"/>
                <w:lang w:val="en-US" w:eastAsia="zh-CN" w:bidi="ar"/>
              </w:rPr>
              <w:t>路演活动</w:t>
            </w:r>
          </w:p>
          <w:p w14:paraId="017DB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color w:val="auto"/>
                <w:szCs w:val="24"/>
              </w:rPr>
            </w:pPr>
            <w:r>
              <w:rPr>
                <w:rFonts w:hint="eastAsia" w:ascii="宋体" w:hAnsi="宋体" w:eastAsia="宋体" w:cs="宋体"/>
                <w:color w:val="auto"/>
                <w:kern w:val="2"/>
                <w:sz w:val="24"/>
                <w:szCs w:val="24"/>
              </w:rPr>
              <w:t>□现场参观□其他（</w:t>
            </w:r>
            <w:r>
              <w:rPr>
                <w:rFonts w:hint="eastAsia" w:ascii="宋体" w:hAnsi="宋体" w:eastAsia="宋体" w:cs="宋体"/>
                <w:color w:val="auto"/>
                <w:kern w:val="2"/>
                <w:sz w:val="24"/>
                <w:szCs w:val="24"/>
                <w:u w:val="thick"/>
              </w:rPr>
              <w:t>请文字说明其他活动内容</w:t>
            </w:r>
            <w:r>
              <w:rPr>
                <w:rFonts w:hint="eastAsia" w:ascii="宋体" w:hAnsi="宋体" w:eastAsia="宋体" w:cs="宋体"/>
                <w:color w:val="auto"/>
                <w:kern w:val="2"/>
                <w:sz w:val="24"/>
                <w:szCs w:val="24"/>
              </w:rPr>
              <w:t>）</w:t>
            </w:r>
          </w:p>
        </w:tc>
      </w:tr>
      <w:tr w14:paraId="1AFD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2470" w:type="dxa"/>
            <w:vAlign w:val="center"/>
          </w:tcPr>
          <w:p w14:paraId="3DDA29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参与单位名称</w:t>
            </w:r>
          </w:p>
          <w:p w14:paraId="355617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及姓名</w:t>
            </w:r>
          </w:p>
        </w:tc>
        <w:tc>
          <w:tcPr>
            <w:tcW w:w="6051" w:type="dxa"/>
            <w:vAlign w:val="center"/>
          </w:tcPr>
          <w:p w14:paraId="5F048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color w:val="auto"/>
                <w:szCs w:val="24"/>
              </w:rPr>
            </w:pPr>
            <w:r>
              <w:rPr>
                <w:rFonts w:hint="eastAsia"/>
                <w:color w:val="auto"/>
                <w:szCs w:val="24"/>
              </w:rPr>
              <w:t>吉富创业投资股份有限公司、东方富兴（北京）资产管理有限公司、华创证券研究所、中加基金管理有限公司、财达证券股份有限公司、中信证券股份有限公司、众盈基金管理有限公司</w:t>
            </w:r>
          </w:p>
        </w:tc>
      </w:tr>
      <w:tr w14:paraId="7CCA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470" w:type="dxa"/>
            <w:vAlign w:val="center"/>
          </w:tcPr>
          <w:p w14:paraId="0AA5F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时间</w:t>
            </w:r>
          </w:p>
        </w:tc>
        <w:tc>
          <w:tcPr>
            <w:tcW w:w="6051" w:type="dxa"/>
            <w:vAlign w:val="center"/>
          </w:tcPr>
          <w:p w14:paraId="1374B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auto"/>
                <w:szCs w:val="24"/>
              </w:rPr>
            </w:pPr>
            <w:r>
              <w:rPr>
                <w:rFonts w:hint="eastAsia"/>
                <w:color w:val="auto"/>
                <w:szCs w:val="24"/>
              </w:rPr>
              <w:t>2</w:t>
            </w:r>
            <w:r>
              <w:rPr>
                <w:rFonts w:hint="default"/>
                <w:color w:val="auto"/>
                <w:szCs w:val="24"/>
              </w:rPr>
              <w:t>026</w:t>
            </w:r>
            <w:r>
              <w:rPr>
                <w:rFonts w:hint="eastAsia"/>
                <w:color w:val="auto"/>
                <w:szCs w:val="24"/>
              </w:rPr>
              <w:t>年8月</w:t>
            </w:r>
          </w:p>
        </w:tc>
      </w:tr>
      <w:tr w14:paraId="24F1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470" w:type="dxa"/>
            <w:vAlign w:val="center"/>
          </w:tcPr>
          <w:p w14:paraId="3AC08D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地点</w:t>
            </w:r>
          </w:p>
        </w:tc>
        <w:tc>
          <w:tcPr>
            <w:tcW w:w="6051" w:type="dxa"/>
            <w:vAlign w:val="center"/>
          </w:tcPr>
          <w:p w14:paraId="5C98B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auto"/>
                <w:szCs w:val="24"/>
              </w:rPr>
            </w:pPr>
            <w:r>
              <w:rPr>
                <w:rFonts w:hint="eastAsia"/>
                <w:color w:val="auto"/>
                <w:szCs w:val="24"/>
              </w:rPr>
              <w:t>公司会议室</w:t>
            </w:r>
          </w:p>
        </w:tc>
      </w:tr>
      <w:tr w14:paraId="7BF7C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2470" w:type="dxa"/>
            <w:vAlign w:val="center"/>
          </w:tcPr>
          <w:p w14:paraId="61B6C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上市公司接待人员</w:t>
            </w:r>
          </w:p>
        </w:tc>
        <w:tc>
          <w:tcPr>
            <w:tcW w:w="6051" w:type="dxa"/>
            <w:vAlign w:val="center"/>
          </w:tcPr>
          <w:p w14:paraId="52C41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Cs/>
                <w:iCs/>
                <w:color w:val="auto"/>
              </w:rPr>
            </w:pPr>
            <w:r>
              <w:rPr>
                <w:rFonts w:hint="eastAsia"/>
                <w:bCs/>
                <w:iCs/>
                <w:color w:val="auto"/>
              </w:rPr>
              <w:t>财务负责人、时任董事会秘书：张馨瑜</w:t>
            </w:r>
          </w:p>
          <w:p w14:paraId="6E386A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auto"/>
                <w:szCs w:val="24"/>
              </w:rPr>
            </w:pPr>
            <w:r>
              <w:rPr>
                <w:rFonts w:hint="eastAsia"/>
                <w:bCs/>
                <w:iCs/>
                <w:color w:val="auto"/>
              </w:rPr>
              <w:t>董事会秘书：谭影子</w:t>
            </w:r>
          </w:p>
        </w:tc>
      </w:tr>
      <w:tr w14:paraId="42A0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14:paraId="220F9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投资者关系活动主要内容介绍</w:t>
            </w:r>
          </w:p>
        </w:tc>
        <w:tc>
          <w:tcPr>
            <w:tcW w:w="6051" w:type="dxa"/>
          </w:tcPr>
          <w:p w14:paraId="4768EF62">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交流的主要问题及回复</w:t>
            </w:r>
          </w:p>
          <w:p w14:paraId="7895C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（一）华创策略会问答（2026年8月28日）</w:t>
            </w:r>
          </w:p>
          <w:p w14:paraId="5A06FA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1、</w:t>
            </w:r>
            <w:r>
              <w:rPr>
                <w:rFonts w:hint="eastAsia"/>
                <w:b/>
                <w:color w:val="auto"/>
                <w:lang w:val="en-US" w:eastAsia="zh-CN"/>
              </w:rPr>
              <w:t>请介绍</w:t>
            </w:r>
            <w:r>
              <w:rPr>
                <w:rFonts w:hint="eastAsia"/>
                <w:b/>
                <w:color w:val="auto"/>
              </w:rPr>
              <w:t>公司2026年上半年的营业收入及同比变化的主要原因？</w:t>
            </w:r>
          </w:p>
          <w:p w14:paraId="09CA7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2026年上半年，公司实现营业收入77,314.79万元，较上年同期降低8.35%，主要系全球智能手机出货承压、下游备货/提货放缓，传统手机射频收入回落，公司主动收缩部分低毛利、竞争激烈项目。为应对上述影响，公司将持续加强技术储备，拓展市场增长点，一方面，积极拓宽新兴业务赛道，加速手机卫星通信、智能汽车、低空经济等领域产品布局，前瞻性布局新一代通信技术；另一方面，持续助推射频SoC、其他模拟芯片等第二、第三发展曲线，相关产品线收入合计相较2025年上半年同比增长51.24%；同时，加大海外市场拓展力度，以全面提高公司综合竞争力。</w:t>
            </w:r>
          </w:p>
          <w:p w14:paraId="5AFC3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7EF368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2、公司上半年归母净利润扭亏为盈，但扣非净利润仍为负数，二者差异较大的原因是什么？</w:t>
            </w:r>
          </w:p>
          <w:p w14:paraId="563E9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答：2026年上半年，公司归母净利润为15,605.91万元，较上年同期提升19,635.86万元；扣非净利润为-15,034.02万元，较上年同期减少8,927.38万元。二者差异较大的主要原因是公司参与战略配售</w:t>
            </w:r>
            <w:r>
              <w:rPr>
                <w:rFonts w:hint="eastAsia"/>
                <w:bCs/>
                <w:color w:val="auto"/>
                <w:lang w:val="en-US" w:eastAsia="zh-CN"/>
              </w:rPr>
              <w:t>投资</w:t>
            </w:r>
            <w:r>
              <w:rPr>
                <w:rFonts w:hint="eastAsia"/>
                <w:bCs/>
                <w:color w:val="auto"/>
              </w:rPr>
              <w:t>，对应金融资产公允价值变动，</w:t>
            </w:r>
            <w:r>
              <w:rPr>
                <w:rFonts w:hint="eastAsia"/>
                <w:bCs/>
                <w:color w:val="auto"/>
                <w:lang w:val="en-US" w:eastAsia="zh-CN"/>
              </w:rPr>
              <w:t>导致</w:t>
            </w:r>
            <w:r>
              <w:rPr>
                <w:rFonts w:hint="eastAsia"/>
                <w:bCs/>
                <w:color w:val="auto"/>
              </w:rPr>
              <w:t>净利润上升。</w:t>
            </w:r>
          </w:p>
          <w:p w14:paraId="2BDF61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28E90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3、</w:t>
            </w:r>
            <w:r>
              <w:rPr>
                <w:rFonts w:hint="eastAsia"/>
                <w:b/>
                <w:color w:val="auto"/>
                <w:lang w:val="en-US" w:eastAsia="zh-CN"/>
              </w:rPr>
              <w:t>请介绍</w:t>
            </w:r>
            <w:r>
              <w:rPr>
                <w:rFonts w:hint="eastAsia"/>
                <w:b/>
                <w:color w:val="auto"/>
              </w:rPr>
              <w:t>公司上半年综合毛利率</w:t>
            </w:r>
            <w:r>
              <w:rPr>
                <w:rFonts w:hint="eastAsia"/>
                <w:b/>
                <w:color w:val="auto"/>
                <w:lang w:val="en-US" w:eastAsia="zh-CN"/>
              </w:rPr>
              <w:t>的情况</w:t>
            </w:r>
            <w:r>
              <w:rPr>
                <w:rFonts w:hint="eastAsia"/>
                <w:b/>
                <w:color w:val="auto"/>
                <w:lang w:eastAsia="zh-CN"/>
              </w:rPr>
              <w:t>？</w:t>
            </w:r>
          </w:p>
          <w:p w14:paraId="38AA21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w:t>
            </w:r>
            <w:r>
              <w:rPr>
                <w:rFonts w:hint="eastAsia"/>
                <w:bCs/>
                <w:color w:val="auto"/>
                <w:lang w:val="en-US" w:eastAsia="zh-CN"/>
              </w:rPr>
              <w:t>公司近三年综合毛利率均保持在20%以上，</w:t>
            </w:r>
            <w:r>
              <w:rPr>
                <w:rFonts w:hint="eastAsia"/>
                <w:bCs/>
                <w:color w:val="auto"/>
              </w:rPr>
              <w:t>公司2026年上半年综合毛利率为20.14%。未来，公司将继续坚持高集成度模组、定制化研发方向，努力拓展射频SoC等更高毛利业务线，加强成本管理，提升经营稳健性。</w:t>
            </w:r>
          </w:p>
          <w:p w14:paraId="64CDB9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176A9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4、公司上半年的研发投入金额和占营业收入的比例分别是多少，研发方面有什么亮点？</w:t>
            </w:r>
          </w:p>
          <w:p w14:paraId="6E5B4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答：2026年上半年公司研发投入16,319.6</w:t>
            </w:r>
            <w:r>
              <w:rPr>
                <w:rFonts w:hint="eastAsia"/>
                <w:bCs/>
                <w:color w:val="auto"/>
                <w:lang w:val="en-US" w:eastAsia="zh-CN"/>
              </w:rPr>
              <w:t>4</w:t>
            </w:r>
            <w:r>
              <w:rPr>
                <w:rFonts w:hint="eastAsia"/>
                <w:bCs/>
                <w:color w:val="auto"/>
              </w:rPr>
              <w:t>万元，占营业收入比例21.11%。公司注重生产工艺的积累与协同，构建了覆盖CMOS、GaAs、SiGe、SOI等多种工艺的底层技术平台，实现射频前端与射频SoC两大产品线的IP共享与协同研发。2026年，公司积极开展低压氮化镓（GaN）功放技术前瞻预研，重点布局大功率、高频率、高效率相关产品开发，并与国内头部客户开展深度技术合作，持续夯实新一代功率器件技术储备。</w:t>
            </w:r>
          </w:p>
          <w:p w14:paraId="604E4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408DFA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5、请介绍公司射频前端芯片的业务进展？</w:t>
            </w:r>
          </w:p>
          <w:p w14:paraId="3EE08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olor w:val="auto"/>
              </w:rPr>
            </w:pPr>
            <w:r>
              <w:rPr>
                <w:rFonts w:hint="eastAsia" w:cs="Times New Roman"/>
                <w:color w:val="auto"/>
              </w:rPr>
              <w:t>答：公司射频前端领域拥有相对完善的产品矩阵，具备5G终端产品</w:t>
            </w:r>
            <w:r>
              <w:rPr>
                <w:rFonts w:hint="eastAsia" w:cs="Times New Roman"/>
                <w:color w:val="auto"/>
                <w:lang w:val="en-US" w:eastAsia="zh-CN"/>
              </w:rPr>
              <w:t>的</w:t>
            </w:r>
            <w:r>
              <w:rPr>
                <w:rFonts w:hint="eastAsia" w:cs="Times New Roman"/>
                <w:color w:val="auto"/>
              </w:rPr>
              <w:t>全套解决方案。2026年上半年，</w:t>
            </w:r>
            <w:r>
              <w:rPr>
                <w:rFonts w:hint="eastAsia"/>
                <w:color w:val="auto"/>
              </w:rPr>
              <w:t>高集成度的5G Phase8L模组产品</w:t>
            </w:r>
            <w:r>
              <w:rPr>
                <w:rFonts w:hint="eastAsia"/>
                <w:color w:val="auto"/>
                <w:lang w:val="en-US" w:eastAsia="zh-CN"/>
              </w:rPr>
              <w:t>已经</w:t>
            </w:r>
            <w:r>
              <w:rPr>
                <w:rFonts w:hint="eastAsia"/>
                <w:color w:val="auto"/>
              </w:rPr>
              <w:t>顺利在品牌客户规模量产；</w:t>
            </w:r>
            <w:r>
              <w:rPr>
                <w:rFonts w:hint="default"/>
                <w:color w:val="auto"/>
              </w:rPr>
              <w:t>L-DiFEM</w:t>
            </w:r>
            <w:r>
              <w:rPr>
                <w:rFonts w:hint="eastAsia"/>
                <w:color w:val="auto"/>
              </w:rPr>
              <w:t>模组与多家国内外品牌客户定制化开发，已实现量产出货。在手机卫星通信领域，公司支持北斗、天通及卫通三合一卫星通信PA进一步进入规模化量产，支持卫通的高性能LNA产品已导入品牌客户；在低空经济领域，公司开关类、图传FEM、LNA产品持续导入品牌客户核心产品；在车载通信领域，公司多款5G车规级产品已通过AEC-Q100的认证。</w:t>
            </w:r>
          </w:p>
          <w:p w14:paraId="2E549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olor w:val="auto"/>
              </w:rPr>
            </w:pPr>
          </w:p>
          <w:p w14:paraId="3D04B8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6、请介绍公司射频SoC芯片的业务进展及应用场景？</w:t>
            </w:r>
          </w:p>
          <w:p w14:paraId="1FE06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olor w:val="auto"/>
              </w:rPr>
            </w:pPr>
            <w:r>
              <w:rPr>
                <w:rFonts w:hint="eastAsia" w:cs="Times New Roman"/>
                <w:color w:val="auto"/>
              </w:rPr>
              <w:t>答：</w:t>
            </w:r>
            <w:r>
              <w:rPr>
                <w:rFonts w:hint="eastAsia"/>
                <w:color w:val="auto"/>
              </w:rPr>
              <w:t>报告期内射频SoC业务营业收入稳步改善，实现营业收入22,629.39万元，同比增长49.77%。</w:t>
            </w:r>
            <w:r>
              <w:rPr>
                <w:rFonts w:hint="default"/>
                <w:color w:val="auto"/>
              </w:rPr>
              <w:t>公司射频SoC业务聚焦低功耗蓝牙及2.4G私有协议芯片，形成覆盖消费级、专业级的产品矩阵</w:t>
            </w:r>
            <w:r>
              <w:rPr>
                <w:rFonts w:hint="eastAsia" w:cs="Times New Roman"/>
                <w:color w:val="auto"/>
              </w:rPr>
              <w:t>。</w:t>
            </w:r>
            <w:r>
              <w:rPr>
                <w:rFonts w:hint="eastAsia"/>
                <w:color w:val="auto"/>
              </w:rPr>
              <w:t>在消费类市场，公司智能寻物类产品兼容多平台查找生态，实现低延时、多连接，已在头部品牌客户多款终端产品实现量产；在专业类市场，公司通过持续技术积累与客户协作，在健康医疗、物联网、智慧零售等领域实现业绩良好增长。同时，公司搭载高精度测距定位技术的新一代低功耗蓝牙产品已完成开发验证，将进一步丰富公司产品矩阵。</w:t>
            </w:r>
          </w:p>
          <w:p w14:paraId="7197D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olor w:val="auto"/>
              </w:rPr>
            </w:pPr>
          </w:p>
          <w:p w14:paraId="705A4D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7、其他模拟芯片业务线目前处于什么阶段？</w:t>
            </w:r>
          </w:p>
          <w:p w14:paraId="0416E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olor w:val="auto"/>
              </w:rPr>
            </w:pPr>
            <w:r>
              <w:rPr>
                <w:rFonts w:hint="eastAsia" w:cs="Times New Roman"/>
                <w:color w:val="auto"/>
              </w:rPr>
              <w:t>答：</w:t>
            </w:r>
            <w:r>
              <w:rPr>
                <w:rFonts w:hint="default"/>
                <w:color w:val="auto"/>
              </w:rPr>
              <w:t>公司其他模拟芯片以混合信号芯片为核心，业务重点聚焦电池管理、通用电源、射频电源三大产品线</w:t>
            </w:r>
            <w:r>
              <w:rPr>
                <w:rFonts w:hint="eastAsia"/>
                <w:color w:val="auto"/>
              </w:rPr>
              <w:t>，</w:t>
            </w:r>
            <w:r>
              <w:rPr>
                <w:rFonts w:hint="default"/>
                <w:color w:val="auto"/>
              </w:rPr>
              <w:t>产品已成功导入智能终端、无线外设、可穿戴设备、智慧医疗等领域</w:t>
            </w:r>
            <w:r>
              <w:rPr>
                <w:rFonts w:hint="eastAsia" w:cs="Times New Roman"/>
                <w:color w:val="auto"/>
              </w:rPr>
              <w:t>。</w:t>
            </w:r>
            <w:r>
              <w:rPr>
                <w:rFonts w:hint="default"/>
                <w:color w:val="auto"/>
              </w:rPr>
              <w:t>通用电源芯片深度协同品牌客户，为通信</w:t>
            </w:r>
            <w:r>
              <w:rPr>
                <w:rFonts w:hint="eastAsia"/>
                <w:color w:val="auto"/>
              </w:rPr>
              <w:t>、可</w:t>
            </w:r>
            <w:r>
              <w:rPr>
                <w:rFonts w:hint="default"/>
                <w:color w:val="auto"/>
              </w:rPr>
              <w:t>穿戴、医疗等细分场景提供定制化电源管理解决方案</w:t>
            </w:r>
            <w:r>
              <w:rPr>
                <w:rFonts w:hint="eastAsia"/>
                <w:color w:val="auto"/>
              </w:rPr>
              <w:t>，</w:t>
            </w:r>
            <w:r>
              <w:rPr>
                <w:rFonts w:hint="default"/>
                <w:color w:val="auto"/>
              </w:rPr>
              <w:t>为持续放量筑牢基础。电池管理产品不断拓展多行业头部客户</w:t>
            </w:r>
            <w:r>
              <w:rPr>
                <w:rFonts w:hint="eastAsia"/>
                <w:color w:val="auto"/>
              </w:rPr>
              <w:t>矩阵。公司</w:t>
            </w:r>
            <w:r>
              <w:rPr>
                <w:rFonts w:hint="default"/>
                <w:color w:val="auto"/>
              </w:rPr>
              <w:t>基于定制化研发能力，通过持续专注的投入建立技术壁垒，不断提升产品竞争力，拓展其他模拟芯片应用领域，挖掘多元赛道增长潜力。</w:t>
            </w:r>
          </w:p>
          <w:p w14:paraId="494159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70A385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8、公司研发人员队伍情况如何？</w:t>
            </w:r>
          </w:p>
          <w:p w14:paraId="71818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答：2026年上半年，公司研发人员的数量为277人，研发人员数量占公司总人数的比例为51.30%。其中，30岁以下人员占比为41.16%。</w:t>
            </w:r>
            <w:r>
              <w:rPr>
                <w:rFonts w:hint="default"/>
                <w:color w:val="auto"/>
              </w:rPr>
              <w:t>公司坚持以技术</w:t>
            </w:r>
            <w:r>
              <w:rPr>
                <w:rFonts w:hint="eastAsia"/>
                <w:color w:val="auto"/>
              </w:rPr>
              <w:t>创新</w:t>
            </w:r>
            <w:r>
              <w:rPr>
                <w:rFonts w:hint="default"/>
                <w:color w:val="auto"/>
              </w:rPr>
              <w:t>驱动业务增长，持续夯实核心技术自研壁垒，有效激活研发团队创新活力，支撑公司中长期稳健经营与技术迭代升级</w:t>
            </w:r>
            <w:r>
              <w:rPr>
                <w:rFonts w:hint="eastAsia"/>
                <w:color w:val="auto"/>
              </w:rPr>
              <w:t>。</w:t>
            </w:r>
          </w:p>
          <w:p w14:paraId="09BAA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p>
          <w:p w14:paraId="52A842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9、请介绍公司募投项目的</w:t>
            </w:r>
            <w:r>
              <w:rPr>
                <w:rFonts w:hint="eastAsia"/>
                <w:b/>
                <w:color w:val="auto"/>
                <w:lang w:val="en-US" w:eastAsia="zh-CN"/>
              </w:rPr>
              <w:t>情况</w:t>
            </w:r>
            <w:r>
              <w:rPr>
                <w:rFonts w:hint="eastAsia"/>
                <w:b/>
                <w:color w:val="auto"/>
              </w:rPr>
              <w:t>？</w:t>
            </w:r>
          </w:p>
          <w:p w14:paraId="18A32D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答：公司</w:t>
            </w:r>
            <w:r>
              <w:rPr>
                <w:rFonts w:hint="eastAsia"/>
                <w:bCs/>
                <w:color w:val="auto"/>
                <w:lang w:val="en-US" w:eastAsia="zh-CN"/>
              </w:rPr>
              <w:t>有三个</w:t>
            </w:r>
            <w:r>
              <w:rPr>
                <w:rFonts w:hint="eastAsia"/>
                <w:bCs/>
                <w:color w:val="auto"/>
              </w:rPr>
              <w:t>募投项目：</w:t>
            </w:r>
            <w:r>
              <w:rPr>
                <w:rFonts w:hint="default"/>
                <w:bCs/>
                <w:color w:val="auto"/>
              </w:rPr>
              <w:t>一是5G射频前端芯片及模组研发和产业化升级项目，用于开发升级用于手机及可穿戴设备的高集成度、高技术难度射频前端模组及相关分立器件、高可靠性车载通信射频前端模组；二是射频SoC研发及产业化升级项目，用于升级研发低功耗蓝牙芯片、高性能蓝牙音频芯片，以及支持</w:t>
            </w:r>
            <w:r>
              <w:rPr>
                <w:rFonts w:hint="eastAsia"/>
                <w:bCs/>
                <w:color w:val="auto"/>
                <w:u w:val="none"/>
              </w:rPr>
              <w:t>多</w:t>
            </w:r>
            <w:r>
              <w:rPr>
                <w:rFonts w:hint="default"/>
                <w:bCs/>
                <w:color w:val="auto"/>
              </w:rPr>
              <w:t>协议标准的无线物联网多协议芯片；三是总部基地及研发中心建设项目，</w:t>
            </w:r>
            <w:r>
              <w:rPr>
                <w:rFonts w:hint="eastAsia"/>
                <w:bCs/>
                <w:color w:val="auto"/>
              </w:rPr>
              <w:t>涵盖</w:t>
            </w:r>
            <w:r>
              <w:rPr>
                <w:rFonts w:hint="default"/>
                <w:bCs/>
                <w:color w:val="auto"/>
              </w:rPr>
              <w:t>总部基地</w:t>
            </w:r>
            <w:r>
              <w:rPr>
                <w:rFonts w:hint="eastAsia"/>
                <w:bCs/>
                <w:color w:val="auto"/>
              </w:rPr>
              <w:t>、手机</w:t>
            </w:r>
            <w:r>
              <w:rPr>
                <w:rFonts w:hint="default"/>
                <w:bCs/>
                <w:color w:val="auto"/>
              </w:rPr>
              <w:t>卫星通信射频前端芯片、WiFi射频前端模组及基站射频前端芯片等前沿技术研发。</w:t>
            </w:r>
            <w:r>
              <w:rPr>
                <w:rFonts w:hint="eastAsia"/>
                <w:bCs/>
                <w:color w:val="auto"/>
                <w:lang w:val="en-US" w:eastAsia="zh-CN"/>
              </w:rPr>
              <w:t>总体来看，公司募投项目进展稳定。</w:t>
            </w:r>
          </w:p>
          <w:p w14:paraId="1F58FC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206982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10、</w:t>
            </w:r>
            <w:r>
              <w:rPr>
                <w:rFonts w:hint="default"/>
                <w:b/>
                <w:color w:val="auto"/>
              </w:rPr>
              <w:t>公司未来如何展望各业务方向？</w:t>
            </w:r>
          </w:p>
          <w:p w14:paraId="507DA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default"/>
                <w:bCs/>
                <w:color w:val="auto"/>
              </w:rPr>
              <w:t>答：射频前端仍为公司收入主要来源，上半年收入占比69.40%，公司将持续推进L-PAMiD等高</w:t>
            </w:r>
            <w:r>
              <w:rPr>
                <w:rFonts w:hint="eastAsia"/>
                <w:bCs/>
                <w:color w:val="auto"/>
              </w:rPr>
              <w:t>集成度</w:t>
            </w:r>
            <w:r>
              <w:rPr>
                <w:rFonts w:hint="default"/>
                <w:bCs/>
                <w:color w:val="auto"/>
              </w:rPr>
              <w:t>模组迭代升级，加大手机卫星通信、车载通信、商用无人机等新兴领域的导入力度</w:t>
            </w:r>
            <w:r>
              <w:rPr>
                <w:rFonts w:hint="eastAsia"/>
                <w:bCs/>
                <w:color w:val="auto"/>
              </w:rPr>
              <w:t>，前瞻性布局新一代通信技术</w:t>
            </w:r>
            <w:r>
              <w:rPr>
                <w:rFonts w:hint="default"/>
                <w:bCs/>
                <w:color w:val="auto"/>
              </w:rPr>
              <w:t>；射频SoC业务保持较快增长，2026年上半年同比增长49.77%，收入占比提升至29.27%，是公司业务结构持续优化的重要方向；其他模拟芯片围绕电量计、通用电源、射频电源三大产品线，持续推进客户定制化项目导入</w:t>
            </w:r>
            <w:r>
              <w:rPr>
                <w:rFonts w:hint="eastAsia"/>
                <w:bCs/>
                <w:color w:val="auto"/>
              </w:rPr>
              <w:t>，</w:t>
            </w:r>
            <w:r>
              <w:rPr>
                <w:rFonts w:hint="default"/>
                <w:color w:val="auto"/>
              </w:rPr>
              <w:t>挖掘多元赛道增长潜力</w:t>
            </w:r>
            <w:r>
              <w:rPr>
                <w:rFonts w:hint="default"/>
                <w:bCs/>
                <w:color w:val="auto"/>
              </w:rPr>
              <w:t>。</w:t>
            </w:r>
          </w:p>
          <w:p w14:paraId="4F29C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p>
          <w:p w14:paraId="1D298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r>
              <w:rPr>
                <w:rFonts w:hint="eastAsia"/>
                <w:b/>
                <w:color w:val="auto"/>
              </w:rPr>
              <w:t>（二）吉富创投和东方富兴问答</w:t>
            </w:r>
          </w:p>
          <w:p w14:paraId="5F6BB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1、公司产品除了手机之外的布局方向有哪些？</w:t>
            </w:r>
          </w:p>
          <w:p w14:paraId="23A4D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r>
              <w:rPr>
                <w:rFonts w:hint="eastAsia" w:cs="Times New Roman"/>
                <w:color w:val="auto"/>
              </w:rPr>
              <w:t>在手机应用以外，公司重点布局手机卫星通信、智能汽车、低空经济、健康医疗、智能穿戴、智能家居、智能寻物、智能零售、智慧物流等新兴应用场景，抢抓产业发展新机遇。</w:t>
            </w:r>
          </w:p>
          <w:p w14:paraId="26A31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p>
          <w:p w14:paraId="4BE23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2、公司认为当前5G高端的射频前端核心壁垒是什么？</w:t>
            </w:r>
          </w:p>
          <w:p w14:paraId="41FE8A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r>
              <w:rPr>
                <w:rFonts w:hint="eastAsia" w:cs="Times New Roman"/>
                <w:color w:val="auto"/>
              </w:rPr>
              <w:t>答：5G高端射频前端尤其是L-PAMiD等高集成度模组，是射频前端领域技术难度最高、国产化率最低的环节。公司认为其核心壁垒主要体现在两方面：一是高集成度模组化研发能力，公司具备多工艺平台设计能力和长期积累的模组化技术；二是与品牌客户的深度协同壁垒，公司自产品定义阶段即与客户开展联合研发和定制化开发，客户切换供应商的转换成本高、验证周期长，形成了高壁垒的合作关系。</w:t>
            </w:r>
          </w:p>
          <w:p w14:paraId="5C05A1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p>
          <w:p w14:paraId="354C7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3、请介绍公司车载芯片的情况及应用领域？</w:t>
            </w:r>
          </w:p>
          <w:p w14:paraId="3BD4B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Cs/>
                <w:color w:val="auto"/>
              </w:rPr>
            </w:pPr>
            <w:r>
              <w:rPr>
                <w:rFonts w:hint="eastAsia"/>
                <w:bCs/>
                <w:color w:val="auto"/>
              </w:rPr>
              <w:t>答：公司车载相关产品覆盖射频前端和射频SoC两条产品线。射频前端方面，公司5G车规级系列产品已通过AEC-Q100认证，具备-40℃至105℃宽温、高可靠特性，可应用于智能网联/T-Box中的NAD模块、V2X等智驾通信领域，并已和多家Tier1和Tier2的客户深度合作，已在知名车企中应用。射频SoC方面，公司低功耗蓝牙产品可应用于数字钥匙、蓝牙胎压监测、车内互联等场景。目前，车载通信领域占公司营收比例较小。未来公司将进一步聚焦头部客户合作，把握汽车智能化发展趋势，推动车载业务实现更高质量增长。</w:t>
            </w:r>
            <w:bookmarkStart w:id="0" w:name="_GoBack"/>
            <w:bookmarkEnd w:id="0"/>
          </w:p>
          <w:p w14:paraId="4C1413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p>
          <w:p w14:paraId="5A1A7D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4、国内5G渗透率趋于饱和，未来增长机会来自哪里，6G方面是否有布局？</w:t>
            </w:r>
          </w:p>
          <w:p w14:paraId="4676D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r>
              <w:rPr>
                <w:rFonts w:hint="eastAsia"/>
                <w:bCs/>
                <w:color w:val="auto"/>
              </w:rPr>
              <w:t>答：展望未来，全球5G网络持续渗透，射频前端模组化、集成化趋势愈加显著，单机价值量稳步提升。据Yole预测，至2028年，在手机出货量保持平稳的前提下，5G手机渗透率有望提升至80%左右，手机存量的结构调整将为射频前端行业打开一定的增长空间。同时，</w:t>
            </w:r>
            <w:r>
              <w:rPr>
                <w:rFonts w:hint="eastAsia" w:cs="Times New Roman"/>
                <w:color w:val="auto"/>
              </w:rPr>
              <w:t>随着通信频段不断向更高拓展，以及数据密集型应用快速发展，市场对网络带宽与连接能力的要求持续提升。未来，6G将向更高频段、更广覆盖和空天地一体化方向演进，将推动射频前端芯片迎来重大技术变革，同时为行业技术升级和产品创新带来新机遇。但目前6G仍处于标准探索阶段，尚未到商业化应用阶段，公司正在积极跟进新一代通信标准演进，围绕6G做好前沿技术积累。</w:t>
            </w:r>
          </w:p>
          <w:p w14:paraId="2F86B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p>
          <w:p w14:paraId="18FD1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5、公司海外市场拓展情况如何？</w:t>
            </w:r>
          </w:p>
          <w:p w14:paraId="40C02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r>
              <w:rPr>
                <w:rFonts w:hint="eastAsia" w:cs="Times New Roman"/>
                <w:color w:val="auto"/>
              </w:rPr>
              <w:t>答：公司已在海外高端市场取得初步进展，在三星等头部海外品牌客户实现产品导入并实现规模化量产。公司将全面推进国际化战略，扩充专业海外销售与技术支持团队，在核心海外市场设立分支机构，实现本地化服务与快速响应，拓展海外优质品牌客户与渠道合作伙伴，提升公司产品在全球市场的渗透率与覆盖度。</w:t>
            </w:r>
          </w:p>
          <w:p w14:paraId="56D6A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p>
          <w:p w14:paraId="05A32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b/>
                <w:color w:val="auto"/>
              </w:rPr>
            </w:pPr>
            <w:r>
              <w:rPr>
                <w:rFonts w:hint="eastAsia"/>
                <w:b/>
                <w:color w:val="auto"/>
              </w:rPr>
              <w:t>6、公司供应链和产能布局情况如何？上游涨价和AI产能需求对公司有何影响？</w:t>
            </w:r>
          </w:p>
          <w:p w14:paraId="7F036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r>
              <w:rPr>
                <w:rFonts w:hint="eastAsia" w:cs="Times New Roman"/>
                <w:color w:val="auto"/>
              </w:rPr>
              <w:t>答：公司采用Fabless经营模式，专注于集成电路的研发与设计，晶圆制造和封装测试等环节均由境内外知名厂商完成。公司搭建海内外多元供应链体系，与国内外主流晶圆、封测供应商保持长期稳定合作。2026年上半年，AI算力产业高速增长带动行业需求快速扩容，全球半导体产能供给持续偏紧，上游核心原材料价格上行。立足该行业背景，公司将持续深度深化核心供应商战略合作机制，加快推进国产封装材料、基板板材等关键上游物料的国产认证与导入，通过供应链结构优化部分对冲成本波动风险，进一步提升供应链自主可控能力与抗风险韧性。</w:t>
            </w:r>
          </w:p>
          <w:p w14:paraId="52A077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cs="Times New Roman"/>
                <w:color w:val="auto"/>
              </w:rPr>
            </w:pPr>
          </w:p>
        </w:tc>
      </w:tr>
      <w:tr w14:paraId="1400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0" w:type="dxa"/>
            <w:vAlign w:val="center"/>
          </w:tcPr>
          <w:p w14:paraId="55F553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关于本次活动是否涉及应当披露重大信息的说明</w:t>
            </w:r>
          </w:p>
        </w:tc>
        <w:tc>
          <w:tcPr>
            <w:tcW w:w="6051" w:type="dxa"/>
            <w:vAlign w:val="center"/>
          </w:tcPr>
          <w:p w14:paraId="3F860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auto"/>
                <w:szCs w:val="24"/>
              </w:rPr>
            </w:pPr>
            <w:r>
              <w:rPr>
                <w:rFonts w:hint="eastAsia"/>
                <w:bCs/>
                <w:iCs/>
                <w:color w:val="auto"/>
              </w:rPr>
              <w:t>上述活动不涉及应当披露重大信息。</w:t>
            </w:r>
          </w:p>
        </w:tc>
      </w:tr>
      <w:tr w14:paraId="6B61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70" w:type="dxa"/>
            <w:vAlign w:val="center"/>
          </w:tcPr>
          <w:p w14:paraId="40278F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附件清单（如有）</w:t>
            </w:r>
          </w:p>
        </w:tc>
        <w:tc>
          <w:tcPr>
            <w:tcW w:w="6051" w:type="dxa"/>
            <w:vAlign w:val="center"/>
          </w:tcPr>
          <w:p w14:paraId="7AC0C8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auto"/>
                <w:szCs w:val="24"/>
              </w:rPr>
            </w:pPr>
          </w:p>
        </w:tc>
      </w:tr>
      <w:tr w14:paraId="79A0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470" w:type="dxa"/>
            <w:vAlign w:val="center"/>
          </w:tcPr>
          <w:p w14:paraId="35917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b/>
                <w:bCs/>
                <w:color w:val="auto"/>
                <w:szCs w:val="24"/>
              </w:rPr>
            </w:pPr>
            <w:r>
              <w:rPr>
                <w:rFonts w:hint="eastAsia"/>
                <w:b/>
                <w:bCs/>
                <w:color w:val="auto"/>
                <w:szCs w:val="24"/>
              </w:rPr>
              <w:t>日期</w:t>
            </w:r>
          </w:p>
        </w:tc>
        <w:tc>
          <w:tcPr>
            <w:tcW w:w="6051" w:type="dxa"/>
            <w:vAlign w:val="center"/>
          </w:tcPr>
          <w:p w14:paraId="552AC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olor w:val="auto"/>
                <w:szCs w:val="24"/>
              </w:rPr>
            </w:pPr>
            <w:r>
              <w:rPr>
                <w:rFonts w:hint="eastAsia"/>
                <w:color w:val="auto"/>
                <w:szCs w:val="24"/>
              </w:rPr>
              <w:t>2</w:t>
            </w:r>
            <w:r>
              <w:rPr>
                <w:rFonts w:hint="default"/>
                <w:color w:val="auto"/>
                <w:szCs w:val="24"/>
              </w:rPr>
              <w:t>026</w:t>
            </w:r>
            <w:r>
              <w:rPr>
                <w:rFonts w:hint="eastAsia"/>
                <w:color w:val="auto"/>
                <w:szCs w:val="24"/>
              </w:rPr>
              <w:t>年</w:t>
            </w:r>
            <w:r>
              <w:rPr>
                <w:rFonts w:hint="eastAsia"/>
                <w:color w:val="auto"/>
                <w:szCs w:val="24"/>
                <w:lang w:val="en-US" w:eastAsia="zh-CN"/>
              </w:rPr>
              <w:t>9</w:t>
            </w:r>
            <w:r>
              <w:rPr>
                <w:rFonts w:hint="eastAsia"/>
                <w:color w:val="auto"/>
                <w:szCs w:val="24"/>
              </w:rPr>
              <w:t>月1日</w:t>
            </w:r>
          </w:p>
        </w:tc>
      </w:tr>
    </w:tbl>
    <w:p w14:paraId="198A44CA">
      <w:pPr>
        <w:spacing w:line="360" w:lineRule="auto"/>
        <w:rPr>
          <w:sz w:val="28"/>
          <w:szCs w:val="28"/>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72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1BDA00"/>
    <w:multiLevelType w:val="singleLevel"/>
    <w:tmpl w:val="951BDA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F4"/>
    <w:rsid w:val="001141AA"/>
    <w:rsid w:val="00196C14"/>
    <w:rsid w:val="001D006E"/>
    <w:rsid w:val="002B76AB"/>
    <w:rsid w:val="0036682C"/>
    <w:rsid w:val="00383C6F"/>
    <w:rsid w:val="004260DF"/>
    <w:rsid w:val="00533D6F"/>
    <w:rsid w:val="005952D4"/>
    <w:rsid w:val="00697226"/>
    <w:rsid w:val="006C6E58"/>
    <w:rsid w:val="006F248E"/>
    <w:rsid w:val="00970EDE"/>
    <w:rsid w:val="009B6D3A"/>
    <w:rsid w:val="00A543B8"/>
    <w:rsid w:val="00B032FD"/>
    <w:rsid w:val="00B55844"/>
    <w:rsid w:val="00B76610"/>
    <w:rsid w:val="00BF792D"/>
    <w:rsid w:val="00C855CB"/>
    <w:rsid w:val="00D2483E"/>
    <w:rsid w:val="00D955F4"/>
    <w:rsid w:val="00E4054F"/>
    <w:rsid w:val="00E93F58"/>
    <w:rsid w:val="00EC3FA1"/>
    <w:rsid w:val="00F07BF3"/>
    <w:rsid w:val="00FE2A47"/>
    <w:rsid w:val="02216F59"/>
    <w:rsid w:val="034A420F"/>
    <w:rsid w:val="04335C2F"/>
    <w:rsid w:val="052659E5"/>
    <w:rsid w:val="064C13A1"/>
    <w:rsid w:val="06582C75"/>
    <w:rsid w:val="07801F3A"/>
    <w:rsid w:val="079C228C"/>
    <w:rsid w:val="08143940"/>
    <w:rsid w:val="09C766F9"/>
    <w:rsid w:val="0A0855DF"/>
    <w:rsid w:val="0B1B4548"/>
    <w:rsid w:val="0B1B7594"/>
    <w:rsid w:val="0C386DD7"/>
    <w:rsid w:val="0C983840"/>
    <w:rsid w:val="0D961154"/>
    <w:rsid w:val="0DB74A5A"/>
    <w:rsid w:val="0E4449F4"/>
    <w:rsid w:val="0F456CBD"/>
    <w:rsid w:val="124724F0"/>
    <w:rsid w:val="12BD38C9"/>
    <w:rsid w:val="14F25809"/>
    <w:rsid w:val="15742B15"/>
    <w:rsid w:val="17C66727"/>
    <w:rsid w:val="17CE338F"/>
    <w:rsid w:val="18497290"/>
    <w:rsid w:val="18C93A82"/>
    <w:rsid w:val="19795FEF"/>
    <w:rsid w:val="1A361CF4"/>
    <w:rsid w:val="1B352660"/>
    <w:rsid w:val="1BB5209C"/>
    <w:rsid w:val="1C13053F"/>
    <w:rsid w:val="1C1918CE"/>
    <w:rsid w:val="1D8D4321"/>
    <w:rsid w:val="1E8F4FAF"/>
    <w:rsid w:val="2000702C"/>
    <w:rsid w:val="20230F6D"/>
    <w:rsid w:val="215303E2"/>
    <w:rsid w:val="22D0065E"/>
    <w:rsid w:val="2A5E757A"/>
    <w:rsid w:val="2B2D4F98"/>
    <w:rsid w:val="2D016192"/>
    <w:rsid w:val="2EB73749"/>
    <w:rsid w:val="2F083808"/>
    <w:rsid w:val="2F26112F"/>
    <w:rsid w:val="2FBB4372"/>
    <w:rsid w:val="31917C04"/>
    <w:rsid w:val="358D14C5"/>
    <w:rsid w:val="35967409"/>
    <w:rsid w:val="37D84936"/>
    <w:rsid w:val="380E7CCA"/>
    <w:rsid w:val="3A5A03B7"/>
    <w:rsid w:val="3D203D20"/>
    <w:rsid w:val="3D4319F4"/>
    <w:rsid w:val="43DF6026"/>
    <w:rsid w:val="475B41C9"/>
    <w:rsid w:val="47BC11DC"/>
    <w:rsid w:val="491B1CA7"/>
    <w:rsid w:val="4AD131F0"/>
    <w:rsid w:val="4C34332E"/>
    <w:rsid w:val="4D0C6761"/>
    <w:rsid w:val="4D1A2C2C"/>
    <w:rsid w:val="4E5844CD"/>
    <w:rsid w:val="4F3C7335"/>
    <w:rsid w:val="50881D19"/>
    <w:rsid w:val="528B4196"/>
    <w:rsid w:val="541A79B6"/>
    <w:rsid w:val="562260D0"/>
    <w:rsid w:val="5C9C6018"/>
    <w:rsid w:val="5D017AB9"/>
    <w:rsid w:val="5D92714F"/>
    <w:rsid w:val="5DB87770"/>
    <w:rsid w:val="6127199B"/>
    <w:rsid w:val="634D3145"/>
    <w:rsid w:val="67B47231"/>
    <w:rsid w:val="67E92F70"/>
    <w:rsid w:val="67F0485E"/>
    <w:rsid w:val="68806C2D"/>
    <w:rsid w:val="69E77EE2"/>
    <w:rsid w:val="6A543FBE"/>
    <w:rsid w:val="6B3C0634"/>
    <w:rsid w:val="6D237483"/>
    <w:rsid w:val="735E1215"/>
    <w:rsid w:val="74BD4538"/>
    <w:rsid w:val="76C07AF1"/>
    <w:rsid w:val="77FD0DF6"/>
    <w:rsid w:val="782D3D3A"/>
    <w:rsid w:val="78A42984"/>
    <w:rsid w:val="79B45D41"/>
    <w:rsid w:val="7B671CD3"/>
    <w:rsid w:val="7B6E5D6D"/>
    <w:rsid w:val="7B7D06A6"/>
    <w:rsid w:val="7EC95D9E"/>
    <w:rsid w:val="7FBB6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4"/>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Times New Roman"/>
      <w:kern w:val="0"/>
      <w:szCs w:val="24"/>
    </w:rPr>
  </w:style>
  <w:style w:type="paragraph" w:styleId="7">
    <w:name w:val="Normal (Web)"/>
    <w:basedOn w:val="1"/>
    <w:semiHidden/>
    <w:unhideWhenUsed/>
    <w:qFormat/>
    <w:uiPriority w:val="99"/>
  </w:style>
  <w:style w:type="paragraph" w:styleId="8">
    <w:name w:val="annotation subject"/>
    <w:basedOn w:val="2"/>
    <w:next w:val="2"/>
    <w:link w:val="18"/>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annotation reference"/>
    <w:basedOn w:val="11"/>
    <w:unhideWhenUsed/>
    <w:qFormat/>
    <w:uiPriority w:val="99"/>
    <w:rPr>
      <w:sz w:val="21"/>
      <w:szCs w:val="21"/>
    </w:rPr>
  </w:style>
  <w:style w:type="character" w:customStyle="1" w:styleId="14">
    <w:name w:val="批注框文本 字符"/>
    <w:basedOn w:val="11"/>
    <w:link w:val="3"/>
    <w:semiHidden/>
    <w:qFormat/>
    <w:uiPriority w:val="99"/>
    <w:rPr>
      <w:rFonts w:ascii="Times New Roman" w:hAnsi="Times New Roman" w:eastAsia="宋体"/>
      <w:sz w:val="18"/>
      <w:szCs w:val="18"/>
    </w:rPr>
  </w:style>
  <w:style w:type="character" w:customStyle="1" w:styleId="15">
    <w:name w:val="页眉 字符"/>
    <w:basedOn w:val="11"/>
    <w:link w:val="5"/>
    <w:qFormat/>
    <w:uiPriority w:val="99"/>
    <w:rPr>
      <w:rFonts w:ascii="Times New Roman" w:hAnsi="Times New Roman" w:eastAsia="宋体"/>
      <w:sz w:val="18"/>
      <w:szCs w:val="18"/>
    </w:rPr>
  </w:style>
  <w:style w:type="character" w:customStyle="1" w:styleId="16">
    <w:name w:val="页脚 字符"/>
    <w:basedOn w:val="11"/>
    <w:link w:val="4"/>
    <w:qFormat/>
    <w:uiPriority w:val="99"/>
    <w:rPr>
      <w:rFonts w:ascii="Times New Roman" w:hAnsi="Times New Roman" w:eastAsia="宋体"/>
      <w:sz w:val="18"/>
      <w:szCs w:val="18"/>
    </w:rPr>
  </w:style>
  <w:style w:type="character" w:customStyle="1" w:styleId="17">
    <w:name w:val="批注文字 字符"/>
    <w:basedOn w:val="11"/>
    <w:link w:val="2"/>
    <w:qFormat/>
    <w:uiPriority w:val="99"/>
    <w:rPr>
      <w:rFonts w:cstheme="minorBidi"/>
      <w:kern w:val="2"/>
      <w:sz w:val="24"/>
      <w:szCs w:val="22"/>
    </w:rPr>
  </w:style>
  <w:style w:type="character" w:customStyle="1" w:styleId="18">
    <w:name w:val="批注主题 字符"/>
    <w:basedOn w:val="17"/>
    <w:link w:val="8"/>
    <w:semiHidden/>
    <w:qFormat/>
    <w:uiPriority w:val="99"/>
    <w:rPr>
      <w:rFonts w:cstheme="minorBidi"/>
      <w:b/>
      <w:bCs/>
      <w:kern w:val="2"/>
      <w:sz w:val="24"/>
      <w:szCs w:val="22"/>
    </w:rPr>
  </w:style>
  <w:style w:type="paragraph" w:customStyle="1" w:styleId="19">
    <w:name w:val="修订1"/>
    <w:hidden/>
    <w:semiHidden/>
    <w:qFormat/>
    <w:uiPriority w:val="99"/>
    <w:rPr>
      <w:rFonts w:ascii="Times New Roman" w:hAnsi="Times New Roman" w:eastAsia="宋体" w:cstheme="minorBidi"/>
      <w:kern w:val="2"/>
      <w:sz w:val="24"/>
      <w:szCs w:val="22"/>
      <w:lang w:val="en-US" w:eastAsia="zh-CN" w:bidi="ar-SA"/>
    </w:rPr>
  </w:style>
  <w:style w:type="paragraph" w:customStyle="1" w:styleId="20">
    <w:name w:val="修订2"/>
    <w:hidden/>
    <w:unhideWhenUsed/>
    <w:qFormat/>
    <w:uiPriority w:val="99"/>
    <w:rPr>
      <w:rFonts w:ascii="Times New Roman" w:hAnsi="Times New Roman" w:eastAsia="宋体" w:cstheme="minorBidi"/>
      <w:kern w:val="2"/>
      <w:sz w:val="24"/>
      <w:szCs w:val="22"/>
      <w:lang w:val="en-US" w:eastAsia="zh-CN" w:bidi="ar-SA"/>
    </w:rPr>
  </w:style>
  <w:style w:type="paragraph" w:customStyle="1" w:styleId="21">
    <w:name w:val="修订3"/>
    <w:hidden/>
    <w:unhideWhenUsed/>
    <w:qFormat/>
    <w:uiPriority w:val="99"/>
    <w:rPr>
      <w:rFonts w:ascii="Times New Roman" w:hAnsi="Times New Roman" w:eastAsia="宋体" w:cstheme="minorBidi"/>
      <w:kern w:val="2"/>
      <w:sz w:val="24"/>
      <w:szCs w:val="22"/>
      <w:lang w:val="en-US" w:eastAsia="zh-CN" w:bidi="ar-SA"/>
    </w:rPr>
  </w:style>
  <w:style w:type="paragraph" w:customStyle="1" w:styleId="22">
    <w:name w:val="修订4"/>
    <w:hidden/>
    <w:unhideWhenUsed/>
    <w:qFormat/>
    <w:uiPriority w:val="99"/>
    <w:rPr>
      <w:rFonts w:ascii="Times New Roman" w:hAnsi="Times New Roman" w:eastAsia="宋体" w:cstheme="minorBidi"/>
      <w:kern w:val="2"/>
      <w:sz w:val="24"/>
      <w:szCs w:val="22"/>
      <w:lang w:val="en-US" w:eastAsia="zh-CN" w:bidi="ar-SA"/>
    </w:rPr>
  </w:style>
  <w:style w:type="paragraph" w:customStyle="1" w:styleId="23">
    <w:name w:val="修订5"/>
    <w:hidden/>
    <w:unhideWhenUsed/>
    <w:qFormat/>
    <w:uiPriority w:val="99"/>
    <w:rPr>
      <w:rFonts w:ascii="Times New Roman" w:hAnsi="Times New Roman" w:eastAsia="宋体" w:cstheme="minorBidi"/>
      <w:kern w:val="2"/>
      <w:sz w:val="24"/>
      <w:szCs w:val="22"/>
      <w:lang w:val="en-US" w:eastAsia="zh-CN" w:bidi="ar-SA"/>
    </w:rPr>
  </w:style>
  <w:style w:type="character" w:customStyle="1" w:styleId="24">
    <w:name w:val="标题 5 Char"/>
    <w:qFormat/>
    <w:uiPriority w:val="9"/>
    <w:rPr>
      <w:b/>
      <w:bCs/>
      <w:kern w:val="2"/>
      <w:sz w:val="21"/>
      <w:szCs w:val="28"/>
    </w:rPr>
  </w:style>
  <w:style w:type="paragraph" w:customStyle="1" w:styleId="25">
    <w:name w:val="Revision"/>
    <w:hidden/>
    <w:unhideWhenUsed/>
    <w:qFormat/>
    <w:uiPriority w:val="99"/>
    <w:rPr>
      <w:rFonts w:ascii="Times New Roman" w:hAnsi="Times New Roman" w:eastAsia="宋体" w:cstheme="minorBidi"/>
      <w:kern w:val="2"/>
      <w:sz w:val="24"/>
      <w:szCs w:val="22"/>
      <w:lang w:val="en-US" w:eastAsia="zh-CN" w:bidi="ar-SA"/>
    </w:rPr>
  </w:style>
</w:styles>
</file>

<file path=word/_rels/document.xml.rels>&#65279;<?xml version="1.0" encoding="utf-8"?><Relationships xmlns="http://schemas.openxmlformats.org/package/2006/relationships"><Relationship Type="http://schemas.openxmlformats.org/officeDocument/2006/relationships/fontTable" Target="fontTable.xml" Id="rId6" /><Relationship Type="http://schemas.openxmlformats.org/officeDocument/2006/relationships/numbering" Target="numbering.xml" Id="rId5" /><Relationship Type="http://schemas.openxmlformats.org/officeDocument/2006/relationships/theme" Target="theme/theme1.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3660</Words>
  <Characters>3962</Characters>
  <Lines>1</Lines>
  <Paragraphs>1</Paragraphs>
  <TotalTime>15</TotalTime>
  <ScaleCrop>false</ScaleCrop>
  <LinksUpToDate>false</LinksUpToDate>
  <CharactersWithSpaces>4071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2026-08-29T11:18:00Z</dcterms:created>
  <dc:creator>荣大-李雷</dc:creator>
  <cp:lastModifiedBy>LiYifan</cp:lastModifiedBy>
  <dcterms:modified xsi:type="dcterms:W3CDTF">2026-09-01T08:42:05Z</dcterms:modified>
  <cp:revision>1</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2052-12.1.0.28043</vt:lpwstr>
  </op:property>
  <op:property fmtid="{D5CDD505-2E9C-101B-9397-08002B2CF9AE}" pid="3" name="ICV">
    <vt:lpwstr>AD3449FE811F464FAB467D3463DA34C3_13</vt:lpwstr>
  </op:property>
  <op:property fmtid="{D5CDD505-2E9C-101B-9397-08002B2CF9AE}" pid="4" name="KSOTemplateDocerSaveRecord">
    <vt:lpwstr>eyJoZGlkIjoiNmRlNWVlYTVlZWY1YzFkZWZlZjE4MGRjMzVkOTAzNDEiLCJ1c2VySWQiOiI2Njc5OTA4NTEifQ==</vt:lpwstr>
  </op:property>
  <op:property fmtid="{D5CDD505-2E9C-101B-9397-08002B2CF9AE}" pid="5" name="_IPGFID">
    <vt:lpwstr>[DocID]=7364E7FA-B6AC-44B8-A7AF-981DAC026463</vt:lpwstr>
  </op:property>
  <op:property fmtid="{D5CDD505-2E9C-101B-9397-08002B2CF9AE}" pid="6" name="_IPGFLOW_P-846A_E-1_FP-1_SP-1_CV-70142AE6_CN-2D7FDE03">
    <vt:lpwstr>x1FI1iKnTISZC5VprRp16YiBUAdV52ALrD1PeH27Rpdac++0tippbaye/MeiYSzjuJgr46Wnz4LzNP2UtBJzzMAm2+juCiYc/MrLOVRft+l9t9NdVqVaCfnrGMNkjLDGXxw7PZXxvDSucRTd7bLTYlf5pZaVXiHF8N/eQsT1TfoMER4F3P/nympIKBwVGbMHaoejmFZktMOweXUQaylhv6KoL5nbinDG7hkj8c7g8O6MhjObFX7+bPvNqdTkhhj</vt:lpwstr>
  </op:property>
  <op:property fmtid="{D5CDD505-2E9C-101B-9397-08002B2CF9AE}" pid="7" name="_IPGFLOW_P-846A_E-1_FP-1_SP-2_CV-4C0E9E94_CN-71D81D49">
    <vt:lpwstr>YNobE7AbOzoo7IP3ORdo0nDTXsajMzFfqAXjUVnf//Z8Xj2FmhMIqB7d0qcqOTIa97XcZ0N3sz83f13Qz/0nq1b7/N8rBFsi/b2HAWoy/hfzRDFz6tYrkLNRqCpRwiz6e</vt:lpwstr>
  </op:property>
  <op:property fmtid="{D5CDD505-2E9C-101B-9397-08002B2CF9AE}" pid="8" name="_IPGFLOW_P-846A_E-0_FP-1_CV-1748F583_CN-7C72998D">
    <vt:lpwstr>DPSPMK|3|384|2|0</vt:lpwstr>
  </op:property>
  <op:property fmtid="{D5CDD505-2E9C-101B-9397-08002B2CF9AE}" pid="9" name="_IPGFLOW_P-846A_E-1_FP-2_SP-1_CV-DA22933A_CN-919DC853">
    <vt:lpwstr>x1FI1iKnTISZC5VprRp16eRdzAAoB8uogNLMt+ZcIzE2VefP5PbMFEVsfTTzXKXJzuP+U8aXXtyHDtqF7nulCm/76IuvTBZGrknOOf+XISP1xdm4yJBF5r+vP+clad2stLiRishBLqbH7Oa9mt54MQE+6xwnDb0cD9423IgSlTAAtS5xU4JCgft/OVzbIiGYro20uXkBn90dCwnyYELHHDm/h5bYSTVvYBDR2Llr5EfOcK19PJUOsXJljD3TyK8</vt:lpwstr>
  </op:property>
  <op:property fmtid="{D5CDD505-2E9C-101B-9397-08002B2CF9AE}" pid="10" name="_IPGFLOW_P-846A_E-1_FP-2_SP-2_CV-F451EBE_CN-3F1C95F6">
    <vt:lpwstr>mzaP1LqaB/S5sLnBMjL/JkilDfxekLZ4tQIT3Wql2QOBl0LDBDpHENQ4I9hfQJSfq4h6B1o7z2VHujO2pAfJ6Fr666vtS2XhZY+Eo4Ds/DQ7PAEEIzjPyPqgErp+vDq8X</vt:lpwstr>
  </op:property>
  <op:property fmtid="{D5CDD505-2E9C-101B-9397-08002B2CF9AE}" pid="11" name="_IPGFLOW_P-846A_E-0_FP-2_CV-1748F583_CN-C1B8F543">
    <vt:lpwstr>DPSPMK|3|384|2|0</vt:lpwstr>
  </op:property>
  <op:property fmtid="{D5CDD505-2E9C-101B-9397-08002B2CF9AE}" pid="12" name="_IPGFLOW_P-846A_E-1_FP-3_SP-1_CV-6A9DF277_CN-637BC603">
    <vt:lpwstr>x1FI1iKnTISZC5VprRp16S+Rhd0HU9hpVcXqLOe0z4xOb1KX5JVP3TWZ7dp4eISU803DBl7VQxb3Gfr386tAVuWr0+V5yoGsPNcQ1qXsdzuAc2YMCWaQ91fQg0su9JrPYz7OC2KgIs0hrJnWtHXStF/mB+XBzf4JsiOxtBg+ETx264XETkcPJ9d3ZRqglTrg5SRoHRVt6echKSLuU67bgQOlEtZN6tBszsZkqDXN1+Crl0ugK2+lgMflMDgWCpl</vt:lpwstr>
  </op:property>
  <op:property fmtid="{D5CDD505-2E9C-101B-9397-08002B2CF9AE}" pid="13" name="_IPGFLOW_P-846A_E-1_FP-3_SP-2_CV-D8DFF8B6_CN-AC90DC54">
    <vt:lpwstr>/blrxAHcPTCBLVsW+Bksl+ANF/b3JLA5jQ4C8mMAKbVSMPflXn4lDgDXLgDogWpIeMk3CPks46UOG3LQU10yrWLUgBfTj3lmKUmBD8NkZrsBymJNeUpaS2wiXBJ2Mt64i</vt:lpwstr>
  </op:property>
  <op:property fmtid="{D5CDD505-2E9C-101B-9397-08002B2CF9AE}" pid="14" name="_IPGFLOW_P-846A_E-0_FP-3_CV-1748F583_CN-1C2E2CC6">
    <vt:lpwstr>DPSPMK|3|384|2|0</vt:lpwstr>
  </op:property>
  <op:property fmtid="{D5CDD505-2E9C-101B-9397-08002B2CF9AE}" pid="15" name="_IPGFLOW_P-846A_E-1_FP-4_SP-1_CV-7CFC6AF_CN-28593090">
    <vt:lpwstr>x1FI1iKnTISZC5VprRp16aCGbHdZg7cXVlr94Wcr82jUoZmcu14n7kjAOnP0CHUjTL9y1JMo7hGPTF9XU89ZR+YQD1y4rCd1G2WYuT5N3bHVs2jxeYrKvk7ZN7nDR7h08JcJq0ZvOlKkANcHwNgNEV47Y+FA6g1L+iorJVKxRJRBj7rZRT70DOuh1XS95ofPpxs80Cls7s7ouDphRTuPO7ElofZuuaARm2ADrLSOD6EYG+CHtIgGHvVQlgGSgpg</vt:lpwstr>
  </op:property>
  <op:property fmtid="{D5CDD505-2E9C-101B-9397-08002B2CF9AE}" pid="16" name="_IPGFLOW_P-846A_E-1_FP-4_SP-2_CV-EBC57F37_CN-A6B409EE">
    <vt:lpwstr>4XWLKogJcoXaw3Qy/FlGbRXsyXmZmGe6B0FXJEKLDrkOUGlD3Jkr/pq+8xx5OR+HojfH+hKMycBgcfBVKkA47pybseMBu3kPmEqfzjjrOQ/h6QccZPWyCq+KHTNn4zK1l</vt:lpwstr>
  </op:property>
  <op:property fmtid="{D5CDD505-2E9C-101B-9397-08002B2CF9AE}" pid="17" name="_IPGFLOW_P-846A_E-0_FP-4_CV-1748F583_CN-615D2A9E">
    <vt:lpwstr>DPSPMK|3|384|2|0</vt:lpwstr>
  </op:property>
  <op:property fmtid="{D5CDD505-2E9C-101B-9397-08002B2CF9AE}" pid="18" name="_IPGFLOW_P-846A_E-1_FP-5_SP-1_CV-7A6750EB_CN-A9E11709">
    <vt:lpwstr>uSlQyGhtTOVA4YD2kaB67vgeU3B4IUqClh5ID54inCSQPGPcntX5xtTG8t7wdoS3ik+MYgyZcOsjK5SyJeNgrHg3X48xIexJZI3SQ0/Yw1g5p62BxE38ocpO/M+blh9lP12sEMpbk/JctYpUgmD8+ea3qPhoEYZ06jEfqFP4C8J47U0HIXFkAE0piiHod1Tfgyyzx9DCB+csOC8ATTb1gtidSKkBH5g4jL286x5tS5o2vOqtTlWr8oUlYNs4PvW</vt:lpwstr>
  </op:property>
  <op:property fmtid="{D5CDD505-2E9C-101B-9397-08002B2CF9AE}" pid="19" name="_IPGFLOW_P-846A_E-1_FP-5_SP-2_CV-2C4ECE8E_CN-1D15B1CD">
    <vt:lpwstr>ioHeNllUeiC0jQCfMGYJVTKCjgvWWs7+0T4z6KUgwlC0Q/aOQr4ZPxsociMkd9YaweVGwSBuEiAXKoGC36l/BrASiOfPLRkFhlv4vKcYAgfZoGpIln+U1ZLRO0Ya84A47</vt:lpwstr>
  </op:property>
  <op:property fmtid="{D5CDD505-2E9C-101B-9397-08002B2CF9AE}" pid="20" name="_IPGFLOW_P-846A_E-0_FP-5_CV-1748F583_CN-BCCBF31B">
    <vt:lpwstr>DPSPMK|3|384|2|0</vt:lpwstr>
  </op:property>
  <op:property fmtid="{D5CDD505-2E9C-101B-9397-08002B2CF9AE}" pid="21" name="_IPGFLOW_P-846A_E-1_FP-6_SP-1_CV-C7A14024_CN-1C062494">
    <vt:lpwstr>IJWzzBypZ5DuXmDIVQneznv7WV5plXJroe3LqMPYMlsTdrm9AgFdypyhKnlvD2aDlisv05WwR1Vfg1mngrMw5YEEMuC8sQRW8Y2u2dE973cojitPKUU++fJ3RFMKvWtgA72o+Lah1qmOtwRVbtKiZuA8HKEJgwrlDrqV4FoYMUetrkX0y9vmNN3GdubfFp1XjJO2QhX4ObKoSuC2SFOMihrXk+/6spK7CrFwj/vhh7kfB7DDS75jvRPZf/tHiPv</vt:lpwstr>
  </op:property>
  <op:property fmtid="{D5CDD505-2E9C-101B-9397-08002B2CF9AE}" pid="22" name="_IPGFLOW_P-846A_E-1_FP-6_SP-2_CV-A88BDA79_CN-BA34D3DB">
    <vt:lpwstr>Ksmsj63VDiI2OucLF/L3NsH2aHTVkQB75aY+9FYq9VtHGFaD5QUU9CnTicIrsml0Sb/jJP/bqr00/qxUuY9n/1JZXTt8IJzSNbjryAzraVcp8Ss24KywZ7LzeAmDi7g9e</vt:lpwstr>
  </op:property>
  <op:property fmtid="{D5CDD505-2E9C-101B-9397-08002B2CF9AE}" pid="23" name="_IPGFLOW_P-846A_E-0_FP-6_CV-1748F583_CN-1019FD5">
    <vt:lpwstr>DPSPMK|3|384|2|0</vt:lpwstr>
  </op:property>
  <op:property fmtid="{D5CDD505-2E9C-101B-9397-08002B2CF9AE}" pid="24" name="_IPGFLOW_P-846A_E-1_FP-7_SP-1_CV-C8740D74_CN-B16A20AE">
    <vt:lpwstr>3EDQ2RijEI8miJbDyzrt0ZAAjz+FkygUbNnKdLywcAm7kDHj2AP6QwOlyMeip5eVCggZ8qvIfeIilxDBssVVLocZkwR8DsDxi/PROiK8YpJ/Kca43KK+p3HGnt/k279bvhzwchiQAlAG7dueN678lISmj8HeeekuJhcPnAyCiETmBIjtw5OnZ80xVaG51NMuJVjDP17gdYA1Gc/f+6tXm3FwEKw7DSv6jprXQVS1Y/bq8/NT+aGEmH14GVWRAwc</vt:lpwstr>
  </op:property>
  <op:property fmtid="{D5CDD505-2E9C-101B-9397-08002B2CF9AE}" pid="25" name="_IPGFLOW_P-846A_E-1_FP-7_SP-2_CV-766AC58D_CN-75CF74AB">
    <vt:lpwstr>X3Okllf4wmUcvaSrNX7aIklvF0Strp/m9qssvUEB81pwZeVKYiyF9dW7IHpbcKBRkaqvw5EqqstGElfRVK7LDvbuGUlyr31zxbasOT/b7vC4pMSrY2IeQEAdyXn3mBkwB</vt:lpwstr>
  </op:property>
  <op:property fmtid="{D5CDD505-2E9C-101B-9397-08002B2CF9AE}" pid="26" name="_IPGFLOW_P-846A_E-0_FP-7_CV-1748F583_CN-DC974650">
    <vt:lpwstr>DPSPMK|3|384|2|0</vt:lpwstr>
  </op:property>
  <op:property fmtid="{D5CDD505-2E9C-101B-9397-08002B2CF9AE}" pid="27" name="_IPGFLOW_P-846A_E-1_FP-8_SP-1_CV-DC115CB1_CN-ADB5FAE8">
    <vt:lpwstr>3EDQ2RijEI8miJbDyzrt0UsQOV7plcsJaK1Qr7ITd49knyX6xiYVBGyv6iQFEhmLSevMRfQNnxdhrN9GMWkjoDmO/m+qwn+OGd06vqaWWCSys7wF7TkNbT5cY7itFtAaKXUQ3rhmH2OPkK6YpdDNBCj/n/0KC2gWXQ5nextjL+R2KxpMhzuWdBIi1g+0ovi7Gg9QUr17qCi8705JyLrSQZjFYHZ/Ifd0hzYJu5idTOVPAGGcPb3oNZAhxAmVgRD</vt:lpwstr>
  </op:property>
  <op:property fmtid="{D5CDD505-2E9C-101B-9397-08002B2CF9AE}" pid="28" name="_IPGFLOW_P-846A_E-1_FP-8_SP-2_CV-BD1F2540_CN-9B8C5F4D">
    <vt:lpwstr>wubfYzEaPBBXnewvcQQdLlwTtCzreL/KmHk/Fv87D1/2JJsyftNMoHymqVx1geGOtuTa8jfiS+8O2s3KDhgLaYmsUahzsnWXit2KcmDjGWXO13JbcfDbDUY/hOJR5e7/7</vt:lpwstr>
  </op:property>
  <op:property fmtid="{D5CDD505-2E9C-101B-9397-08002B2CF9AE}" pid="29" name="_IPGFLOW_P-846A_E-0_FP-8_CV-1748F583_CN-FBE79365">
    <vt:lpwstr>DPSPMK|3|384|2|0</vt:lpwstr>
  </op:property>
  <op:property fmtid="{D5CDD505-2E9C-101B-9397-08002B2CF9AE}" pid="30" name="_IPGFLOW_P-846A_E-1_FP-9_SP-1_CV-1076B95_CN-31C053F2">
    <vt:lpwstr>3EDQ2RijEI8miJbDyzrt0dYIw/bcu/jKJiyWr4phpq/WxQb4Emye10PCeQtL4FCt1cFeL0lCwRTmVAgx1PzswPi4y/VqoJO1zNxWoFvmn5OMuIIDWzM+5kIcUvOy6KNCx6OvTxsDLzk7tOzrnwsTxQLO8IMzRI7XL0NnirVcSqA/JNlOyAyO/eKupNp++3chVDKMVRv7nzF25K3l3iW6zJxXqtHziJEkw2h65Zbnh6ZQqizC7EJqod6Oe2ruoGB</vt:lpwstr>
  </op:property>
  <op:property fmtid="{D5CDD505-2E9C-101B-9397-08002B2CF9AE}" pid="31" name="_IPGFLOW_P-846A_E-1_FP-9_SP-2_CV-E6AE3AB0_CN-DB4F2F3F">
    <vt:lpwstr>lsyxjHN+gxE8/WGeqWKmEUFQqLtdRV2cktkGPogN6Nx23rVVOUoaNsZSGm+qU4Y5ju+UYI3mWp2wAPpifEuYTlNL7Ash3WzKs0rFP6Bs8376ONcCAtRiEhxmzIj3cSiv6</vt:lpwstr>
  </op:property>
  <op:property fmtid="{D5CDD505-2E9C-101B-9397-08002B2CF9AE}" pid="32" name="_IPGFLOW_P-846A_E-0_FP-9_CV-1748F583_CN-26714AE0">
    <vt:lpwstr>DPSPMK|3|384|2|0</vt:lpwstr>
  </op:property>
  <op:property fmtid="{D5CDD505-2E9C-101B-9397-08002B2CF9AE}" pid="33" name="_IPGFLOW_P-846A_E-1_FP-A_SP-1_CV-144A2E24_CN-3EB1BF12">
    <vt:lpwstr>Y/9p/oj5Lhc8qpG6Z2vYj55wtw8STzUlxhaXRqO819pn2z/qhYEZhmNWCzaqdG4PAWRWx7z5yPIcBXDmniXMDvVmLgksTfTEeTpeSFqw2/O6k6hNcDOAMlK863wZe7Dr7E17wXb7wEBQRKnAFvAhkwZXTBeNgiy28AoQOlStecIxzpp+zpMB4GnSFvQdOwykJmxKWWPnWdJZXgyJd08/vgekRrGRlMSztxfveQY79/FGigSGWIBQACHOUri5vqV</vt:lpwstr>
  </op:property>
  <op:property fmtid="{D5CDD505-2E9C-101B-9397-08002B2CF9AE}" pid="34" name="_IPGFLOW_P-846A_E-1_FP-A_SP-2_CV-C260115E_CN-AEAAA070">
    <vt:lpwstr>yaKmSs7swFIDzSH93Y7enpaQ2zozRACJ3QuBmiyBIZ+nsX19fHchOp6qhJz7YclkjRqtPb2Pw6cY1K/L4JAMUVTLKT4vsVr2p0/Ia+aF+OkgPLuf8UjL1fBwfoqmSh2t0</vt:lpwstr>
  </op:property>
  <op:property fmtid="{D5CDD505-2E9C-101B-9397-08002B2CF9AE}" pid="35" name="_IPGFLOW_P-846A_E-0_FP-A_CV-1748F583_CN-C686E509">
    <vt:lpwstr>DPSPMK|3|384|2|0</vt:lpwstr>
  </op:property>
  <op:property fmtid="{D5CDD505-2E9C-101B-9397-08002B2CF9AE}" pid="36" name="_IPGFLOW_P-846A_E-1_FP-B_SP-1_CV-60A916B1_CN-A3A78C98">
    <vt:lpwstr>1ZTFBlLli/+WFBtgA9pFF9pWwj8UwY6fMCShkcLGwottr8JJIatAred02lMTqS+nuRmVqLCqCiOAn4DJIYGn75nXD+OtSVAAJfQ21J65T04JPOsMIS/BO5+KUp7ummDQTlRL7RBZifR6eXBiM6OWP62yTt6SUnOK52IcuMVZih+1eB86HLDjQ0aNDLN8xhqZH6+C/ZGH3mS0ySQh3T4nNWR9LzQVVoR22GI2ttmJaW5qlTx995J/tV7IoaFphim</vt:lpwstr>
  </op:property>
  <op:property fmtid="{D5CDD505-2E9C-101B-9397-08002B2CF9AE}" pid="37" name="_IPGFLOW_P-846A_E-1_FP-B_SP-2_CV-55E4F0DD_CN-258B8817">
    <vt:lpwstr>o2LQCJqyFiAdIjpFk0LoT6kfvZHOtS8Dk26tDIT3Mft86aRFA1Tz3AqHdSewFmRnxwu8xdsMCKRIaMa1F0xyENLNBlyugE1HuZNh5k5Dd3fcq6L6saM+s5yPcaq6eJDz+</vt:lpwstr>
  </op:property>
  <op:property fmtid="{D5CDD505-2E9C-101B-9397-08002B2CF9AE}" pid="38" name="_IPGFLOW_P-846A_E-0_FP-B_CV-1748F583_CN-7B4C89C7">
    <vt:lpwstr>DPSPMK|3|384|2|0</vt:lpwstr>
  </op:property>
  <op:property fmtid="{D5CDD505-2E9C-101B-9397-08002B2CF9AE}" pid="39" name="_IPGFLOW_P-846A_E-1_FP-C_SP-1_CV-B20E202D_CN-16444889">
    <vt:lpwstr>1ZTFBlLli/+WFBtgA9pFF5P1rc74N/lj6NmdAOBdmsoMBiTUAb5Pwv65Uvf0Eps/JtGjOxgAXBw0jNqYJdQL57u6KIdwEz7OW+pKdzechJmjp4IieGDXcFB/CX4WbrK1Ursh+L3zdhqwGry5IhG1+r77OuEYxDf+LzYbpuRazMq4cbt4ORD7cN8yiu1XtDe6QkLtrfcVFkMUmepYE7tYkseYUPUsabxovlrTn7YlVEewqfLY6C4ESXuvv6FJzBp</vt:lpwstr>
  </op:property>
  <op:property fmtid="{D5CDD505-2E9C-101B-9397-08002B2CF9AE}" pid="40" name="_IPGFLOW_P-846A_E-1_FP-C_SP-2_CV-93CDC086_CN-DB72CB89">
    <vt:lpwstr>Dia2YCd0Oon4vSBApVcKOXSu7tsvDjmiTowb3Hu8pBpyjj4tMi2BZmrJYEhNilkKBarDPrzBgAppJUpqcywXs/PXQ27QepTdk4DoVQOle4tb6qyDEChaJ/AkBSVuKp8Ac</vt:lpwstr>
  </op:property>
  <op:property fmtid="{D5CDD505-2E9C-101B-9397-08002B2CF9AE}" pid="41" name="_IPGFLOW_P-846A_E-0_FP-C_CV-1748F583_CN-A6DA5042">
    <vt:lpwstr>DPSPMK|3|384|2|0</vt:lpwstr>
  </op:property>
  <op:property fmtid="{D5CDD505-2E9C-101B-9397-08002B2CF9AE}" pid="42" name="_IPGFLOW_P-846A_E-1_FP-D_SP-1_CV-CD33C9D6_CN-5F42F2B5">
    <vt:lpwstr>1ZTFBlLli/+WFBtgA9pFFxYC6oNnJJzOpnx9lhmLY8bmDeNm4ZOpxLDcOjRRK/B1+GjLewtmxbh2iJYgcBK6M63++d9+9L82JJN/uwjUoKfMNF7tDpRH8MNAtGB5ht6SNZrmiyMqkahFN/rk3kBU8KXR9aRK/GJlDf9ErWwIqQo3uvEYln2qLnE2YWKmcy26rYnX2mDCOtwLUOj1rS/afE6vtAHi0VW1IfqSoIDeB+qBNA18FB+lprtkO2vDtFm</vt:lpwstr>
  </op:property>
  <op:property fmtid="{D5CDD505-2E9C-101B-9397-08002B2CF9AE}" pid="43" name="_IPGFLOW_P-846A_E-1_FP-D_SP-2_CV-402C2B69_CN-6825870D">
    <vt:lpwstr>r0tSjmx8t3TheV1N+2mUYjz4oL4R0JOhCWhDJ5/oWpk5bdSqQtCBMigExdID2p3zMlZXpfKWFZNd/2+ncrieg/UORtPq3+GFzDbk5cmvVqcy9Fhu0uKqZ+SSqKEp4FOJ3</vt:lpwstr>
  </op:property>
  <op:property fmtid="{D5CDD505-2E9C-101B-9397-08002B2CF9AE}" pid="44" name="_IPGFLOW_P-846A_E-0_FP-D_CV-1748F583_CN-DBA9561A">
    <vt:lpwstr>DPSPMK|3|384|2|0</vt:lpwstr>
  </op:property>
  <op:property fmtid="{D5CDD505-2E9C-101B-9397-08002B2CF9AE}" pid="45" name="_IPGFLOW_P-846A_E-1_FP-E_SP-1_CV-539BEFAB_CN-C610E92E">
    <vt:lpwstr>1ZTFBlLli/+WFBtgA9pFF2fup58pw6EjWb4KpHGqgKI9gLgkiAzad8k6hmOpuNloT/st3yqkopJHqcblBnB0reUvnKo9aT2BcnfFP8nvffMRqa7+ImOwA1d5/+4eeaWxs3G2ohW1nqTt0fiirCFW7LmJzeqB2PiRQkemdITFQPoGcW62UTgFFwz1aTTUYCooA6J0lgyui8UTLDKJ9Q7U6pWOm0/ZxhWnu30GifMUNLcQmHKcXpSTVvyqQ+pdcMp</vt:lpwstr>
  </op:property>
  <op:property fmtid="{D5CDD505-2E9C-101B-9397-08002B2CF9AE}" pid="46" name="_IPGFLOW_P-846A_E-1_FP-E_SP-2_CV-9F80DF18_CN-FD388998">
    <vt:lpwstr>o5DNEej9RCpJ/1vhbsUSv+c1b+OpGqctjPY8IizeRVTxza2K1M1XlxXChcaHxJ1d2VlM4fGUvCabiQaqYs6U9Y1cWv0+1m9N2CCsALOmXx12FXYRhlvRZgJM0iMzYD1IF</vt:lpwstr>
  </op:property>
  <op:property fmtid="{D5CDD505-2E9C-101B-9397-08002B2CF9AE}" pid="47" name="_IPGFLOW_P-846A_E-0_FP-E_CV-1748F583_CN-63F8F9F">
    <vt:lpwstr>DPSPMK|3|384|2|0</vt:lpwstr>
  </op:property>
  <op:property fmtid="{D5CDD505-2E9C-101B-9397-08002B2CF9AE}" pid="48" name="_IPGFLOW_P-846A_E-1_FP-F_SP-1_CV-9FE21AEB_CN-C52517B0">
    <vt:lpwstr>1ZTFBlLli/+WFBtgA9pFFx5Hg6sXdVjCMUTvT+y8t/u0a0T8Y1ASNlvj71clULWy/8s9cToUedSmQWCAzQoaPhwGsNXtKOWPrSEgMcq5/JeypL5SauOh68Wib3D3Vu4Z5nAnZENAClCNzR4coiQsSSJ999DvNgTBKrbAY7rcWOSzkFcsoVXrxzcwb6kRFEgVgPjTpTdZ7QU8DrUJKKh7RO7Fbq720xOyPZQPSdLbAf+CYOJh1dZSyJJPliS8yrc</vt:lpwstr>
  </op:property>
  <op:property fmtid="{D5CDD505-2E9C-101B-9397-08002B2CF9AE}" pid="49" name="_IPGFLOW_P-846A_E-1_FP-F_SP-2_CV-B22E42C5_CN-35756604">
    <vt:lpwstr>czqLJSuyciYVJf6mlseTsZMjlBSifzjBl60oYroXCCfchBsQ9xmBiU/heiEf4DXCsudfZ8yv1V+93SQTZxvxHPgnMxvCerOYlZRWm5K7DhvYAmcOSP7EytTI6BYdW9qa4</vt:lpwstr>
  </op:property>
  <op:property fmtid="{D5CDD505-2E9C-101B-9397-08002B2CF9AE}" pid="50" name="_IPGFLOW_P-846A_E-0_FP-F_CV-1748F583_CN-BBF5E351">
    <vt:lpwstr>DPSPMK|3|384|2|0</vt:lpwstr>
  </op:property>
  <op:property fmtid="{D5CDD505-2E9C-101B-9397-08002B2CF9AE}" pid="51" name="_IPGFLOW_P-846A_E-1_FP-10_SP-1_CV-D559B13E_CN-1FE3ABFC">
    <vt:lpwstr>1ZTFBlLli/+WFBtgA9pFFyUP23SzmZP4aK9bASR2WGwsYuTgWiONkv0nNaE11MXTNuRBbV9nvD0mF1BWQCOIBAshSSfG/rntYW4J/Zdu+K/v26kJEUDUDthKpPG5WMZookY2wPKvsWGAZHCH9edV+M80466eCopO//Yu9nw+P1i0XjKzgMae3nvwzGbNU3nqk9wSloqICn0S4y3mQuu3jNZsUVVjEtvIID8ufkzqKpsIgIuqB57/GloG25WJXZ5</vt:lpwstr>
  </op:property>
  <op:property fmtid="{D5CDD505-2E9C-101B-9397-08002B2CF9AE}" pid="52" name="_IPGFLOW_P-846A_E-1_FP-10_SP-2_CV-4A01FE61_CN-80666E53">
    <vt:lpwstr>QjdDepBzZtt2ke30xk+N6YvZEtqFd7Bw8QxpHvC3R2ASwV/KsanbvihiC1X3eJlZOnc6sYi6TA4D938KFQvffoMXJNvj4qhbe0og5YzgN62HEadyXChfrszQTX3T6SNhW</vt:lpwstr>
  </op:property>
  <op:property fmtid="{D5CDD505-2E9C-101B-9397-08002B2CF9AE}" pid="53" name="_IPGFLOW_P-846A_E-0_FP-10_CV-1748F583_CN-11CBC32F">
    <vt:lpwstr>DPSPMK|3|384|2|0</vt:lpwstr>
  </op:property>
  <op:property fmtid="{D5CDD505-2E9C-101B-9397-08002B2CF9AE}" pid="54" name="_IPGFLOW_P-846A_E-1_FP-11_SP-1_CV-4CD797C7_CN-85903B50">
    <vt:lpwstr>1ZTFBlLli/+WFBtgA9pFF0bPk10GhwPHylduTFi0u9kv8oBIIJmWXsTy23Tdwr/5qPaMsi1dleCcaDYTmxBVD31dLjfy4P8cIlwETt62nnmBepqmUHsZpMayJUllG/XqarJFhqDnDjFxXrx++MyjolzQc0PaaNZH0Pbmp2DbVL3SgbmJz530fxnLqWi3gH0puN9hl0xRuggEAAbE0W1wrUpXrenuTAQGCdLeA8BeSyklaQE+xYhNzEgWeU0/Wcj</vt:lpwstr>
  </op:property>
  <op:property fmtid="{D5CDD505-2E9C-101B-9397-08002B2CF9AE}" pid="55" name="_IPGFLOW_P-846A_E-1_FP-11_SP-2_CV-AF29F715_CN-2CC27DE2">
    <vt:lpwstr>Wfj3Ks73SnUMzSa7qzhZ9fx6EMeohONgqMoWP1iGNzlqIZd/IdIUrvJEph4OIwey+OP9xVLmhpvG5fi/hKKYt0CMyhnbTvlvP6Ldbwf6YYDvr+TIE8ig1PWw7ZWZRPM7C</vt:lpwstr>
  </op:property>
  <op:property fmtid="{D5CDD505-2E9C-101B-9397-08002B2CF9AE}" pid="56" name="_IPGFLOW_P-846A_E-0_FP-11_CV-1748F583_CN-CC5D1AAA">
    <vt:lpwstr>DPSPMK|3|384|2|0</vt:lpwstr>
  </op:property>
  <op:property fmtid="{D5CDD505-2E9C-101B-9397-08002B2CF9AE}" pid="57" name="_IPGFLOW_P-846A_E-1_FP-12_SP-1_CV-5B2951C8_CN-B964633E">
    <vt:lpwstr>1ZTFBlLli/+WFBtgA9pFF0jV0evnAu+AFm/QapwI8LOxycJCNo53hhhTOmHRNA3lXsdOxs8TiZpaBhyF6zr0osgKL3dADxee6JB6FaFy6q3zkz5nPhNWphXl84cjyphf7FrG544tewVD+VmolAtYux4WRt0creYNeTbPYTEvgMihhW230WiYIKOat0KqL6ky1xr7cr9t6mreU+1Pmib/smtU5QlWNhixlc0q/WV8BkrFVJKFnZ0GwNOB+0xnOug</vt:lpwstr>
  </op:property>
  <op:property fmtid="{D5CDD505-2E9C-101B-9397-08002B2CF9AE}" pid="58" name="_IPGFLOW_P-846A_E-1_FP-12_SP-2_CV-5C3294D7_CN-8DB610F5">
    <vt:lpwstr>XQAEPH63bipzCnvGtI+osh8txEbatJru9xjKVnvmkknDCGaMQDioDt8EjDW+rEBjgbDuYKRN1OEcIoGxjhCWv0Z7k8RwtUWCw50HmRe8yFMA0+kZb7BujvF/eCb/s4CAy</vt:lpwstr>
  </op:property>
  <op:property fmtid="{D5CDD505-2E9C-101B-9397-08002B2CF9AE}" pid="59" name="_IPGFLOW_P-846A_E-0_FP-12_CV-1748F583_CN-71977664">
    <vt:lpwstr>DPSPMK|3|384|2|0</vt:lpwstr>
  </op:property>
  <op:property fmtid="{D5CDD505-2E9C-101B-9397-08002B2CF9AE}" pid="60" name="_IPGFLOW_P-846A_E-1_FP-13_SP-1_CV-FE13E685_CN-A1607DB4">
    <vt:lpwstr>Df2ExqLTSwv1ik5V9hmtD39M13uC1aMweKXewTBqQFMLv7egzKUR8eCav1cswqoZWG/rDvw9U6xKtkRwpSeZu7ogGkz5nx17QBuN3jYJNR5fXCvk6gU6dJF6M3DJjjHrLXtRHMKZVfm8/iNSAMzGGywzZHYI3kpliO17qlq9W3HYgcNT23fxOffBnuXQOGMiv/hm5Tg0bD2ZIpwW+6L2eBpiTB3IoXlGIem99x7UzswhTx6Rzr9TsQTdVB7bLuq</vt:lpwstr>
  </op:property>
  <op:property fmtid="{D5CDD505-2E9C-101B-9397-08002B2CF9AE}" pid="61" name="_IPGFLOW_P-846A_E-1_FP-13_SP-2_CV-DB7F945_CN-814D63D6">
    <vt:lpwstr>bZ20YzX6SgFjPglb5hDSQnXep8mvl7zliPX21x5T6hXYevynP6n2OMttkv3s9bLW27OBAAn1vGHg4M6FE8l0Oi4S4ZF0HKYtPaVZMHIRZh8wptQ7VAA19OhNjgftva7Yg</vt:lpwstr>
  </op:property>
  <op:property fmtid="{D5CDD505-2E9C-101B-9397-08002B2CF9AE}" pid="62" name="_IPGFLOW_P-846A_E-0_FP-13_CV-1748F583_CN-AC01AFE1">
    <vt:lpwstr>DPSPMK|3|384|2|0</vt:lpwstr>
  </op:property>
  <op:property fmtid="{D5CDD505-2E9C-101B-9397-08002B2CF9AE}" pid="63" name="_IPGFLOW_P-846A_E-1_FP-14_SP-1_CV-2FC83244_CN-FA6947FA">
    <vt:lpwstr>Df2ExqLTSwv1ik5V9hmtD/CYxwIQ85hOMP14c3jrNnqe+3a7c5YeLGfOroMtL9Lv47qh/N4U22XtYZhIklh0Wv6mAh+3BAztBZvOW4Q0XnSDpxAiZxYjIi6D4vNKevBn0ZCm+9GE5hmY3oEEksz07EmZpQsuJ0W5Hq6hkVVBYsSqjxBl3vqXZfLpp3chKF9t0ALEvp42Mbdnw9/FzqxndEEKFQt/viE8RykHL1Z7D3oef8DZGGhpSHafqvmJmrh</vt:lpwstr>
  </op:property>
  <op:property fmtid="{D5CDD505-2E9C-101B-9397-08002B2CF9AE}" pid="64" name="_IPGFLOW_P-846A_E-1_FP-14_SP-2_CV-A4D9CA16_CN-901F86B1">
    <vt:lpwstr>61Nl4d0d6S7XTUSLsbmQZ+euVrNoBkPxWsaKmsdXPzUmjhfNMMNQr9sQXc3vYE2UgvcxMyi1uGxrN+WLTO/wn5n57YehxKn1y843xvBtXfj2ZPTmL7IpYbAHOjtZLcP9k</vt:lpwstr>
  </op:property>
  <op:property fmtid="{D5CDD505-2E9C-101B-9397-08002B2CF9AE}" pid="65" name="_IPGFLOW_P-846A_E-0_FP-14_CV-1748F583_CN-D172A9B9">
    <vt:lpwstr>DPSPMK|3|384|2|0</vt:lpwstr>
  </op:property>
  <op:property fmtid="{D5CDD505-2E9C-101B-9397-08002B2CF9AE}" pid="66" name="_IPGFLOW_P-846A_E-1_FP-15_SP-1_CV-B946556C_CN-D62F8C15">
    <vt:lpwstr>quo38tJ4Yhpti3gbVfmLXmmq63UzkGH+E6ihJLmy3d9omWzM1eXxEPB1qQ4WTqdR3Oqym3lkvnDHLrTTxY2ZM6yYj7cw0lMA4f5Vtaiz/RqOd5ku9+PYyxqXQTC1VEgRzwEughvc9FB96ETjgdKEPgKR1UjYAQmBr1N2VFR1FppM9AeqIibvVyycUnSwfIn+NSkj3S0ZFig9yJ9Cg7auuDmA3gmELmtrUuISpr6dYD+7GdLNrwoap4BNS/IcmWL</vt:lpwstr>
  </op:property>
  <op:property fmtid="{D5CDD505-2E9C-101B-9397-08002B2CF9AE}" pid="67" name="_IPGFLOW_P-846A_E-1_FP-15_SP-2_CV-1D5E36FE_CN-50DAB3BF">
    <vt:lpwstr>vGm09m0i9sWv/E1Jz1AA4IodFcWkiv4Dk2xD+AW4Qv45ocNg/EZ/LlCuhueScCOXVpSI7UaULsuvNRWo5dNomGmlzjUKM6b6+WIJlzPlOczAFqGht9SpKVcr1hlBJqNtW</vt:lpwstr>
  </op:property>
  <op:property fmtid="{D5CDD505-2E9C-101B-9397-08002B2CF9AE}" pid="68" name="_IPGFLOW_P-846A_E-0_FP-15_CV-1748F583_CN-CE4703C">
    <vt:lpwstr>DPSPMK|3|384|2|0</vt:lpwstr>
  </op:property>
  <op:property fmtid="{D5CDD505-2E9C-101B-9397-08002B2CF9AE}" pid="69" name="_IPGFLOW_P-846A_E-1_FP-16_SP-1_CV-8BF6B139_CN-95FAA8AA">
    <vt:lpwstr>quo38tJ4Yhpti3gbVfmLXg9o1ozDpLm1nt3NwnRcekG2Sse2mgIWntcxxKzsLU9mVT8GFNLC/xjIm+sR4Z2Ce/UrXQnhiVjXDE4BwPvHyuW2lz3HJWYmyRteul+F9IoQWGMG7pH89fS9NIv7WHpu/6E+u+B+8sL2aTNsnXGq8h5LbLTqz3w8BR4Dl22BfhBY70CB7sWf/JAJzP/pb/KGnkYaO7tWPtPdVHAtLYp7iD1Qbzej2TmAU7HJo12ejAy</vt:lpwstr>
  </op:property>
  <op:property fmtid="{D5CDD505-2E9C-101B-9397-08002B2CF9AE}" pid="70" name="_IPGFLOW_P-846A_E-1_FP-16_SP-2_CV-2315BC3C_CN-45CD6086">
    <vt:lpwstr>e+IOiVVFJoq0945dpYU/DPGT596pI5q9LSYpuOiuoWKxV6LXa8TRNVL6GnjXTAeFf1WSOxdX2fNr2lnADraI8OGbgfskkrjcVMArtt0UDJ6XXjfo+8dnNyebDStMLw1M0</vt:lpwstr>
  </op:property>
  <op:property fmtid="{D5CDD505-2E9C-101B-9397-08002B2CF9AE}" pid="71" name="_IPGFLOW_P-846A_E-0_FP-16_CV-1748F583_CN-B12E1CF2">
    <vt:lpwstr>DPSPMK|3|384|2|0</vt:lpwstr>
  </op:property>
  <op:property fmtid="{D5CDD505-2E9C-101B-9397-08002B2CF9AE}" pid="72" name="_IPGLAB_P-846A_E-1_CV-9AC18186_CN-4C663017">
    <vt:lpwstr>e7GFVEvA5/XbZ6USpeI+1Y+E7ff8d2FxhxZoIx/hTUo50cCvCcDnf8cFWI882ixwBYwY3kSOKnlMLx9ckcIXOk14sAVh8TJfkfG1jQxdYEM=</vt:lpwstr>
  </op:property>
  <op:property fmtid="{D5CDD505-2E9C-101B-9397-08002B2CF9AE}" pid="73" name="_IPGFLOW_P-846A_E-0_CV-68504664_CN-2A33127A">
    <vt:lpwstr>DPFPMK|3|50|23|0</vt:lpwstr>
  </op:property>
  <op:property fmtid="{D5CDD505-2E9C-101B-9397-08002B2CF9AE}" pid="74" name="_IPGFLOW_P-846A_E-1_FP-17_SP-1_CV-25B61E75_CN-1E9EE8E1">
    <vt:lpwstr>quo38tJ4Yhpti3gbVfmLXpBvsHB6tQLscwzLSnJvsrmakWc5YFkuToErBldQKvQVGrq7JxTieSxixPCS+uZjg+x+3yHJ7FTgWDvuRy0Qk8+e13cmX4IU2Llk6QuzWkMGNErLFl44vZrfsGPCc9/g4fsTq3wfa+Wx4NSI8kKO23fSxPIvwG9X5pdFksWfgFXDmbec2gprg/u7Iq58k3qq8IOp7CwZKbb2qM2fOV+iS6aNXmVw7SGtSA/Q2kkadTc</vt:lpwstr>
  </op:property>
  <op:property fmtid="{D5CDD505-2E9C-101B-9397-08002B2CF9AE}" pid="75" name="_IPGFLOW_P-846A_E-1_FP-17_SP-2_CV-4FC3BF11_CN-91FCC97F">
    <vt:lpwstr>6jXs689cZovXB+sWINShlsSdJ+HjvWN5xuMMBJ/G98yDIFC+coFw5xFsYqJyC3zAk8bxb/7T0wW++nbUrGQeP2BeQXooNOXceul+s5kqNRX5QLzzdgJrXQnRPr9MDkROy</vt:lpwstr>
  </op:property>
  <op:property fmtid="{D5CDD505-2E9C-101B-9397-08002B2CF9AE}" pid="76" name="_IPGFLOW_P-846A_E-0_FP-17_CV-1748F583_CN-6CB8C577">
    <vt:lpwstr>DPSPMK|3|384|2|0</vt:lpwstr>
  </op:property>
</op:Properties>
</file>