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AB85C38">
      <w:pPr>
        <w:spacing w:line="360" w:lineRule="auto"/>
        <w:jc w:val="center"/>
        <w:rPr>
          <w:rFonts w:ascii="Times New Roman" w:hAnsi="Times New Roman" w:eastAsia="宋体" w:cs="Times New Roman"/>
          <w:b/>
          <w:bCs/>
          <w:sz w:val="32"/>
          <w:szCs w:val="32"/>
        </w:rPr>
      </w:pPr>
      <w:r>
        <w:rPr>
          <w:rFonts w:hint="eastAsia" w:ascii="Times New Roman" w:hAnsi="Times New Roman" w:eastAsia="宋体" w:cs="Times New Roman"/>
          <w:b/>
          <w:bCs/>
          <w:sz w:val="32"/>
          <w:szCs w:val="32"/>
        </w:rPr>
        <w:t>浙江蓝特光学股份有限公司</w:t>
      </w:r>
    </w:p>
    <w:p w14:paraId="3A6D7376">
      <w:pPr>
        <w:spacing w:line="360" w:lineRule="auto"/>
        <w:jc w:val="center"/>
        <w:rPr>
          <w:rFonts w:ascii="Times New Roman" w:hAnsi="Times New Roman" w:eastAsia="宋体" w:cs="Times New Roman"/>
          <w:b/>
          <w:bCs/>
          <w:sz w:val="32"/>
          <w:szCs w:val="32"/>
        </w:rPr>
      </w:pPr>
      <w:r>
        <w:rPr>
          <w:rFonts w:ascii="Times New Roman" w:hAnsi="Times New Roman" w:eastAsia="宋体" w:cs="Times New Roman"/>
          <w:b/>
          <w:bCs/>
          <w:sz w:val="32"/>
          <w:szCs w:val="32"/>
        </w:rPr>
        <w:t>投资者关系活动记录表</w:t>
      </w:r>
    </w:p>
    <w:p w14:paraId="743B6215">
      <w:pPr>
        <w:widowControl w:val="0"/>
        <w:autoSpaceDE w:val="0"/>
        <w:autoSpaceDN w:val="0"/>
        <w:spacing w:before="202"/>
        <w:ind w:left="0" w:right="1974"/>
        <w:jc w:val="left"/>
        <w:rPr>
          <w:rFonts w:ascii="宋体" w:hAnsi="宋体" w:eastAsia="宋体" w:cs="宋体"/>
          <w:kern w:val="0"/>
          <w:sz w:val="24"/>
          <w:szCs w:val="24"/>
          <w:lang w:val="zh-CN" w:eastAsia="zh-CN" w:bidi="zh-CN"/>
        </w:rPr>
      </w:pPr>
    </w:p>
    <w:p w14:paraId="4683E6E0">
      <w:pPr>
        <w:widowControl w:val="0"/>
        <w:autoSpaceDE w:val="0"/>
        <w:autoSpaceDN w:val="0"/>
        <w:spacing w:after="156" w:afterLines="50"/>
        <w:ind w:left="0"/>
        <w:jc w:val="left"/>
        <w:rPr>
          <w:rFonts w:hint="default" w:ascii="Times New Roman" w:hAnsi="Times New Roman" w:eastAsia="宋体" w:cs="Times New Roman"/>
          <w:kern w:val="0"/>
          <w:sz w:val="24"/>
          <w:szCs w:val="24"/>
          <w:lang w:val="en-US" w:eastAsia="zh-CN" w:bidi="zh-CN"/>
        </w:rPr>
      </w:pPr>
      <w:r>
        <w:rPr>
          <w:rFonts w:hint="default" w:ascii="Times New Roman" w:hAnsi="Times New Roman" w:eastAsia="宋体" w:cs="Times New Roman"/>
          <w:kern w:val="0"/>
          <w:sz w:val="24"/>
          <w:szCs w:val="24"/>
          <w:lang w:val="zh-CN" w:eastAsia="zh-CN" w:bidi="zh-CN"/>
        </w:rPr>
        <w:t>股票简称：蓝特光学            股票代码：688127            编号：</w:t>
      </w:r>
      <w:r>
        <w:rPr>
          <w:rFonts w:hint="eastAsia" w:ascii="Times New Roman" w:hAnsi="Times New Roman" w:eastAsia="宋体" w:cs="Times New Roman"/>
          <w:kern w:val="0"/>
          <w:sz w:val="24"/>
          <w:szCs w:val="24"/>
          <w:lang w:val="en-US" w:eastAsia="zh-CN" w:bidi="zh-CN"/>
        </w:rPr>
        <w:t>2026090</w:t>
      </w:r>
      <w:r>
        <w:rPr>
          <w:rFonts w:hint="default" w:ascii="Times New Roman" w:hAnsi="Times New Roman" w:eastAsia="宋体" w:cs="Times New Roman"/>
          <w:kern w:val="0"/>
          <w:sz w:val="24"/>
          <w:szCs w:val="24"/>
          <w:lang w:val="en-US" w:eastAsia="zh-CN" w:bidi="zh-CN"/>
        </w:rPr>
        <w:t>3</w:t>
      </w:r>
    </w:p>
    <w:tbl>
      <w:tblPr>
        <w:tblStyle w:val="3"/>
        <w:tblW w:w="8278"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643"/>
        <w:gridCol w:w="6635"/>
      </w:tblGrid>
      <w:tr w14:paraId="5586C4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643" w:type="dxa"/>
            <w:vAlign w:val="center"/>
          </w:tcPr>
          <w:p w14:paraId="70D09258">
            <w:pPr>
              <w:keepNext w:val="0"/>
              <w:keepLines w:val="0"/>
              <w:pageBreakBefore w:val="0"/>
              <w:widowControl w:val="0"/>
              <w:kinsoku/>
              <w:wordWrap w:val="0"/>
              <w:overflowPunct/>
              <w:topLinePunct w:val="0"/>
              <w:autoSpaceDE/>
              <w:autoSpaceDN/>
              <w:bidi w:val="0"/>
              <w:adjustRightInd w:val="0"/>
              <w:snapToGrid/>
              <w:spacing w:line="360" w:lineRule="auto"/>
              <w:jc w:val="left"/>
              <w:textAlignment w:val="auto"/>
              <w:rPr>
                <w:rFonts w:ascii="Times New Roman" w:hAnsi="Times New Roman" w:eastAsia="宋体" w:cs="Times New Roman"/>
                <w:b/>
                <w:szCs w:val="21"/>
                <w:highlight w:val="none"/>
                <w:lang w:bidi="zh-CN"/>
              </w:rPr>
            </w:pPr>
            <w:r>
              <w:rPr>
                <w:rFonts w:ascii="Times New Roman" w:hAnsi="Times New Roman" w:eastAsia="宋体" w:cs="Times New Roman"/>
                <w:b/>
                <w:szCs w:val="21"/>
                <w:highlight w:val="none"/>
                <w:lang w:bidi="zh-CN"/>
              </w:rPr>
              <w:t>投资者关系</w:t>
            </w:r>
          </w:p>
          <w:p w14:paraId="1683CD63">
            <w:pPr>
              <w:keepNext w:val="0"/>
              <w:keepLines w:val="0"/>
              <w:pageBreakBefore w:val="0"/>
              <w:widowControl w:val="0"/>
              <w:kinsoku/>
              <w:wordWrap w:val="0"/>
              <w:overflowPunct/>
              <w:topLinePunct w:val="0"/>
              <w:autoSpaceDE/>
              <w:autoSpaceDN/>
              <w:bidi w:val="0"/>
              <w:adjustRightInd w:val="0"/>
              <w:snapToGrid/>
              <w:spacing w:line="360" w:lineRule="auto"/>
              <w:jc w:val="left"/>
              <w:textAlignment w:val="auto"/>
              <w:rPr>
                <w:rFonts w:ascii="Times New Roman" w:hAnsi="Times New Roman" w:eastAsia="宋体" w:cs="Times New Roman"/>
                <w:szCs w:val="21"/>
                <w:highlight w:val="none"/>
                <w:lang w:bidi="zh-CN"/>
              </w:rPr>
            </w:pPr>
            <w:r>
              <w:rPr>
                <w:rFonts w:ascii="Times New Roman" w:hAnsi="Times New Roman" w:eastAsia="宋体" w:cs="Times New Roman"/>
                <w:b/>
                <w:szCs w:val="21"/>
                <w:highlight w:val="none"/>
                <w:lang w:bidi="zh-CN"/>
              </w:rPr>
              <w:t>活动类别</w:t>
            </w:r>
          </w:p>
        </w:tc>
        <w:tc>
          <w:tcPr>
            <w:tcW w:w="6635" w:type="dxa"/>
            <w:vAlign w:val="center"/>
          </w:tcPr>
          <w:p w14:paraId="0C196807">
            <w:pPr>
              <w:keepNext w:val="0"/>
              <w:keepLines w:val="0"/>
              <w:pageBreakBefore w:val="0"/>
              <w:widowControl w:val="0"/>
              <w:kinsoku/>
              <w:wordWrap w:val="0"/>
              <w:overflowPunct/>
              <w:topLinePunct w:val="0"/>
              <w:autoSpaceDE/>
              <w:autoSpaceDN/>
              <w:bidi w:val="0"/>
              <w:adjustRightInd w:val="0"/>
              <w:snapToGrid/>
              <w:spacing w:line="360" w:lineRule="auto"/>
              <w:jc w:val="both"/>
              <w:textAlignment w:val="auto"/>
              <w:rPr>
                <w:rFonts w:ascii="Times New Roman" w:hAnsi="Times New Roman" w:eastAsia="宋体" w:cs="Times New Roman"/>
                <w:szCs w:val="21"/>
                <w:highlight w:val="none"/>
                <w:lang w:bidi="zh-CN"/>
              </w:rPr>
            </w:pPr>
            <w:r>
              <w:rPr>
                <w:rFonts w:hint="eastAsia" w:ascii="Times New Roman" w:hAnsi="Times New Roman" w:eastAsia="宋体" w:cs="Times New Roman"/>
                <w:sz w:val="24"/>
                <w:szCs w:val="24"/>
                <w:highlight w:val="none"/>
                <w:lang w:bidi="zh-CN"/>
              </w:rPr>
              <w:sym w:font="Wingdings 2" w:char="00A3"/>
            </w:r>
            <w:r>
              <w:rPr>
                <w:rFonts w:ascii="Times New Roman" w:hAnsi="Times New Roman" w:eastAsia="宋体" w:cs="Times New Roman"/>
                <w:szCs w:val="21"/>
                <w:highlight w:val="none"/>
                <w:lang w:bidi="zh-CN"/>
              </w:rPr>
              <w:t xml:space="preserve">特定对象调研      </w:t>
            </w:r>
            <w:r>
              <w:rPr>
                <w:rFonts w:hint="eastAsia" w:ascii="Times New Roman" w:hAnsi="Times New Roman" w:eastAsia="宋体" w:cs="Times New Roman"/>
                <w:sz w:val="24"/>
                <w:szCs w:val="24"/>
                <w:highlight w:val="none"/>
                <w:lang w:bidi="zh-CN"/>
              </w:rPr>
              <w:sym w:font="Wingdings 2" w:char="00A3"/>
            </w:r>
            <w:r>
              <w:rPr>
                <w:rFonts w:ascii="Times New Roman" w:hAnsi="Times New Roman" w:eastAsia="宋体" w:cs="Times New Roman"/>
                <w:szCs w:val="21"/>
                <w:highlight w:val="none"/>
                <w:lang w:bidi="zh-CN"/>
              </w:rPr>
              <w:t xml:space="preserve">分析师会议 </w:t>
            </w:r>
          </w:p>
          <w:p w14:paraId="1C58E91A">
            <w:pPr>
              <w:keepNext w:val="0"/>
              <w:keepLines w:val="0"/>
              <w:pageBreakBefore w:val="0"/>
              <w:widowControl w:val="0"/>
              <w:kinsoku/>
              <w:wordWrap w:val="0"/>
              <w:overflowPunct/>
              <w:topLinePunct w:val="0"/>
              <w:autoSpaceDE/>
              <w:autoSpaceDN/>
              <w:bidi w:val="0"/>
              <w:adjustRightInd w:val="0"/>
              <w:snapToGrid/>
              <w:spacing w:line="360" w:lineRule="auto"/>
              <w:jc w:val="both"/>
              <w:textAlignment w:val="auto"/>
              <w:rPr>
                <w:rFonts w:ascii="Times New Roman" w:hAnsi="Times New Roman" w:eastAsia="宋体" w:cs="Times New Roman"/>
                <w:szCs w:val="21"/>
                <w:highlight w:val="none"/>
                <w:lang w:bidi="zh-CN"/>
              </w:rPr>
            </w:pPr>
            <w:r>
              <w:rPr>
                <w:rFonts w:hint="eastAsia" w:ascii="Times New Roman" w:hAnsi="Times New Roman" w:eastAsia="宋体" w:cs="Times New Roman"/>
                <w:sz w:val="24"/>
                <w:szCs w:val="24"/>
                <w:highlight w:val="none"/>
                <w:lang w:bidi="zh-CN"/>
              </w:rPr>
              <w:t>□</w:t>
            </w:r>
            <w:r>
              <w:rPr>
                <w:rFonts w:ascii="Times New Roman" w:hAnsi="Times New Roman" w:eastAsia="宋体" w:cs="Times New Roman"/>
                <w:szCs w:val="21"/>
                <w:highlight w:val="none"/>
                <w:lang w:bidi="zh-CN"/>
              </w:rPr>
              <w:t xml:space="preserve">媒体采访          </w:t>
            </w:r>
            <w:r>
              <w:rPr>
                <w:rFonts w:hint="eastAsia" w:ascii="Times New Roman" w:hAnsi="Times New Roman" w:eastAsia="宋体" w:cs="Times New Roman"/>
                <w:sz w:val="24"/>
                <w:szCs w:val="24"/>
                <w:highlight w:val="none"/>
                <w:lang w:bidi="zh-CN"/>
              </w:rPr>
              <w:t>□</w:t>
            </w:r>
            <w:r>
              <w:rPr>
                <w:rFonts w:ascii="Times New Roman" w:hAnsi="Times New Roman" w:eastAsia="宋体" w:cs="Times New Roman"/>
                <w:szCs w:val="21"/>
                <w:highlight w:val="none"/>
                <w:lang w:bidi="zh-CN"/>
              </w:rPr>
              <w:t xml:space="preserve">业绩说明会 </w:t>
            </w:r>
          </w:p>
          <w:p w14:paraId="437B085A">
            <w:pPr>
              <w:keepNext w:val="0"/>
              <w:keepLines w:val="0"/>
              <w:pageBreakBefore w:val="0"/>
              <w:widowControl w:val="0"/>
              <w:kinsoku/>
              <w:wordWrap w:val="0"/>
              <w:overflowPunct/>
              <w:topLinePunct w:val="0"/>
              <w:autoSpaceDE/>
              <w:autoSpaceDN/>
              <w:bidi w:val="0"/>
              <w:adjustRightInd w:val="0"/>
              <w:snapToGrid/>
              <w:spacing w:line="360" w:lineRule="auto"/>
              <w:jc w:val="both"/>
              <w:textAlignment w:val="auto"/>
              <w:rPr>
                <w:rFonts w:ascii="Times New Roman" w:hAnsi="Times New Roman" w:eastAsia="宋体" w:cs="Times New Roman"/>
                <w:szCs w:val="21"/>
                <w:highlight w:val="none"/>
                <w:lang w:bidi="zh-CN"/>
              </w:rPr>
            </w:pPr>
            <w:r>
              <w:rPr>
                <w:rFonts w:hint="eastAsia" w:ascii="Times New Roman" w:hAnsi="Times New Roman" w:eastAsia="宋体" w:cs="Times New Roman"/>
                <w:sz w:val="24"/>
                <w:szCs w:val="24"/>
                <w:highlight w:val="none"/>
                <w:lang w:bidi="zh-CN"/>
              </w:rPr>
              <w:t>□</w:t>
            </w:r>
            <w:r>
              <w:rPr>
                <w:rFonts w:ascii="Times New Roman" w:hAnsi="Times New Roman" w:eastAsia="宋体" w:cs="Times New Roman"/>
                <w:szCs w:val="21"/>
                <w:highlight w:val="none"/>
                <w:lang w:bidi="zh-CN"/>
              </w:rPr>
              <w:t xml:space="preserve">新闻发布会        </w:t>
            </w:r>
            <w:r>
              <w:rPr>
                <w:rFonts w:hint="eastAsia" w:ascii="Times New Roman" w:hAnsi="Times New Roman" w:eastAsia="宋体" w:cs="Times New Roman"/>
                <w:sz w:val="24"/>
                <w:szCs w:val="24"/>
                <w:highlight w:val="none"/>
                <w:lang w:bidi="zh-CN"/>
              </w:rPr>
              <w:t>☑</w:t>
            </w:r>
            <w:r>
              <w:rPr>
                <w:rFonts w:ascii="Times New Roman" w:hAnsi="Times New Roman" w:eastAsia="宋体" w:cs="Times New Roman"/>
                <w:szCs w:val="21"/>
                <w:highlight w:val="none"/>
                <w:lang w:bidi="zh-CN"/>
              </w:rPr>
              <w:t xml:space="preserve">路演活动 </w:t>
            </w:r>
          </w:p>
          <w:p w14:paraId="7321008B">
            <w:pPr>
              <w:keepNext w:val="0"/>
              <w:keepLines w:val="0"/>
              <w:pageBreakBefore w:val="0"/>
              <w:widowControl w:val="0"/>
              <w:kinsoku/>
              <w:wordWrap w:val="0"/>
              <w:overflowPunct/>
              <w:topLinePunct w:val="0"/>
              <w:autoSpaceDE/>
              <w:autoSpaceDN/>
              <w:bidi w:val="0"/>
              <w:adjustRightInd w:val="0"/>
              <w:snapToGrid/>
              <w:spacing w:line="360" w:lineRule="auto"/>
              <w:jc w:val="both"/>
              <w:textAlignment w:val="auto"/>
              <w:rPr>
                <w:rFonts w:ascii="Times New Roman" w:hAnsi="Times New Roman" w:eastAsia="宋体" w:cs="Times New Roman"/>
                <w:szCs w:val="21"/>
                <w:highlight w:val="none"/>
                <w:lang w:bidi="zh-CN"/>
              </w:rPr>
            </w:pPr>
            <w:r>
              <w:rPr>
                <w:rFonts w:hint="eastAsia" w:ascii="Times New Roman" w:hAnsi="Times New Roman" w:eastAsia="宋体" w:cs="Times New Roman"/>
                <w:sz w:val="24"/>
                <w:szCs w:val="24"/>
                <w:highlight w:val="none"/>
                <w:lang w:bidi="zh-CN"/>
              </w:rPr>
              <w:t>□</w:t>
            </w:r>
            <w:r>
              <w:rPr>
                <w:rFonts w:ascii="Times New Roman" w:hAnsi="Times New Roman" w:eastAsia="宋体" w:cs="Times New Roman"/>
                <w:szCs w:val="21"/>
                <w:highlight w:val="none"/>
                <w:lang w:bidi="zh-CN"/>
              </w:rPr>
              <w:t xml:space="preserve">现场参观          </w:t>
            </w:r>
            <w:r>
              <w:rPr>
                <w:rFonts w:hint="eastAsia" w:ascii="Times New Roman" w:hAnsi="Times New Roman" w:eastAsia="宋体" w:cs="Times New Roman"/>
                <w:sz w:val="24"/>
                <w:szCs w:val="24"/>
                <w:highlight w:val="none"/>
                <w:lang w:bidi="zh-CN"/>
              </w:rPr>
              <w:sym w:font="Wingdings 2" w:char="00A3"/>
            </w:r>
            <w:r>
              <w:rPr>
                <w:rFonts w:hint="eastAsia" w:ascii="Times New Roman" w:hAnsi="Times New Roman" w:eastAsia="宋体" w:cs="Times New Roman"/>
                <w:szCs w:val="21"/>
                <w:highlight w:val="none"/>
                <w:lang w:bidi="zh-CN"/>
              </w:rPr>
              <w:t>其他：</w:t>
            </w:r>
            <w:r>
              <w:rPr>
                <w:rFonts w:hint="eastAsia" w:ascii="Times New Roman" w:hAnsi="Times New Roman" w:eastAsia="宋体" w:cs="Times New Roman"/>
                <w:szCs w:val="21"/>
                <w:highlight w:val="none"/>
                <w:u w:val="single"/>
                <w:lang w:bidi="zh-CN"/>
              </w:rPr>
              <w:t xml:space="preserve">   </w:t>
            </w:r>
            <w:r>
              <w:rPr>
                <w:rFonts w:hint="eastAsia" w:ascii="Times New Roman" w:hAnsi="Times New Roman" w:eastAsia="宋体" w:cs="Times New Roman"/>
                <w:szCs w:val="21"/>
                <w:highlight w:val="none"/>
                <w:u w:val="single"/>
                <w:lang w:val="en-US" w:bidi="zh-CN"/>
              </w:rPr>
              <w:t xml:space="preserve">        </w:t>
            </w:r>
            <w:r>
              <w:rPr>
                <w:rFonts w:hint="eastAsia" w:ascii="Times New Roman" w:hAnsi="Times New Roman" w:eastAsia="宋体" w:cs="Times New Roman"/>
                <w:szCs w:val="21"/>
                <w:highlight w:val="none"/>
                <w:u w:val="single"/>
                <w:lang w:bidi="zh-CN"/>
              </w:rPr>
              <w:t xml:space="preserve">   </w:t>
            </w:r>
          </w:p>
        </w:tc>
      </w:tr>
      <w:tr w14:paraId="726B7C7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643" w:type="dxa"/>
            <w:vAlign w:val="center"/>
          </w:tcPr>
          <w:p w14:paraId="63F7BD6D">
            <w:pPr>
              <w:keepNext w:val="0"/>
              <w:keepLines w:val="0"/>
              <w:pageBreakBefore w:val="0"/>
              <w:widowControl w:val="0"/>
              <w:kinsoku/>
              <w:wordWrap w:val="0"/>
              <w:overflowPunct/>
              <w:topLinePunct w:val="0"/>
              <w:autoSpaceDE/>
              <w:autoSpaceDN/>
              <w:bidi w:val="0"/>
              <w:adjustRightInd w:val="0"/>
              <w:snapToGrid/>
              <w:spacing w:line="360" w:lineRule="auto"/>
              <w:jc w:val="left"/>
              <w:textAlignment w:val="auto"/>
              <w:rPr>
                <w:rFonts w:ascii="Times New Roman" w:hAnsi="Times New Roman" w:eastAsia="宋体" w:cs="Times New Roman"/>
                <w:b/>
                <w:szCs w:val="21"/>
                <w:highlight w:val="none"/>
                <w:lang w:bidi="zh-CN"/>
              </w:rPr>
            </w:pPr>
            <w:r>
              <w:rPr>
                <w:rFonts w:ascii="Times New Roman" w:hAnsi="Times New Roman" w:eastAsia="宋体" w:cs="Times New Roman"/>
                <w:b/>
                <w:szCs w:val="21"/>
                <w:highlight w:val="none"/>
                <w:lang w:bidi="zh-CN"/>
              </w:rPr>
              <w:t>参与单位名称</w:t>
            </w:r>
          </w:p>
        </w:tc>
        <w:tc>
          <w:tcPr>
            <w:tcW w:w="6635" w:type="dxa"/>
            <w:vAlign w:val="center"/>
          </w:tcPr>
          <w:p w14:paraId="6DD20E44">
            <w:pPr>
              <w:keepNext w:val="0"/>
              <w:keepLines w:val="0"/>
              <w:pageBreakBefore w:val="0"/>
              <w:widowControl w:val="0"/>
              <w:kinsoku/>
              <w:wordWrap w:val="0"/>
              <w:overflowPunct/>
              <w:topLinePunct w:val="0"/>
              <w:autoSpaceDE/>
              <w:autoSpaceDN/>
              <w:bidi w:val="0"/>
              <w:adjustRightInd w:val="0"/>
              <w:snapToGrid/>
              <w:spacing w:line="360" w:lineRule="auto"/>
              <w:jc w:val="both"/>
              <w:textAlignment w:val="auto"/>
              <w:rPr>
                <w:rFonts w:hint="default" w:ascii="Times New Roman" w:hAnsi="Times New Roman" w:eastAsia="宋体" w:cs="Times New Roman"/>
                <w:szCs w:val="21"/>
                <w:highlight w:val="none"/>
                <w:lang w:val="en-US" w:bidi="zh-CN"/>
              </w:rPr>
            </w:pPr>
            <w:r>
              <w:rPr>
                <w:rFonts w:hint="default" w:ascii="Times New Roman" w:hAnsi="Times New Roman" w:eastAsia="宋体" w:cs="Times New Roman"/>
                <w:szCs w:val="21"/>
                <w:highlight w:val="none"/>
                <w:lang w:val="en-US" w:bidi="zh-CN"/>
              </w:rPr>
              <w:t>西部证券、中航国际融资租赁、国泰租赁、山东发展投资控股、康曼德资本、四川璞信、青岛创投、中和资本、南京证券、光大永明资产、上海宝弘景、易米基金、中金岭南、北京汇信恒宝投资、宁波电子信息集团、信金控股、物产中大、上海石丸梨花私募、湖南正兴私募、汇百川基金、华能贵诚信托、青岛城投、浙江农发产投、合肥银河生物科技、君和资本、青岛弘华私募、华富瑞兴投资、尚融资本、辰能资本、浙江省产投集团、浙江广杰投资、苏高新产投、湖南轻盐、东方嘉富、广东开投智造产投、四川产业振兴嘉杰、青岛国信、湖南迪策、江西省金控投资集团、广州海珠数字经济创投、湖北高投产控、苏高新私募、常州金融投资集团、广东粤科金融、江苏银创资本、华安资管、惠州国投、陕西力合投资、上海嘉融投资、陕西新时代、惠州创投、南昌产投、株洲时代创投、光大银行、兖矿资本、朗姿韩亚、明善资本、海南一诺、芜湖元祐、泓泉投资、台州交投、台州城投、嘉兴长投创投</w:t>
            </w:r>
          </w:p>
        </w:tc>
      </w:tr>
      <w:tr w14:paraId="6D52D4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643" w:type="dxa"/>
            <w:vAlign w:val="center"/>
          </w:tcPr>
          <w:p w14:paraId="5A82F979">
            <w:pPr>
              <w:keepNext w:val="0"/>
              <w:keepLines w:val="0"/>
              <w:pageBreakBefore w:val="0"/>
              <w:widowControl w:val="0"/>
              <w:kinsoku/>
              <w:wordWrap w:val="0"/>
              <w:overflowPunct/>
              <w:topLinePunct w:val="0"/>
              <w:autoSpaceDE/>
              <w:autoSpaceDN/>
              <w:bidi w:val="0"/>
              <w:adjustRightInd w:val="0"/>
              <w:snapToGrid/>
              <w:spacing w:line="360" w:lineRule="auto"/>
              <w:jc w:val="left"/>
              <w:textAlignment w:val="auto"/>
              <w:rPr>
                <w:rFonts w:ascii="Times New Roman" w:hAnsi="Times New Roman" w:eastAsia="宋体" w:cs="Times New Roman"/>
                <w:b/>
                <w:szCs w:val="21"/>
                <w:highlight w:val="none"/>
                <w:lang w:bidi="zh-CN"/>
              </w:rPr>
            </w:pPr>
            <w:r>
              <w:rPr>
                <w:rFonts w:ascii="Times New Roman" w:hAnsi="Times New Roman" w:eastAsia="宋体" w:cs="Times New Roman"/>
                <w:b/>
                <w:szCs w:val="21"/>
                <w:highlight w:val="none"/>
                <w:lang w:bidi="zh-CN"/>
              </w:rPr>
              <w:t>时间</w:t>
            </w:r>
          </w:p>
        </w:tc>
        <w:tc>
          <w:tcPr>
            <w:tcW w:w="6635" w:type="dxa"/>
            <w:vAlign w:val="center"/>
          </w:tcPr>
          <w:p w14:paraId="1A7FB966">
            <w:pPr>
              <w:keepNext w:val="0"/>
              <w:keepLines w:val="0"/>
              <w:pageBreakBefore w:val="0"/>
              <w:widowControl w:val="0"/>
              <w:kinsoku/>
              <w:wordWrap w:val="0"/>
              <w:overflowPunct/>
              <w:topLinePunct w:val="0"/>
              <w:autoSpaceDE/>
              <w:autoSpaceDN/>
              <w:bidi w:val="0"/>
              <w:adjustRightInd w:val="0"/>
              <w:snapToGrid/>
              <w:spacing w:line="360" w:lineRule="auto"/>
              <w:jc w:val="both"/>
              <w:textAlignment w:val="auto"/>
              <w:rPr>
                <w:rFonts w:hint="default" w:ascii="Times New Roman" w:hAnsi="Times New Roman" w:eastAsia="宋体" w:cs="Times New Roman"/>
                <w:szCs w:val="21"/>
                <w:highlight w:val="none"/>
                <w:lang w:val="en-US" w:bidi="zh-CN"/>
              </w:rPr>
            </w:pPr>
            <w:r>
              <w:rPr>
                <w:rFonts w:hint="eastAsia" w:ascii="Times New Roman" w:hAnsi="Times New Roman" w:eastAsia="宋体" w:cs="Times New Roman"/>
                <w:szCs w:val="21"/>
                <w:highlight w:val="none"/>
                <w:lang w:val="en-US" w:bidi="zh-CN"/>
              </w:rPr>
              <w:t>2026年9月1日~2026年9月2日</w:t>
            </w:r>
          </w:p>
        </w:tc>
      </w:tr>
      <w:tr w14:paraId="64781A6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643" w:type="dxa"/>
            <w:vAlign w:val="center"/>
          </w:tcPr>
          <w:p w14:paraId="1EC5CC73">
            <w:pPr>
              <w:keepNext w:val="0"/>
              <w:keepLines w:val="0"/>
              <w:pageBreakBefore w:val="0"/>
              <w:widowControl w:val="0"/>
              <w:kinsoku/>
              <w:wordWrap w:val="0"/>
              <w:overflowPunct/>
              <w:topLinePunct w:val="0"/>
              <w:autoSpaceDE/>
              <w:autoSpaceDN/>
              <w:bidi w:val="0"/>
              <w:adjustRightInd w:val="0"/>
              <w:snapToGrid/>
              <w:spacing w:line="360" w:lineRule="auto"/>
              <w:jc w:val="left"/>
              <w:textAlignment w:val="auto"/>
              <w:rPr>
                <w:rFonts w:ascii="Times New Roman" w:hAnsi="Times New Roman" w:eastAsia="宋体" w:cs="Times New Roman"/>
                <w:b/>
                <w:szCs w:val="21"/>
                <w:highlight w:val="none"/>
                <w:lang w:bidi="zh-CN"/>
              </w:rPr>
            </w:pPr>
            <w:r>
              <w:rPr>
                <w:rFonts w:ascii="Times New Roman" w:hAnsi="Times New Roman" w:eastAsia="宋体" w:cs="Times New Roman"/>
                <w:b/>
                <w:szCs w:val="21"/>
                <w:highlight w:val="none"/>
                <w:lang w:bidi="zh-CN"/>
              </w:rPr>
              <w:t>地点</w:t>
            </w:r>
          </w:p>
        </w:tc>
        <w:tc>
          <w:tcPr>
            <w:tcW w:w="6635" w:type="dxa"/>
            <w:vAlign w:val="center"/>
          </w:tcPr>
          <w:p w14:paraId="1E7B0413">
            <w:pPr>
              <w:keepNext w:val="0"/>
              <w:keepLines w:val="0"/>
              <w:pageBreakBefore w:val="0"/>
              <w:widowControl w:val="0"/>
              <w:kinsoku/>
              <w:wordWrap w:val="0"/>
              <w:overflowPunct/>
              <w:topLinePunct w:val="0"/>
              <w:autoSpaceDE/>
              <w:autoSpaceDN/>
              <w:bidi w:val="0"/>
              <w:adjustRightInd w:val="0"/>
              <w:snapToGrid/>
              <w:spacing w:line="360" w:lineRule="auto"/>
              <w:jc w:val="both"/>
              <w:textAlignment w:val="auto"/>
              <w:rPr>
                <w:rFonts w:hint="default" w:ascii="Times New Roman" w:hAnsi="Times New Roman" w:eastAsia="宋体" w:cs="Times New Roman"/>
                <w:szCs w:val="21"/>
                <w:highlight w:val="none"/>
                <w:lang w:val="en-US" w:eastAsia="zh-CN" w:bidi="zh-CN"/>
              </w:rPr>
            </w:pPr>
            <w:r>
              <w:rPr>
                <w:rFonts w:hint="eastAsia" w:ascii="Times New Roman" w:hAnsi="Times New Roman" w:eastAsia="宋体" w:cs="Times New Roman"/>
                <w:szCs w:val="21"/>
                <w:highlight w:val="none"/>
                <w:lang w:val="en-US" w:eastAsia="zh-CN" w:bidi="zh-CN"/>
              </w:rPr>
              <w:t>公司行政楼会议室</w:t>
            </w:r>
          </w:p>
        </w:tc>
      </w:tr>
      <w:tr w14:paraId="432199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643" w:type="dxa"/>
            <w:vAlign w:val="center"/>
          </w:tcPr>
          <w:p w14:paraId="088B110A">
            <w:pPr>
              <w:keepNext w:val="0"/>
              <w:keepLines w:val="0"/>
              <w:pageBreakBefore w:val="0"/>
              <w:widowControl w:val="0"/>
              <w:kinsoku/>
              <w:wordWrap w:val="0"/>
              <w:overflowPunct/>
              <w:topLinePunct w:val="0"/>
              <w:autoSpaceDE/>
              <w:autoSpaceDN/>
              <w:bidi w:val="0"/>
              <w:adjustRightInd w:val="0"/>
              <w:snapToGrid/>
              <w:spacing w:line="360" w:lineRule="auto"/>
              <w:jc w:val="left"/>
              <w:textAlignment w:val="auto"/>
              <w:rPr>
                <w:rFonts w:ascii="Times New Roman" w:hAnsi="Times New Roman" w:eastAsia="宋体" w:cs="Times New Roman"/>
                <w:b/>
                <w:szCs w:val="21"/>
                <w:highlight w:val="none"/>
                <w:lang w:bidi="zh-CN"/>
              </w:rPr>
            </w:pPr>
            <w:r>
              <w:rPr>
                <w:rFonts w:ascii="Times New Roman" w:hAnsi="Times New Roman" w:eastAsia="宋体" w:cs="Times New Roman"/>
                <w:b/>
                <w:szCs w:val="21"/>
                <w:highlight w:val="none"/>
                <w:lang w:bidi="zh-CN"/>
              </w:rPr>
              <w:t>公司接待</w:t>
            </w:r>
          </w:p>
          <w:p w14:paraId="28B03521">
            <w:pPr>
              <w:keepNext w:val="0"/>
              <w:keepLines w:val="0"/>
              <w:pageBreakBefore w:val="0"/>
              <w:widowControl w:val="0"/>
              <w:kinsoku/>
              <w:wordWrap w:val="0"/>
              <w:overflowPunct/>
              <w:topLinePunct w:val="0"/>
              <w:autoSpaceDE/>
              <w:autoSpaceDN/>
              <w:bidi w:val="0"/>
              <w:adjustRightInd w:val="0"/>
              <w:snapToGrid/>
              <w:spacing w:line="360" w:lineRule="auto"/>
              <w:jc w:val="left"/>
              <w:textAlignment w:val="auto"/>
              <w:rPr>
                <w:rFonts w:ascii="Times New Roman" w:hAnsi="Times New Roman" w:eastAsia="宋体" w:cs="Times New Roman"/>
                <w:b/>
                <w:szCs w:val="21"/>
                <w:highlight w:val="none"/>
                <w:lang w:bidi="zh-CN"/>
              </w:rPr>
            </w:pPr>
            <w:r>
              <w:rPr>
                <w:rFonts w:ascii="Times New Roman" w:hAnsi="Times New Roman" w:eastAsia="宋体" w:cs="Times New Roman"/>
                <w:b/>
                <w:szCs w:val="21"/>
                <w:highlight w:val="none"/>
                <w:lang w:bidi="zh-CN"/>
              </w:rPr>
              <w:t>人员姓名</w:t>
            </w:r>
          </w:p>
        </w:tc>
        <w:tc>
          <w:tcPr>
            <w:tcW w:w="6635" w:type="dxa"/>
            <w:vAlign w:val="center"/>
          </w:tcPr>
          <w:p w14:paraId="222B54FF">
            <w:pPr>
              <w:keepNext w:val="0"/>
              <w:keepLines w:val="0"/>
              <w:pageBreakBefore w:val="0"/>
              <w:widowControl w:val="0"/>
              <w:kinsoku/>
              <w:wordWrap w:val="0"/>
              <w:overflowPunct/>
              <w:topLinePunct w:val="0"/>
              <w:autoSpaceDE/>
              <w:autoSpaceDN/>
              <w:bidi w:val="0"/>
              <w:adjustRightInd w:val="0"/>
              <w:snapToGrid/>
              <w:spacing w:line="360" w:lineRule="auto"/>
              <w:jc w:val="both"/>
              <w:textAlignment w:val="auto"/>
              <w:rPr>
                <w:rFonts w:hint="eastAsia" w:ascii="Times New Roman" w:hAnsi="Times New Roman" w:eastAsia="宋体" w:cs="Times New Roman"/>
                <w:szCs w:val="21"/>
                <w:highlight w:val="none"/>
                <w:lang w:val="en-US" w:bidi="zh-CN"/>
              </w:rPr>
            </w:pPr>
            <w:r>
              <w:rPr>
                <w:rFonts w:hint="eastAsia" w:ascii="Times New Roman" w:hAnsi="Times New Roman" w:eastAsia="宋体" w:cs="Times New Roman"/>
                <w:szCs w:val="21"/>
                <w:highlight w:val="none"/>
                <w:lang w:val="en-US" w:bidi="zh-CN"/>
              </w:rPr>
              <w:t>董事长、总经理：徐云明先生；董事、副总经理：吴明先生</w:t>
            </w:r>
          </w:p>
          <w:p w14:paraId="0B3B1A7B">
            <w:pPr>
              <w:keepNext w:val="0"/>
              <w:keepLines w:val="0"/>
              <w:pageBreakBefore w:val="0"/>
              <w:widowControl w:val="0"/>
              <w:kinsoku/>
              <w:wordWrap w:val="0"/>
              <w:overflowPunct/>
              <w:topLinePunct w:val="0"/>
              <w:autoSpaceDE/>
              <w:autoSpaceDN/>
              <w:bidi w:val="0"/>
              <w:adjustRightInd w:val="0"/>
              <w:snapToGrid/>
              <w:spacing w:line="360" w:lineRule="auto"/>
              <w:jc w:val="both"/>
              <w:textAlignment w:val="auto"/>
              <w:rPr>
                <w:rFonts w:hint="eastAsia" w:ascii="Times New Roman" w:hAnsi="Times New Roman" w:eastAsia="宋体" w:cs="Times New Roman"/>
                <w:szCs w:val="21"/>
                <w:highlight w:val="none"/>
                <w:lang w:val="en-US" w:bidi="zh-CN"/>
              </w:rPr>
            </w:pPr>
            <w:r>
              <w:rPr>
                <w:rFonts w:hint="eastAsia" w:ascii="Times New Roman" w:hAnsi="Times New Roman" w:eastAsia="宋体" w:cs="Times New Roman"/>
                <w:szCs w:val="21"/>
                <w:highlight w:val="none"/>
                <w:lang w:val="en-US" w:bidi="zh-CN"/>
              </w:rPr>
              <w:t>董事、财务总监：陈骏先生；副总经理：章利炳先生</w:t>
            </w:r>
          </w:p>
          <w:p w14:paraId="6FB7A7B9">
            <w:pPr>
              <w:keepNext w:val="0"/>
              <w:keepLines w:val="0"/>
              <w:pageBreakBefore w:val="0"/>
              <w:widowControl w:val="0"/>
              <w:kinsoku/>
              <w:wordWrap w:val="0"/>
              <w:overflowPunct/>
              <w:topLinePunct w:val="0"/>
              <w:autoSpaceDE/>
              <w:autoSpaceDN/>
              <w:bidi w:val="0"/>
              <w:adjustRightInd w:val="0"/>
              <w:snapToGrid/>
              <w:spacing w:line="360" w:lineRule="auto"/>
              <w:jc w:val="both"/>
              <w:textAlignment w:val="auto"/>
              <w:rPr>
                <w:rFonts w:hint="default" w:ascii="Times New Roman" w:hAnsi="Times New Roman" w:eastAsia="宋体" w:cs="Times New Roman"/>
                <w:szCs w:val="21"/>
                <w:highlight w:val="none"/>
                <w:lang w:val="en-US" w:bidi="zh-CN"/>
              </w:rPr>
            </w:pPr>
            <w:r>
              <w:rPr>
                <w:rFonts w:hint="eastAsia" w:ascii="Times New Roman" w:hAnsi="Times New Roman" w:eastAsia="宋体" w:cs="Times New Roman"/>
                <w:szCs w:val="21"/>
                <w:highlight w:val="none"/>
                <w:lang w:val="en-US" w:bidi="zh-CN"/>
              </w:rPr>
              <w:t>董事会秘书：郑斌杰先生</w:t>
            </w:r>
          </w:p>
        </w:tc>
      </w:tr>
      <w:tr w14:paraId="0EB5D7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90" w:hRule="atLeast"/>
          <w:jc w:val="center"/>
        </w:trPr>
        <w:tc>
          <w:tcPr>
            <w:tcW w:w="1643" w:type="dxa"/>
            <w:vAlign w:val="center"/>
          </w:tcPr>
          <w:p w14:paraId="0E6DAD60">
            <w:pPr>
              <w:keepNext w:val="0"/>
              <w:keepLines w:val="0"/>
              <w:pageBreakBefore w:val="0"/>
              <w:widowControl w:val="0"/>
              <w:kinsoku/>
              <w:wordWrap w:val="0"/>
              <w:overflowPunct/>
              <w:topLinePunct w:val="0"/>
              <w:autoSpaceDE/>
              <w:autoSpaceDN/>
              <w:bidi w:val="0"/>
              <w:adjustRightInd w:val="0"/>
              <w:snapToGrid/>
              <w:spacing w:line="360" w:lineRule="auto"/>
              <w:jc w:val="left"/>
              <w:textAlignment w:val="auto"/>
              <w:rPr>
                <w:rFonts w:ascii="Times New Roman" w:hAnsi="Times New Roman" w:eastAsia="宋体" w:cs="Times New Roman"/>
                <w:b/>
                <w:szCs w:val="21"/>
                <w:highlight w:val="none"/>
                <w:lang w:bidi="zh-CN"/>
              </w:rPr>
            </w:pPr>
            <w:r>
              <w:rPr>
                <w:rFonts w:ascii="Times New Roman" w:hAnsi="Times New Roman" w:eastAsia="宋体" w:cs="Times New Roman"/>
                <w:b/>
                <w:szCs w:val="21"/>
                <w:highlight w:val="none"/>
                <w:lang w:bidi="zh-CN"/>
              </w:rPr>
              <w:t>投资者关系活动主要内容介绍</w:t>
            </w:r>
          </w:p>
        </w:tc>
        <w:tc>
          <w:tcPr>
            <w:tcW w:w="6635" w:type="dxa"/>
            <w:vAlign w:val="center"/>
          </w:tcPr>
          <w:p w14:paraId="62A6F4DD">
            <w:pPr>
              <w:keepNext w:val="0"/>
              <w:keepLines w:val="0"/>
              <w:pageBreakBefore w:val="0"/>
              <w:widowControl w:val="0"/>
              <w:numPr>
                <w:ilvl w:val="0"/>
                <w:numId w:val="0"/>
              </w:numPr>
              <w:kinsoku/>
              <w:wordWrap w:val="0"/>
              <w:overflowPunct/>
              <w:topLinePunct w:val="0"/>
              <w:autoSpaceDE/>
              <w:autoSpaceDN/>
              <w:bidi w:val="0"/>
              <w:adjustRightInd w:val="0"/>
              <w:snapToGrid/>
              <w:spacing w:line="360" w:lineRule="auto"/>
              <w:ind w:left="105" w:leftChars="0" w:firstLine="0" w:firstLineChars="0"/>
              <w:textAlignment w:val="auto"/>
              <w:rPr>
                <w:rFonts w:hint="default" w:ascii="Times New Roman" w:hAnsi="Times New Roman" w:eastAsia="宋体" w:cs="Times New Roman"/>
                <w:b/>
                <w:bCs/>
                <w:szCs w:val="21"/>
                <w:highlight w:val="none"/>
                <w:lang w:val="en-US" w:bidi="zh-CN"/>
              </w:rPr>
            </w:pPr>
            <w:r>
              <w:rPr>
                <w:rFonts w:hint="eastAsia" w:ascii="Times New Roman" w:hAnsi="Times New Roman" w:eastAsia="宋体" w:cs="Times New Roman"/>
                <w:b/>
                <w:bCs/>
                <w:kern w:val="2"/>
                <w:sz w:val="21"/>
                <w:szCs w:val="21"/>
                <w:lang w:val="en-US" w:eastAsia="zh-CN" w:bidi="zh-CN"/>
              </w:rPr>
              <w:t>一、</w:t>
            </w:r>
            <w:r>
              <w:rPr>
                <w:rFonts w:hint="eastAsia" w:ascii="Times New Roman" w:hAnsi="Times New Roman" w:eastAsia="宋体" w:cs="Times New Roman"/>
                <w:b/>
                <w:bCs/>
                <w:szCs w:val="21"/>
                <w:highlight w:val="none"/>
                <w:lang w:val="en-US" w:bidi="zh-CN"/>
              </w:rPr>
              <w:t>公司董事会秘书郑斌杰先生向投资者作公司业务介绍</w:t>
            </w:r>
          </w:p>
          <w:p w14:paraId="5A916FA7">
            <w:pPr>
              <w:keepNext w:val="0"/>
              <w:keepLines w:val="0"/>
              <w:pageBreakBefore w:val="0"/>
              <w:widowControl w:val="0"/>
              <w:numPr>
                <w:ilvl w:val="0"/>
                <w:numId w:val="0"/>
              </w:numPr>
              <w:kinsoku/>
              <w:wordWrap w:val="0"/>
              <w:overflowPunct/>
              <w:topLinePunct w:val="0"/>
              <w:autoSpaceDE/>
              <w:autoSpaceDN/>
              <w:bidi w:val="0"/>
              <w:adjustRightInd w:val="0"/>
              <w:snapToGrid/>
              <w:spacing w:line="360" w:lineRule="auto"/>
              <w:ind w:left="108" w:leftChars="0" w:firstLine="420" w:firstLineChars="200"/>
              <w:textAlignment w:val="auto"/>
              <w:rPr>
                <w:rFonts w:hint="default" w:ascii="Times New Roman" w:hAnsi="Times New Roman" w:eastAsia="宋体" w:cs="Times New Roman"/>
                <w:szCs w:val="21"/>
                <w:highlight w:val="none"/>
                <w:lang w:val="en-US" w:bidi="zh-CN"/>
              </w:rPr>
            </w:pPr>
            <w:r>
              <w:rPr>
                <w:rFonts w:hint="eastAsia" w:ascii="Times New Roman" w:hAnsi="Times New Roman" w:eastAsia="宋体" w:cs="Times New Roman"/>
                <w:szCs w:val="21"/>
                <w:highlight w:val="none"/>
                <w:lang w:val="en-US" w:bidi="zh-CN"/>
              </w:rPr>
              <w:t>2026年上半年度，得益于公司前期战略布局，公司整体经营业绩快速增长，</w:t>
            </w:r>
            <w:r>
              <w:rPr>
                <w:rFonts w:hint="default" w:ascii="Times New Roman" w:hAnsi="Times New Roman" w:eastAsia="宋体" w:cs="Times New Roman"/>
                <w:szCs w:val="21"/>
                <w:highlight w:val="none"/>
                <w:lang w:val="en-US" w:bidi="zh-CN"/>
              </w:rPr>
              <w:t>实现营业收入</w:t>
            </w:r>
            <w:r>
              <w:rPr>
                <w:rFonts w:hint="eastAsia" w:ascii="Times New Roman" w:hAnsi="Times New Roman" w:eastAsia="宋体" w:cs="Times New Roman"/>
                <w:szCs w:val="21"/>
                <w:highlight w:val="none"/>
                <w:lang w:val="en-US" w:bidi="zh-CN"/>
              </w:rPr>
              <w:t>10.12</w:t>
            </w:r>
            <w:r>
              <w:rPr>
                <w:rFonts w:hint="default" w:ascii="Times New Roman" w:hAnsi="Times New Roman" w:eastAsia="宋体" w:cs="Times New Roman"/>
                <w:szCs w:val="21"/>
                <w:highlight w:val="none"/>
                <w:lang w:val="en-US" w:bidi="zh-CN"/>
              </w:rPr>
              <w:t>亿元，较上年同期增长</w:t>
            </w:r>
            <w:r>
              <w:rPr>
                <w:rFonts w:hint="eastAsia" w:ascii="Times New Roman" w:hAnsi="Times New Roman" w:eastAsia="宋体" w:cs="Times New Roman"/>
                <w:szCs w:val="21"/>
                <w:highlight w:val="none"/>
                <w:lang w:val="en-US" w:bidi="zh-CN"/>
              </w:rPr>
              <w:t>75.50</w:t>
            </w:r>
            <w:r>
              <w:rPr>
                <w:rFonts w:hint="default" w:ascii="Times New Roman" w:hAnsi="Times New Roman" w:eastAsia="宋体" w:cs="Times New Roman"/>
                <w:szCs w:val="21"/>
                <w:highlight w:val="none"/>
                <w:lang w:val="en-US" w:bidi="zh-CN"/>
              </w:rPr>
              <w:t>%；归属于母公司所有者的净利润约</w:t>
            </w:r>
            <w:r>
              <w:rPr>
                <w:rFonts w:hint="eastAsia" w:ascii="Times New Roman" w:hAnsi="Times New Roman" w:eastAsia="宋体" w:cs="Times New Roman"/>
                <w:szCs w:val="21"/>
                <w:highlight w:val="none"/>
                <w:lang w:val="en-US" w:bidi="zh-CN"/>
              </w:rPr>
              <w:t>2.72</w:t>
            </w:r>
            <w:r>
              <w:rPr>
                <w:rFonts w:hint="default" w:ascii="Times New Roman" w:hAnsi="Times New Roman" w:eastAsia="宋体" w:cs="Times New Roman"/>
                <w:szCs w:val="21"/>
                <w:highlight w:val="none"/>
                <w:lang w:val="en-US" w:bidi="zh-CN"/>
              </w:rPr>
              <w:t>亿元，较上年同期增长</w:t>
            </w:r>
            <w:r>
              <w:rPr>
                <w:rFonts w:hint="eastAsia" w:ascii="Times New Roman" w:hAnsi="Times New Roman" w:eastAsia="宋体" w:cs="Times New Roman"/>
                <w:szCs w:val="21"/>
                <w:highlight w:val="none"/>
                <w:lang w:val="en-US" w:bidi="zh-CN"/>
              </w:rPr>
              <w:t>163.21</w:t>
            </w:r>
            <w:r>
              <w:rPr>
                <w:rFonts w:hint="default" w:ascii="Times New Roman" w:hAnsi="Times New Roman" w:eastAsia="宋体" w:cs="Times New Roman"/>
                <w:szCs w:val="21"/>
                <w:highlight w:val="none"/>
                <w:lang w:val="en-US" w:bidi="zh-CN"/>
              </w:rPr>
              <w:t>%。</w:t>
            </w:r>
          </w:p>
          <w:p w14:paraId="06D28C83">
            <w:pPr>
              <w:keepNext w:val="0"/>
              <w:keepLines w:val="0"/>
              <w:pageBreakBefore w:val="0"/>
              <w:widowControl w:val="0"/>
              <w:numPr>
                <w:ilvl w:val="0"/>
                <w:numId w:val="0"/>
              </w:numPr>
              <w:kinsoku/>
              <w:wordWrap w:val="0"/>
              <w:overflowPunct/>
              <w:topLinePunct w:val="0"/>
              <w:autoSpaceDE/>
              <w:autoSpaceDN/>
              <w:bidi w:val="0"/>
              <w:adjustRightInd w:val="0"/>
              <w:snapToGrid/>
              <w:spacing w:line="360" w:lineRule="auto"/>
              <w:ind w:left="108" w:leftChars="0" w:firstLine="420" w:firstLineChars="200"/>
              <w:textAlignment w:val="auto"/>
              <w:rPr>
                <w:rFonts w:hint="default" w:ascii="Times New Roman" w:hAnsi="Times New Roman" w:eastAsia="宋体" w:cs="Times New Roman"/>
                <w:szCs w:val="21"/>
                <w:highlight w:val="none"/>
                <w:lang w:val="en-US" w:bidi="zh-CN"/>
              </w:rPr>
            </w:pPr>
            <w:r>
              <w:rPr>
                <w:rFonts w:hint="eastAsia" w:ascii="Times New Roman" w:hAnsi="Times New Roman" w:eastAsia="宋体" w:cs="Times New Roman"/>
                <w:szCs w:val="21"/>
                <w:highlight w:val="none"/>
                <w:lang w:val="en-US" w:bidi="zh-CN"/>
              </w:rPr>
              <w:t>随着人工智能不断深入大众生活，产业与市场正迎来变革的关键转折点。目前，普遍认为人工智能产业可划分为基础层（如支持算力的基础设施）、技术层（如算法、框架）和应用层（如满足实际应用场景的解决方案），不同层次均在形成全新的产业需求。</w:t>
            </w:r>
          </w:p>
          <w:p w14:paraId="16783D17">
            <w:pPr>
              <w:keepNext w:val="0"/>
              <w:keepLines w:val="0"/>
              <w:pageBreakBefore w:val="0"/>
              <w:widowControl w:val="0"/>
              <w:numPr>
                <w:ilvl w:val="0"/>
                <w:numId w:val="0"/>
              </w:numPr>
              <w:kinsoku/>
              <w:wordWrap w:val="0"/>
              <w:overflowPunct/>
              <w:topLinePunct w:val="0"/>
              <w:autoSpaceDE/>
              <w:autoSpaceDN/>
              <w:bidi w:val="0"/>
              <w:adjustRightInd w:val="0"/>
              <w:snapToGrid/>
              <w:spacing w:line="360" w:lineRule="auto"/>
              <w:ind w:left="108" w:leftChars="0" w:firstLine="420" w:firstLineChars="200"/>
              <w:textAlignment w:val="auto"/>
              <w:rPr>
                <w:rFonts w:hint="default" w:ascii="Times New Roman" w:hAnsi="Times New Roman" w:eastAsia="宋体" w:cs="Times New Roman"/>
                <w:szCs w:val="21"/>
                <w:highlight w:val="none"/>
                <w:lang w:val="en-US" w:bidi="zh-CN"/>
              </w:rPr>
            </w:pPr>
            <w:r>
              <w:rPr>
                <w:rFonts w:hint="eastAsia" w:ascii="Times New Roman" w:hAnsi="Times New Roman" w:eastAsia="宋体" w:cs="Times New Roman"/>
                <w:szCs w:val="21"/>
                <w:highlight w:val="none"/>
                <w:lang w:val="en-US" w:bidi="zh-CN"/>
              </w:rPr>
              <w:t>下游需求的凸显使得公司的中长期战略进一步明确：以消费电子为核心，推动实现“AI+AR”双轮驱动。“AI”指聚焦基础层的AI硬件需求，如光通信、半导体等领域的需求，重点关注在高速光模块、CPO应用上的光学机遇；“AR”指聚焦应用层中AR设备（含AI眼镜）作为光元件价值量高、可便携的可穿戴设备载体的光学需求，提供包括光波导系统、光机系统、感知成像等系统中的精密光学元件解决方案——目前，光通信、AR领域的市场需求加速已经十分明显，均有望在中期以内成为与公司消费电子主业相当量级的重大业务板块，并一齐形成拉动公司长期增长的“三驾马车”。2026年上半年公司“AI+AR”业务占比已</w:t>
            </w:r>
            <w:r>
              <w:rPr>
                <w:rFonts w:hint="eastAsia" w:ascii="Times New Roman" w:hAnsi="Times New Roman" w:eastAsia="宋体" w:cs="Times New Roman"/>
                <w:szCs w:val="21"/>
                <w:highlight w:val="none"/>
                <w:lang w:val="en-US" w:eastAsia="zh-CN" w:bidi="zh-CN"/>
              </w:rPr>
              <w:t>达</w:t>
            </w:r>
            <w:r>
              <w:rPr>
                <w:rFonts w:hint="eastAsia" w:ascii="Times New Roman" w:hAnsi="Times New Roman" w:eastAsia="宋体" w:cs="Times New Roman"/>
                <w:szCs w:val="21"/>
                <w:highlight w:val="none"/>
                <w:lang w:val="en-US" w:bidi="zh-CN"/>
              </w:rPr>
              <w:t>18%，预计将在下半年进一步提速。</w:t>
            </w:r>
          </w:p>
          <w:p w14:paraId="377505E1">
            <w:pPr>
              <w:keepNext w:val="0"/>
              <w:keepLines w:val="0"/>
              <w:pageBreakBefore w:val="0"/>
              <w:widowControl w:val="0"/>
              <w:numPr>
                <w:ilvl w:val="0"/>
                <w:numId w:val="0"/>
              </w:numPr>
              <w:kinsoku/>
              <w:wordWrap w:val="0"/>
              <w:overflowPunct/>
              <w:topLinePunct w:val="0"/>
              <w:autoSpaceDE/>
              <w:autoSpaceDN/>
              <w:bidi w:val="0"/>
              <w:adjustRightInd w:val="0"/>
              <w:snapToGrid/>
              <w:spacing w:line="360" w:lineRule="auto"/>
              <w:ind w:left="105" w:leftChars="0"/>
              <w:textAlignment w:val="auto"/>
              <w:rPr>
                <w:rFonts w:hint="default" w:ascii="Times New Roman" w:hAnsi="Times New Roman" w:eastAsia="宋体" w:cs="Times New Roman"/>
                <w:b/>
                <w:bCs/>
                <w:szCs w:val="21"/>
                <w:highlight w:val="none"/>
                <w:lang w:val="en-US" w:bidi="zh-CN"/>
              </w:rPr>
            </w:pPr>
          </w:p>
          <w:p w14:paraId="2EA53269">
            <w:pPr>
              <w:keepNext w:val="0"/>
              <w:keepLines w:val="0"/>
              <w:pageBreakBefore w:val="0"/>
              <w:widowControl w:val="0"/>
              <w:numPr>
                <w:ilvl w:val="0"/>
                <w:numId w:val="0"/>
              </w:numPr>
              <w:kinsoku/>
              <w:wordWrap w:val="0"/>
              <w:overflowPunct/>
              <w:topLinePunct w:val="0"/>
              <w:autoSpaceDE/>
              <w:autoSpaceDN/>
              <w:bidi w:val="0"/>
              <w:adjustRightInd w:val="0"/>
              <w:snapToGrid/>
              <w:spacing w:line="360" w:lineRule="auto"/>
              <w:ind w:left="105" w:leftChars="0" w:firstLine="0" w:firstLineChars="0"/>
              <w:textAlignment w:val="auto"/>
              <w:rPr>
                <w:rFonts w:hint="default" w:ascii="Times New Roman" w:hAnsi="Times New Roman" w:eastAsia="宋体" w:cs="Times New Roman"/>
                <w:szCs w:val="21"/>
                <w:highlight w:val="none"/>
                <w:lang w:val="en-US" w:bidi="zh-CN"/>
              </w:rPr>
            </w:pPr>
            <w:r>
              <w:rPr>
                <w:rFonts w:hint="eastAsia" w:ascii="Times New Roman" w:hAnsi="Times New Roman" w:eastAsia="宋体" w:cs="Times New Roman"/>
                <w:b/>
                <w:bCs/>
                <w:kern w:val="2"/>
                <w:sz w:val="21"/>
                <w:szCs w:val="21"/>
                <w:lang w:val="en-US" w:eastAsia="zh-CN" w:bidi="zh-CN"/>
              </w:rPr>
              <w:t>二、</w:t>
            </w:r>
            <w:r>
              <w:rPr>
                <w:rFonts w:hint="eastAsia" w:ascii="Times New Roman" w:hAnsi="Times New Roman" w:eastAsia="宋体" w:cs="Times New Roman"/>
                <w:b/>
                <w:bCs/>
                <w:szCs w:val="21"/>
                <w:highlight w:val="none"/>
                <w:lang w:val="en-US" w:bidi="zh-CN"/>
              </w:rPr>
              <w:t>回答现场的投资者提问</w:t>
            </w:r>
          </w:p>
          <w:p w14:paraId="077C7716">
            <w:pPr>
              <w:keepNext w:val="0"/>
              <w:keepLines w:val="0"/>
              <w:pageBreakBefore w:val="0"/>
              <w:widowControl w:val="0"/>
              <w:numPr>
                <w:ilvl w:val="0"/>
                <w:numId w:val="0"/>
              </w:numPr>
              <w:kinsoku/>
              <w:wordWrap w:val="0"/>
              <w:overflowPunct/>
              <w:topLinePunct w:val="0"/>
              <w:autoSpaceDE/>
              <w:autoSpaceDN/>
              <w:bidi w:val="0"/>
              <w:adjustRightInd w:val="0"/>
              <w:snapToGrid/>
              <w:spacing w:line="360" w:lineRule="auto"/>
              <w:ind w:left="105" w:leftChars="0"/>
              <w:textAlignment w:val="auto"/>
              <w:rPr>
                <w:rFonts w:hint="eastAsia" w:ascii="Times New Roman" w:hAnsi="Times New Roman" w:eastAsia="宋体" w:cs="Times New Roman"/>
                <w:szCs w:val="21"/>
                <w:highlight w:val="none"/>
                <w:lang w:val="en-US" w:eastAsia="zh-CN" w:bidi="zh-CN"/>
              </w:rPr>
            </w:pPr>
            <w:r>
              <w:rPr>
                <w:rFonts w:hint="eastAsia" w:ascii="Times New Roman" w:hAnsi="Times New Roman" w:eastAsia="宋体" w:cs="Times New Roman"/>
                <w:szCs w:val="21"/>
                <w:highlight w:val="none"/>
                <w:lang w:val="en-US" w:bidi="zh-CN"/>
              </w:rPr>
              <w:t>问题1：公司2026年第二季度继续保持了环比增长，2026年上半年度业绩显著优于去年同期，能否分析下增长的来源？</w:t>
            </w:r>
          </w:p>
          <w:p w14:paraId="797F15E3">
            <w:pPr>
              <w:keepNext w:val="0"/>
              <w:keepLines w:val="0"/>
              <w:pageBreakBefore w:val="0"/>
              <w:widowControl w:val="0"/>
              <w:numPr>
                <w:ilvl w:val="0"/>
                <w:numId w:val="0"/>
              </w:numPr>
              <w:kinsoku/>
              <w:wordWrap w:val="0"/>
              <w:overflowPunct/>
              <w:topLinePunct w:val="0"/>
              <w:autoSpaceDE/>
              <w:autoSpaceDN/>
              <w:bidi w:val="0"/>
              <w:adjustRightInd w:val="0"/>
              <w:snapToGrid/>
              <w:spacing w:line="360" w:lineRule="auto"/>
              <w:ind w:left="105" w:leftChars="0"/>
              <w:textAlignment w:val="auto"/>
              <w:rPr>
                <w:rFonts w:hint="eastAsia" w:ascii="Times New Roman" w:hAnsi="Times New Roman" w:eastAsia="宋体" w:cs="Times New Roman"/>
                <w:szCs w:val="21"/>
                <w:highlight w:val="none"/>
                <w:lang w:val="en-US" w:bidi="zh-CN"/>
              </w:rPr>
            </w:pPr>
            <w:r>
              <w:rPr>
                <w:rFonts w:hint="eastAsia" w:ascii="Times New Roman" w:hAnsi="Times New Roman" w:eastAsia="宋体" w:cs="Times New Roman"/>
                <w:szCs w:val="21"/>
                <w:highlight w:val="none"/>
                <w:lang w:val="en-US" w:bidi="zh-CN"/>
              </w:rPr>
              <w:t>答：2026年上半年度的业绩增长，依托于公司的长期布局规划帮助公司及时把握住了市场发展的机遇。其中，消费电子中的棱镜应用，作为公司现阶段的支柱业务，依托高端化的产品定位及创新型应用，充分体现了业务韧性，持续贡献增量；而在光通信与AR应用中，需求快速提升的节点已经到来，均实现了同比大幅度增长，在未来几年中将成为公司增长的全新驱动力。</w:t>
            </w:r>
          </w:p>
          <w:p w14:paraId="1900D56E">
            <w:pPr>
              <w:keepNext w:val="0"/>
              <w:keepLines w:val="0"/>
              <w:pageBreakBefore w:val="0"/>
              <w:widowControl w:val="0"/>
              <w:numPr>
                <w:ilvl w:val="0"/>
                <w:numId w:val="0"/>
              </w:numPr>
              <w:kinsoku/>
              <w:wordWrap w:val="0"/>
              <w:overflowPunct/>
              <w:topLinePunct w:val="0"/>
              <w:autoSpaceDE/>
              <w:autoSpaceDN/>
              <w:bidi w:val="0"/>
              <w:adjustRightInd w:val="0"/>
              <w:snapToGrid/>
              <w:spacing w:line="360" w:lineRule="auto"/>
              <w:ind w:left="105" w:leftChars="0"/>
              <w:textAlignment w:val="auto"/>
              <w:rPr>
                <w:rFonts w:hint="eastAsia" w:ascii="Times New Roman" w:hAnsi="Times New Roman" w:eastAsia="宋体" w:cs="Times New Roman"/>
                <w:szCs w:val="21"/>
                <w:highlight w:val="none"/>
                <w:lang w:val="en-US" w:bidi="zh-CN"/>
              </w:rPr>
            </w:pPr>
          </w:p>
          <w:p w14:paraId="2707DDB3">
            <w:pPr>
              <w:keepNext w:val="0"/>
              <w:keepLines w:val="0"/>
              <w:pageBreakBefore w:val="0"/>
              <w:widowControl w:val="0"/>
              <w:numPr>
                <w:ilvl w:val="0"/>
                <w:numId w:val="0"/>
              </w:numPr>
              <w:kinsoku/>
              <w:wordWrap w:val="0"/>
              <w:overflowPunct/>
              <w:topLinePunct w:val="0"/>
              <w:autoSpaceDE/>
              <w:autoSpaceDN/>
              <w:bidi w:val="0"/>
              <w:adjustRightInd w:val="0"/>
              <w:snapToGrid/>
              <w:spacing w:line="360" w:lineRule="auto"/>
              <w:ind w:left="105" w:leftChars="0"/>
              <w:textAlignment w:val="auto"/>
              <w:rPr>
                <w:rFonts w:hint="eastAsia" w:ascii="Times New Roman" w:hAnsi="Times New Roman" w:eastAsia="宋体" w:cs="Times New Roman"/>
                <w:szCs w:val="21"/>
                <w:highlight w:val="none"/>
                <w:lang w:val="en-US" w:bidi="zh-CN"/>
              </w:rPr>
            </w:pPr>
            <w:r>
              <w:rPr>
                <w:rFonts w:hint="eastAsia" w:ascii="Times New Roman" w:hAnsi="Times New Roman" w:eastAsia="宋体" w:cs="Times New Roman"/>
                <w:szCs w:val="21"/>
                <w:highlight w:val="none"/>
                <w:lang w:val="en-US" w:bidi="zh-CN"/>
              </w:rPr>
              <w:t>问题2：近几年来，公司业绩保持快速增长的同时，全年来看各季度之间存在一定的波动，通常下半年度业绩更优。能否解读一下该趋势是否会在未来延续？</w:t>
            </w:r>
          </w:p>
          <w:p w14:paraId="2F1D21B9">
            <w:pPr>
              <w:keepNext w:val="0"/>
              <w:keepLines w:val="0"/>
              <w:pageBreakBefore w:val="0"/>
              <w:widowControl w:val="0"/>
              <w:numPr>
                <w:ilvl w:val="0"/>
                <w:numId w:val="0"/>
              </w:numPr>
              <w:kinsoku/>
              <w:wordWrap w:val="0"/>
              <w:overflowPunct/>
              <w:topLinePunct w:val="0"/>
              <w:autoSpaceDE/>
              <w:autoSpaceDN/>
              <w:bidi w:val="0"/>
              <w:adjustRightInd w:val="0"/>
              <w:snapToGrid/>
              <w:spacing w:line="360" w:lineRule="auto"/>
              <w:ind w:left="105" w:leftChars="0"/>
              <w:textAlignment w:val="auto"/>
              <w:rPr>
                <w:rFonts w:hint="eastAsia" w:ascii="Times New Roman" w:hAnsi="Times New Roman" w:eastAsia="宋体" w:cs="Times New Roman"/>
                <w:szCs w:val="21"/>
                <w:highlight w:val="none"/>
                <w:lang w:val="en-US" w:bidi="zh-CN"/>
              </w:rPr>
            </w:pPr>
            <w:r>
              <w:rPr>
                <w:rFonts w:hint="eastAsia" w:ascii="Times New Roman" w:hAnsi="Times New Roman" w:eastAsia="宋体" w:cs="Times New Roman"/>
                <w:szCs w:val="21"/>
                <w:highlight w:val="none"/>
                <w:lang w:val="en-US" w:bidi="zh-CN"/>
              </w:rPr>
              <w:t>答：公司各季度间的业绩波动受较多因素影响：</w:t>
            </w:r>
          </w:p>
          <w:p w14:paraId="3BF3107D">
            <w:pPr>
              <w:keepNext w:val="0"/>
              <w:keepLines w:val="0"/>
              <w:pageBreakBefore w:val="0"/>
              <w:widowControl w:val="0"/>
              <w:numPr>
                <w:ilvl w:val="0"/>
                <w:numId w:val="0"/>
              </w:numPr>
              <w:kinsoku/>
              <w:wordWrap w:val="0"/>
              <w:overflowPunct/>
              <w:topLinePunct w:val="0"/>
              <w:autoSpaceDE/>
              <w:autoSpaceDN/>
              <w:bidi w:val="0"/>
              <w:adjustRightInd w:val="0"/>
              <w:snapToGrid/>
              <w:spacing w:line="360" w:lineRule="auto"/>
              <w:ind w:left="105" w:leftChars="0"/>
              <w:textAlignment w:val="auto"/>
              <w:rPr>
                <w:rFonts w:hint="eastAsia" w:ascii="Times New Roman" w:hAnsi="Times New Roman" w:eastAsia="宋体" w:cs="Times New Roman"/>
                <w:szCs w:val="21"/>
                <w:highlight w:val="none"/>
                <w:lang w:val="en-US" w:bidi="zh-CN"/>
              </w:rPr>
            </w:pPr>
            <w:r>
              <w:rPr>
                <w:rFonts w:hint="eastAsia" w:ascii="Times New Roman" w:hAnsi="Times New Roman" w:eastAsia="宋体" w:cs="Times New Roman"/>
                <w:szCs w:val="21"/>
                <w:highlight w:val="none"/>
                <w:lang w:val="en-US" w:bidi="zh-CN"/>
              </w:rPr>
              <w:t>一方面，下游消费电子应用的新品备货周期在需求层面对于上游产业链的驱动能量显著——公司持续性推进对消费电子客群的开拓，凭借在微棱镜、非球面透镜等高端产品上积累的行业口碑，大力推进复合棱镜方案在国内外多家终端厂商的应用机会。随着客户结构向更多元化发展、公司业绩有望迎来更均衡发展。</w:t>
            </w:r>
          </w:p>
          <w:p w14:paraId="41813ABD">
            <w:pPr>
              <w:keepNext w:val="0"/>
              <w:keepLines w:val="0"/>
              <w:pageBreakBefore w:val="0"/>
              <w:widowControl w:val="0"/>
              <w:numPr>
                <w:ilvl w:val="0"/>
                <w:numId w:val="0"/>
              </w:numPr>
              <w:kinsoku/>
              <w:wordWrap w:val="0"/>
              <w:overflowPunct/>
              <w:topLinePunct w:val="0"/>
              <w:autoSpaceDE/>
              <w:autoSpaceDN/>
              <w:bidi w:val="0"/>
              <w:adjustRightInd w:val="0"/>
              <w:snapToGrid/>
              <w:spacing w:line="360" w:lineRule="auto"/>
              <w:ind w:left="105" w:leftChars="0"/>
              <w:textAlignment w:val="auto"/>
              <w:rPr>
                <w:rFonts w:hint="default" w:ascii="Times New Roman" w:hAnsi="Times New Roman" w:eastAsia="宋体" w:cs="Times New Roman"/>
                <w:szCs w:val="21"/>
                <w:highlight w:val="none"/>
                <w:lang w:val="en-US" w:bidi="zh-CN"/>
              </w:rPr>
            </w:pPr>
            <w:r>
              <w:rPr>
                <w:rFonts w:hint="eastAsia" w:ascii="Times New Roman" w:hAnsi="Times New Roman" w:eastAsia="宋体" w:cs="Times New Roman"/>
                <w:szCs w:val="21"/>
                <w:highlight w:val="none"/>
                <w:lang w:val="en-US" w:bidi="zh-CN"/>
              </w:rPr>
              <w:t>另一方面，近年来公司处于高速发展期，“AI+AR”的产业需求迎来爆发，产业链上下游扩产扩需的规划决定了通常公司下半年度在产能规模、订单规模上会优于上半年度——随着公司新兴业务的逐步孵化，新培育的人才梯队不断成熟、新增产能不断投入使用，公司业务增长的潜力正在不断加强。</w:t>
            </w:r>
          </w:p>
          <w:p w14:paraId="56FFA589">
            <w:pPr>
              <w:keepNext w:val="0"/>
              <w:keepLines w:val="0"/>
              <w:pageBreakBefore w:val="0"/>
              <w:widowControl w:val="0"/>
              <w:numPr>
                <w:ilvl w:val="0"/>
                <w:numId w:val="0"/>
              </w:numPr>
              <w:kinsoku/>
              <w:wordWrap w:val="0"/>
              <w:overflowPunct/>
              <w:topLinePunct w:val="0"/>
              <w:autoSpaceDE/>
              <w:autoSpaceDN/>
              <w:bidi w:val="0"/>
              <w:adjustRightInd w:val="0"/>
              <w:snapToGrid/>
              <w:spacing w:line="360" w:lineRule="auto"/>
              <w:ind w:left="105" w:leftChars="0"/>
              <w:textAlignment w:val="auto"/>
              <w:rPr>
                <w:rFonts w:hint="eastAsia" w:ascii="Times New Roman" w:hAnsi="Times New Roman" w:eastAsia="宋体" w:cs="Times New Roman"/>
                <w:szCs w:val="21"/>
                <w:highlight w:val="none"/>
                <w:lang w:val="en-US" w:bidi="zh-CN"/>
              </w:rPr>
            </w:pPr>
          </w:p>
          <w:p w14:paraId="6DD8560C">
            <w:pPr>
              <w:keepNext w:val="0"/>
              <w:keepLines w:val="0"/>
              <w:pageBreakBefore w:val="0"/>
              <w:widowControl w:val="0"/>
              <w:numPr>
                <w:ilvl w:val="0"/>
                <w:numId w:val="0"/>
              </w:numPr>
              <w:kinsoku/>
              <w:wordWrap w:val="0"/>
              <w:overflowPunct/>
              <w:topLinePunct w:val="0"/>
              <w:autoSpaceDE/>
              <w:autoSpaceDN/>
              <w:bidi w:val="0"/>
              <w:adjustRightInd w:val="0"/>
              <w:snapToGrid/>
              <w:spacing w:line="360" w:lineRule="auto"/>
              <w:ind w:left="105" w:leftChars="0"/>
              <w:textAlignment w:val="auto"/>
              <w:rPr>
                <w:rFonts w:hint="default" w:ascii="Times New Roman" w:hAnsi="Times New Roman" w:eastAsia="宋体" w:cs="Times New Roman"/>
                <w:szCs w:val="21"/>
                <w:highlight w:val="none"/>
                <w:lang w:val="en-US" w:bidi="zh-CN"/>
              </w:rPr>
            </w:pPr>
            <w:r>
              <w:rPr>
                <w:rFonts w:hint="eastAsia" w:ascii="Times New Roman" w:hAnsi="Times New Roman" w:eastAsia="宋体" w:cs="Times New Roman"/>
                <w:szCs w:val="21"/>
                <w:highlight w:val="none"/>
                <w:lang w:val="en-US" w:bidi="zh-CN"/>
              </w:rPr>
              <w:t>问题3：公司硅透镜业务进展如何？</w:t>
            </w:r>
          </w:p>
          <w:p w14:paraId="407F0702">
            <w:pPr>
              <w:keepNext w:val="0"/>
              <w:keepLines w:val="0"/>
              <w:pageBreakBefore w:val="0"/>
              <w:widowControl w:val="0"/>
              <w:numPr>
                <w:ilvl w:val="0"/>
                <w:numId w:val="0"/>
              </w:numPr>
              <w:kinsoku/>
              <w:wordWrap w:val="0"/>
              <w:overflowPunct/>
              <w:topLinePunct w:val="0"/>
              <w:autoSpaceDE/>
              <w:autoSpaceDN/>
              <w:bidi w:val="0"/>
              <w:adjustRightInd w:val="0"/>
              <w:snapToGrid/>
              <w:spacing w:line="360" w:lineRule="auto"/>
              <w:ind w:left="105" w:leftChars="0"/>
              <w:textAlignment w:val="auto"/>
              <w:rPr>
                <w:rFonts w:hint="eastAsia" w:ascii="Times New Roman" w:hAnsi="Times New Roman" w:eastAsia="宋体" w:cs="Times New Roman"/>
                <w:szCs w:val="21"/>
                <w:highlight w:val="none"/>
                <w:lang w:val="en-US" w:bidi="zh-CN"/>
              </w:rPr>
            </w:pPr>
            <w:r>
              <w:rPr>
                <w:rFonts w:hint="eastAsia" w:ascii="Times New Roman" w:hAnsi="Times New Roman" w:eastAsia="宋体" w:cs="Times New Roman"/>
                <w:szCs w:val="21"/>
                <w:highlight w:val="none"/>
                <w:lang w:val="en-US" w:bidi="zh-CN"/>
              </w:rPr>
              <w:t>答：近两年光通信产业对光学元件的需求飙升，现阶段最为主流的方案仍然是可插拔的高速光模块，其对于耦合透镜的需求主要包括玻璃透镜与硅透镜两类——公司在玻璃透镜上已取得了较高的行业地位，而硅透镜则具有更大的市场空间。自去年开始公司便已经启动了将储备工艺落实为硅透镜产品的专项开发，相关产品已通过多家主流客户样品测试验证，并逐步进入小批量交付或量产阶段。</w:t>
            </w:r>
          </w:p>
          <w:p w14:paraId="7874A72F">
            <w:pPr>
              <w:keepNext w:val="0"/>
              <w:keepLines w:val="0"/>
              <w:pageBreakBefore w:val="0"/>
              <w:widowControl w:val="0"/>
              <w:numPr>
                <w:ilvl w:val="0"/>
                <w:numId w:val="0"/>
              </w:numPr>
              <w:kinsoku/>
              <w:wordWrap w:val="0"/>
              <w:overflowPunct/>
              <w:topLinePunct w:val="0"/>
              <w:autoSpaceDE/>
              <w:autoSpaceDN/>
              <w:bidi w:val="0"/>
              <w:adjustRightInd w:val="0"/>
              <w:snapToGrid/>
              <w:spacing w:line="360" w:lineRule="auto"/>
              <w:ind w:left="105" w:leftChars="0"/>
              <w:textAlignment w:val="auto"/>
              <w:rPr>
                <w:rFonts w:hint="default" w:ascii="Times New Roman" w:hAnsi="Times New Roman" w:eastAsia="宋体" w:cs="Times New Roman"/>
                <w:szCs w:val="21"/>
                <w:highlight w:val="none"/>
                <w:lang w:val="en-US" w:bidi="zh-CN"/>
              </w:rPr>
            </w:pPr>
            <w:r>
              <w:rPr>
                <w:rFonts w:hint="eastAsia" w:ascii="Times New Roman" w:hAnsi="Times New Roman" w:eastAsia="宋体" w:cs="Times New Roman"/>
                <w:szCs w:val="21"/>
                <w:highlight w:val="none"/>
                <w:lang w:val="en-US" w:bidi="zh-CN"/>
              </w:rPr>
              <w:t>今年从产业上来看，前期已取得头部地位的客户需求更为强势，但是光通信产业的巨大机遇也吸引了更多厂商加大投入，部分厂商同样具有自身独到的优势与可观的市场潜力。在硅透镜赛道上，公司虽然相对后发，但是随着与部分下游客户的共同成熟，后续也具有相当的增长空间。</w:t>
            </w:r>
          </w:p>
          <w:p w14:paraId="670EFF69">
            <w:pPr>
              <w:keepNext w:val="0"/>
              <w:keepLines w:val="0"/>
              <w:pageBreakBefore w:val="0"/>
              <w:widowControl w:val="0"/>
              <w:numPr>
                <w:ilvl w:val="0"/>
                <w:numId w:val="0"/>
              </w:numPr>
              <w:kinsoku/>
              <w:wordWrap w:val="0"/>
              <w:overflowPunct/>
              <w:topLinePunct w:val="0"/>
              <w:autoSpaceDE/>
              <w:autoSpaceDN/>
              <w:bidi w:val="0"/>
              <w:adjustRightInd w:val="0"/>
              <w:snapToGrid/>
              <w:spacing w:line="360" w:lineRule="auto"/>
              <w:ind w:left="105" w:leftChars="0"/>
              <w:textAlignment w:val="auto"/>
              <w:rPr>
                <w:rFonts w:hint="eastAsia" w:ascii="Times New Roman" w:hAnsi="Times New Roman" w:eastAsia="宋体" w:cs="Times New Roman"/>
                <w:szCs w:val="21"/>
                <w:highlight w:val="none"/>
                <w:lang w:val="en-US" w:bidi="zh-CN"/>
              </w:rPr>
            </w:pPr>
          </w:p>
          <w:p w14:paraId="6FA57A14">
            <w:pPr>
              <w:keepNext w:val="0"/>
              <w:keepLines w:val="0"/>
              <w:pageBreakBefore w:val="0"/>
              <w:widowControl w:val="0"/>
              <w:numPr>
                <w:ilvl w:val="0"/>
                <w:numId w:val="0"/>
              </w:numPr>
              <w:kinsoku/>
              <w:wordWrap w:val="0"/>
              <w:overflowPunct/>
              <w:topLinePunct w:val="0"/>
              <w:autoSpaceDE/>
              <w:autoSpaceDN/>
              <w:bidi w:val="0"/>
              <w:adjustRightInd w:val="0"/>
              <w:snapToGrid/>
              <w:spacing w:line="360" w:lineRule="auto"/>
              <w:ind w:left="105" w:leftChars="0"/>
              <w:textAlignment w:val="auto"/>
              <w:rPr>
                <w:rFonts w:hint="eastAsia" w:ascii="Times New Roman" w:hAnsi="Times New Roman" w:eastAsia="宋体" w:cs="Times New Roman"/>
                <w:szCs w:val="21"/>
                <w:highlight w:val="none"/>
                <w:lang w:val="en-US" w:bidi="zh-CN"/>
              </w:rPr>
            </w:pPr>
            <w:r>
              <w:rPr>
                <w:rFonts w:hint="eastAsia" w:ascii="Times New Roman" w:hAnsi="Times New Roman" w:eastAsia="宋体" w:cs="Times New Roman"/>
                <w:szCs w:val="21"/>
                <w:highlight w:val="none"/>
                <w:lang w:val="en-US" w:bidi="zh-CN"/>
              </w:rPr>
              <w:t>问题4：公司在CPO应用上有哪些布局？如何看待后续下游应用落地的节奏？公司目前的推进进度如何？</w:t>
            </w:r>
          </w:p>
          <w:p w14:paraId="7434DF7C">
            <w:pPr>
              <w:keepNext w:val="0"/>
              <w:keepLines w:val="0"/>
              <w:pageBreakBefore w:val="0"/>
              <w:widowControl w:val="0"/>
              <w:numPr>
                <w:ilvl w:val="0"/>
                <w:numId w:val="0"/>
              </w:numPr>
              <w:kinsoku/>
              <w:wordWrap w:val="0"/>
              <w:overflowPunct/>
              <w:topLinePunct w:val="0"/>
              <w:autoSpaceDE/>
              <w:autoSpaceDN/>
              <w:bidi w:val="0"/>
              <w:adjustRightInd w:val="0"/>
              <w:snapToGrid/>
              <w:spacing w:line="360" w:lineRule="auto"/>
              <w:ind w:left="105" w:leftChars="0"/>
              <w:textAlignment w:val="auto"/>
              <w:rPr>
                <w:rFonts w:hint="default" w:ascii="Times New Roman" w:hAnsi="Times New Roman" w:eastAsia="宋体" w:cs="Times New Roman"/>
                <w:szCs w:val="21"/>
                <w:highlight w:val="none"/>
                <w:lang w:val="en-US" w:bidi="zh-CN"/>
              </w:rPr>
            </w:pPr>
            <w:r>
              <w:rPr>
                <w:rFonts w:hint="eastAsia" w:ascii="Times New Roman" w:hAnsi="Times New Roman" w:eastAsia="宋体" w:cs="Times New Roman"/>
                <w:szCs w:val="21"/>
                <w:highlight w:val="none"/>
                <w:lang w:val="en-US" w:bidi="zh-CN"/>
              </w:rPr>
              <w:t>答：随着AI算力集群爆发，传统可插拔光模块面临物理天花板，带宽、功耗、密度三重约束成为算力扩展的核心瓶颈，CPO应用已成为关键突围路径——2026年以来，CPO规模化商用进程显著加速，随着英伟达宣布推出量产级的CPO交换机，会有越来越多的企业推出各自的量产产品，未来的一段时间内如何推动CPO应用加速落地与成熟已成为光通信产业所关注的重点。</w:t>
            </w:r>
          </w:p>
          <w:p w14:paraId="014967D1">
            <w:pPr>
              <w:keepNext w:val="0"/>
              <w:keepLines w:val="0"/>
              <w:pageBreakBefore w:val="0"/>
              <w:widowControl w:val="0"/>
              <w:numPr>
                <w:ilvl w:val="0"/>
                <w:numId w:val="0"/>
              </w:numPr>
              <w:kinsoku/>
              <w:wordWrap w:val="0"/>
              <w:overflowPunct/>
              <w:topLinePunct w:val="0"/>
              <w:autoSpaceDE/>
              <w:autoSpaceDN/>
              <w:bidi w:val="0"/>
              <w:adjustRightInd w:val="0"/>
              <w:snapToGrid/>
              <w:spacing w:line="360" w:lineRule="auto"/>
              <w:ind w:left="105" w:leftChars="0"/>
              <w:textAlignment w:val="auto"/>
              <w:rPr>
                <w:rFonts w:hint="default" w:ascii="Times New Roman" w:hAnsi="Times New Roman" w:eastAsia="宋体" w:cs="Times New Roman"/>
                <w:szCs w:val="21"/>
                <w:highlight w:val="none"/>
                <w:lang w:val="en-US" w:bidi="zh-CN"/>
              </w:rPr>
            </w:pPr>
            <w:r>
              <w:rPr>
                <w:rFonts w:hint="eastAsia" w:ascii="Times New Roman" w:hAnsi="Times New Roman" w:eastAsia="宋体" w:cs="Times New Roman"/>
                <w:szCs w:val="21"/>
                <w:highlight w:val="none"/>
                <w:lang w:val="en-US" w:bidi="zh-CN"/>
              </w:rPr>
              <w:t>产业端来看，目前下游已经提出了明确的关于V型槽、微透镜阵列（MLA）、微棱镜透镜阵列（PMLA）等精密光学元件的需求——精密化、小型化、集成化要求高度依赖先进的微纳制造与超精密加工工艺，形成光元件价值量的大幅跃升。公司凭借全面的技术布局，在工艺方案的设计上具有独到的整合优势，在上述V型槽、MLA、PMLA的应用中都已展开了与客户的试样合作。随着后续量产方案的持续推进，新业务有望在明年成为公司“AI+AR”战略中关键的构成要素。</w:t>
            </w:r>
          </w:p>
          <w:p w14:paraId="670DEADB">
            <w:pPr>
              <w:keepNext w:val="0"/>
              <w:keepLines w:val="0"/>
              <w:pageBreakBefore w:val="0"/>
              <w:widowControl w:val="0"/>
              <w:numPr>
                <w:ilvl w:val="0"/>
                <w:numId w:val="0"/>
              </w:numPr>
              <w:kinsoku/>
              <w:wordWrap w:val="0"/>
              <w:overflowPunct/>
              <w:topLinePunct w:val="0"/>
              <w:autoSpaceDE/>
              <w:autoSpaceDN/>
              <w:bidi w:val="0"/>
              <w:adjustRightInd w:val="0"/>
              <w:snapToGrid/>
              <w:spacing w:line="360" w:lineRule="auto"/>
              <w:ind w:left="105" w:leftChars="0"/>
              <w:textAlignment w:val="auto"/>
              <w:rPr>
                <w:rFonts w:hint="eastAsia" w:ascii="Times New Roman" w:hAnsi="Times New Roman" w:eastAsia="宋体" w:cs="Times New Roman"/>
                <w:szCs w:val="21"/>
                <w:highlight w:val="none"/>
                <w:lang w:val="en-US" w:bidi="zh-CN"/>
              </w:rPr>
            </w:pPr>
          </w:p>
          <w:p w14:paraId="50DF9030">
            <w:pPr>
              <w:keepNext w:val="0"/>
              <w:keepLines w:val="0"/>
              <w:pageBreakBefore w:val="0"/>
              <w:widowControl w:val="0"/>
              <w:numPr>
                <w:ilvl w:val="0"/>
                <w:numId w:val="0"/>
              </w:numPr>
              <w:kinsoku/>
              <w:wordWrap w:val="0"/>
              <w:overflowPunct/>
              <w:topLinePunct w:val="0"/>
              <w:autoSpaceDE/>
              <w:autoSpaceDN/>
              <w:bidi w:val="0"/>
              <w:adjustRightInd w:val="0"/>
              <w:snapToGrid/>
              <w:spacing w:line="360" w:lineRule="auto"/>
              <w:ind w:left="105" w:leftChars="0"/>
              <w:textAlignment w:val="auto"/>
              <w:rPr>
                <w:rFonts w:hint="default" w:ascii="Times New Roman" w:hAnsi="Times New Roman" w:eastAsia="宋体" w:cs="Times New Roman"/>
                <w:szCs w:val="21"/>
                <w:highlight w:val="none"/>
                <w:lang w:val="en-US" w:bidi="zh-CN"/>
              </w:rPr>
            </w:pPr>
            <w:r>
              <w:rPr>
                <w:rFonts w:hint="eastAsia" w:ascii="Times New Roman" w:hAnsi="Times New Roman" w:eastAsia="宋体" w:cs="Times New Roman"/>
                <w:szCs w:val="21"/>
                <w:highlight w:val="none"/>
                <w:lang w:val="en-US" w:bidi="zh-CN"/>
              </w:rPr>
              <w:t>问题5：随着光通信应用的快速发展，光学产业链上对于微纳光学制造的重视度不断提高，公司在该领域的核心竞争力如何体现？</w:t>
            </w:r>
          </w:p>
          <w:p w14:paraId="6D742D2C">
            <w:pPr>
              <w:keepNext w:val="0"/>
              <w:keepLines w:val="0"/>
              <w:pageBreakBefore w:val="0"/>
              <w:widowControl w:val="0"/>
              <w:numPr>
                <w:ilvl w:val="0"/>
                <w:numId w:val="0"/>
              </w:numPr>
              <w:kinsoku/>
              <w:wordWrap w:val="0"/>
              <w:overflowPunct/>
              <w:topLinePunct w:val="0"/>
              <w:autoSpaceDE/>
              <w:autoSpaceDN/>
              <w:bidi w:val="0"/>
              <w:adjustRightInd w:val="0"/>
              <w:snapToGrid/>
              <w:spacing w:line="360" w:lineRule="auto"/>
              <w:ind w:left="105" w:leftChars="0"/>
              <w:textAlignment w:val="auto"/>
              <w:rPr>
                <w:rFonts w:hint="eastAsia" w:ascii="Times New Roman" w:hAnsi="Times New Roman" w:eastAsia="宋体" w:cs="Times New Roman"/>
                <w:szCs w:val="21"/>
                <w:highlight w:val="none"/>
                <w:lang w:val="en-US" w:bidi="zh-CN"/>
              </w:rPr>
            </w:pPr>
            <w:r>
              <w:rPr>
                <w:rFonts w:hint="eastAsia" w:ascii="Times New Roman" w:hAnsi="Times New Roman" w:eastAsia="宋体" w:cs="Times New Roman"/>
                <w:szCs w:val="21"/>
                <w:highlight w:val="none"/>
                <w:lang w:val="en-US" w:bidi="zh-CN"/>
              </w:rPr>
              <w:t>答：微纳光学通常指，借助半导体行业成熟的压印、光刻、刻蚀、沉积工艺，进行亚波长尺度精细结构的设计制造，对光波的相位、振幅和偏振状态进行精确调控，从而实现光学功能的技术路线。在应用场景方面，微纳光学元器件具备体积小、集成度高、功能丰富等优势，能够突破传统光学器件的尺寸限制——这意味着，在很多应用场景下微纳光学具备超越当前几何光学的潜力。</w:t>
            </w:r>
          </w:p>
          <w:p w14:paraId="499EBC8B">
            <w:pPr>
              <w:keepNext w:val="0"/>
              <w:keepLines w:val="0"/>
              <w:pageBreakBefore w:val="0"/>
              <w:widowControl w:val="0"/>
              <w:numPr>
                <w:ilvl w:val="0"/>
                <w:numId w:val="0"/>
              </w:numPr>
              <w:kinsoku/>
              <w:wordWrap w:val="0"/>
              <w:overflowPunct/>
              <w:topLinePunct w:val="0"/>
              <w:autoSpaceDE/>
              <w:autoSpaceDN/>
              <w:bidi w:val="0"/>
              <w:adjustRightInd w:val="0"/>
              <w:snapToGrid/>
              <w:spacing w:line="360" w:lineRule="auto"/>
              <w:ind w:left="105" w:leftChars="0"/>
              <w:textAlignment w:val="auto"/>
              <w:rPr>
                <w:rFonts w:hint="eastAsia" w:ascii="Times New Roman" w:hAnsi="Times New Roman" w:eastAsia="宋体" w:cs="Times New Roman"/>
                <w:szCs w:val="21"/>
                <w:highlight w:val="none"/>
                <w:lang w:val="en-US" w:bidi="zh-CN"/>
              </w:rPr>
            </w:pPr>
            <w:r>
              <w:rPr>
                <w:rFonts w:hint="eastAsia" w:ascii="Times New Roman" w:hAnsi="Times New Roman" w:eastAsia="宋体" w:cs="Times New Roman"/>
                <w:szCs w:val="21"/>
                <w:highlight w:val="none"/>
                <w:lang w:val="en-US" w:bidi="zh-CN"/>
              </w:rPr>
              <w:t>公司自2019年起成立了专项团队，从海外引进了全自动光刻机等设备用于预研，从相对传统的二维光刻技术到可以加工更复杂的三维曲面结构的“晶圆级三维光刻加工技术”，积累了深厚的技术储备；目前，已有压印类产品稳定量产，而光通信领域所需求的硅透镜、MLA等刻蚀类产品也已处于小批量交付、持续性验证的稳定合作阶段。</w:t>
            </w:r>
          </w:p>
          <w:p w14:paraId="389F48B4">
            <w:pPr>
              <w:keepNext w:val="0"/>
              <w:keepLines w:val="0"/>
              <w:pageBreakBefore w:val="0"/>
              <w:widowControl w:val="0"/>
              <w:numPr>
                <w:ilvl w:val="0"/>
                <w:numId w:val="0"/>
              </w:numPr>
              <w:kinsoku/>
              <w:wordWrap w:val="0"/>
              <w:overflowPunct/>
              <w:topLinePunct w:val="0"/>
              <w:autoSpaceDE/>
              <w:autoSpaceDN/>
              <w:bidi w:val="0"/>
              <w:adjustRightInd w:val="0"/>
              <w:snapToGrid/>
              <w:spacing w:line="360" w:lineRule="auto"/>
              <w:ind w:left="105" w:leftChars="0"/>
              <w:textAlignment w:val="auto"/>
              <w:rPr>
                <w:rFonts w:hint="default" w:ascii="Times New Roman" w:hAnsi="Times New Roman" w:eastAsia="宋体" w:cs="Times New Roman"/>
                <w:szCs w:val="21"/>
                <w:highlight w:val="none"/>
                <w:lang w:val="en-US" w:bidi="zh-CN"/>
              </w:rPr>
            </w:pPr>
            <w:r>
              <w:rPr>
                <w:rFonts w:hint="eastAsia" w:ascii="Times New Roman" w:hAnsi="Times New Roman" w:eastAsia="宋体" w:cs="Times New Roman"/>
                <w:szCs w:val="21"/>
                <w:highlight w:val="none"/>
                <w:lang w:val="en-US" w:bidi="zh-CN"/>
              </w:rPr>
              <w:t>另一方面，公司在深耕消费电子领域过程中，通过与全球顶尖客户在供应链协同过程中所逐步形成的自动化、信息化、系统化能力，可在量产导入过程中实现超大规模、超高良率、全程追溯、快速响应、持续迭代的综合能力。这同样是在面对像光通信应用这样快速增长的产业需求时公司所具有的关键竞争力。</w:t>
            </w:r>
          </w:p>
          <w:p w14:paraId="7EE26488">
            <w:pPr>
              <w:keepNext w:val="0"/>
              <w:keepLines w:val="0"/>
              <w:pageBreakBefore w:val="0"/>
              <w:widowControl w:val="0"/>
              <w:numPr>
                <w:ilvl w:val="0"/>
                <w:numId w:val="0"/>
              </w:numPr>
              <w:kinsoku/>
              <w:wordWrap w:val="0"/>
              <w:overflowPunct/>
              <w:topLinePunct w:val="0"/>
              <w:autoSpaceDE/>
              <w:autoSpaceDN/>
              <w:bidi w:val="0"/>
              <w:adjustRightInd w:val="0"/>
              <w:snapToGrid/>
              <w:spacing w:line="360" w:lineRule="auto"/>
              <w:ind w:left="105" w:leftChars="0"/>
              <w:textAlignment w:val="auto"/>
              <w:rPr>
                <w:rFonts w:hint="default" w:ascii="Times New Roman" w:hAnsi="Times New Roman" w:eastAsia="宋体" w:cs="Times New Roman"/>
                <w:szCs w:val="21"/>
                <w:highlight w:val="none"/>
                <w:lang w:val="en-US" w:bidi="zh-CN"/>
              </w:rPr>
            </w:pPr>
          </w:p>
          <w:p w14:paraId="516A6287">
            <w:pPr>
              <w:keepNext w:val="0"/>
              <w:keepLines w:val="0"/>
              <w:pageBreakBefore w:val="0"/>
              <w:widowControl w:val="0"/>
              <w:numPr>
                <w:ilvl w:val="0"/>
                <w:numId w:val="0"/>
              </w:numPr>
              <w:kinsoku/>
              <w:wordWrap w:val="0"/>
              <w:overflowPunct/>
              <w:topLinePunct w:val="0"/>
              <w:autoSpaceDE/>
              <w:autoSpaceDN/>
              <w:bidi w:val="0"/>
              <w:adjustRightInd w:val="0"/>
              <w:snapToGrid/>
              <w:spacing w:line="360" w:lineRule="auto"/>
              <w:ind w:left="105" w:leftChars="0"/>
              <w:textAlignment w:val="auto"/>
              <w:rPr>
                <w:rFonts w:hint="default" w:ascii="Times New Roman" w:hAnsi="Times New Roman" w:eastAsia="宋体" w:cs="Times New Roman"/>
                <w:szCs w:val="21"/>
                <w:highlight w:val="none"/>
                <w:lang w:val="en-US" w:bidi="zh-CN"/>
              </w:rPr>
            </w:pPr>
            <w:r>
              <w:rPr>
                <w:rFonts w:hint="eastAsia" w:ascii="Times New Roman" w:hAnsi="Times New Roman" w:eastAsia="宋体" w:cs="Times New Roman"/>
                <w:szCs w:val="21"/>
                <w:highlight w:val="none"/>
                <w:lang w:val="en-US" w:bidi="zh-CN"/>
              </w:rPr>
              <w:t>问题6：公司光学棱镜业务上半年度超预期，结合消费电子存储涨价成本上升的背景下，请问公司如何评估后续的增长持续性和毛利率空间？</w:t>
            </w:r>
          </w:p>
          <w:p w14:paraId="164663ED">
            <w:pPr>
              <w:keepNext w:val="0"/>
              <w:keepLines w:val="0"/>
              <w:pageBreakBefore w:val="0"/>
              <w:widowControl w:val="0"/>
              <w:numPr>
                <w:ilvl w:val="0"/>
                <w:numId w:val="0"/>
              </w:numPr>
              <w:kinsoku/>
              <w:wordWrap w:val="0"/>
              <w:overflowPunct/>
              <w:topLinePunct w:val="0"/>
              <w:autoSpaceDE/>
              <w:autoSpaceDN/>
              <w:bidi w:val="0"/>
              <w:adjustRightInd w:val="0"/>
              <w:snapToGrid/>
              <w:spacing w:line="360" w:lineRule="auto"/>
              <w:ind w:left="105" w:leftChars="0"/>
              <w:textAlignment w:val="auto"/>
              <w:rPr>
                <w:rFonts w:hint="eastAsia" w:ascii="Times New Roman" w:hAnsi="Times New Roman" w:eastAsia="宋体" w:cs="Times New Roman"/>
                <w:szCs w:val="21"/>
                <w:highlight w:val="none"/>
                <w:lang w:val="en-US" w:bidi="zh-CN"/>
              </w:rPr>
            </w:pPr>
            <w:r>
              <w:rPr>
                <w:rFonts w:hint="eastAsia" w:ascii="Times New Roman" w:hAnsi="Times New Roman" w:eastAsia="宋体" w:cs="Times New Roman"/>
                <w:szCs w:val="21"/>
                <w:highlight w:val="none"/>
                <w:lang w:val="en-US" w:bidi="zh-CN"/>
              </w:rPr>
              <w:t>答：公司的底色是“技术为先”，在长期战略上始终聚焦于高端定位与新锐设计，通过自身的技术竞争力去攻克具有市场深度的高难度、高价值的产品。在本轮消费电子行业受存储涨价所带来的冲击时，无论是从品牌上还是从具体的产品上，高端市场彰显了更强的韧性，甚至在智能手机成本普涨的背景下，高端机型更凸显“质价比”优势。</w:t>
            </w:r>
          </w:p>
          <w:p w14:paraId="693AE93D">
            <w:pPr>
              <w:keepNext w:val="0"/>
              <w:keepLines w:val="0"/>
              <w:pageBreakBefore w:val="0"/>
              <w:widowControl w:val="0"/>
              <w:numPr>
                <w:ilvl w:val="0"/>
                <w:numId w:val="0"/>
              </w:numPr>
              <w:kinsoku/>
              <w:wordWrap w:val="0"/>
              <w:overflowPunct/>
              <w:topLinePunct w:val="0"/>
              <w:autoSpaceDE/>
              <w:autoSpaceDN/>
              <w:bidi w:val="0"/>
              <w:adjustRightInd w:val="0"/>
              <w:snapToGrid/>
              <w:spacing w:line="360" w:lineRule="auto"/>
              <w:ind w:left="105" w:leftChars="0"/>
              <w:textAlignment w:val="auto"/>
              <w:rPr>
                <w:rFonts w:hint="eastAsia" w:ascii="Times New Roman" w:hAnsi="Times New Roman" w:eastAsia="宋体" w:cs="Times New Roman"/>
                <w:szCs w:val="21"/>
                <w:highlight w:val="none"/>
                <w:lang w:val="en-US" w:bidi="zh-CN"/>
              </w:rPr>
            </w:pPr>
            <w:r>
              <w:rPr>
                <w:rFonts w:hint="eastAsia" w:ascii="Times New Roman" w:hAnsi="Times New Roman" w:eastAsia="宋体" w:cs="Times New Roman"/>
                <w:szCs w:val="21"/>
                <w:highlight w:val="none"/>
                <w:lang w:val="en-US" w:bidi="zh-CN"/>
              </w:rPr>
              <w:t>公司的微棱镜产品与复合棱镜产品均定位适配高端化需求，下游市场需求风向的转变对公司呈积极影响、上半年需求超预期；下半年度，随着存储涨价的影响进一步持续，整个消费电子行业都面临相当的压力与巨大的挑战，公司也在通过内部“降本增效”优化作积极应对，同时也希望开拓更多国内外具有行业地位的优质客户来为光学棱镜继续注入增长动能。</w:t>
            </w:r>
          </w:p>
          <w:p w14:paraId="46564DBB">
            <w:pPr>
              <w:keepNext w:val="0"/>
              <w:keepLines w:val="0"/>
              <w:pageBreakBefore w:val="0"/>
              <w:widowControl w:val="0"/>
              <w:numPr>
                <w:ilvl w:val="0"/>
                <w:numId w:val="0"/>
              </w:numPr>
              <w:kinsoku/>
              <w:wordWrap w:val="0"/>
              <w:overflowPunct/>
              <w:topLinePunct w:val="0"/>
              <w:autoSpaceDE/>
              <w:autoSpaceDN/>
              <w:bidi w:val="0"/>
              <w:adjustRightInd w:val="0"/>
              <w:snapToGrid/>
              <w:spacing w:line="360" w:lineRule="auto"/>
              <w:ind w:left="105" w:leftChars="0"/>
              <w:textAlignment w:val="auto"/>
              <w:rPr>
                <w:rFonts w:hint="eastAsia" w:ascii="Times New Roman" w:hAnsi="Times New Roman" w:eastAsia="宋体" w:cs="Times New Roman"/>
                <w:szCs w:val="21"/>
                <w:highlight w:val="none"/>
                <w:lang w:val="en-US" w:bidi="zh-CN"/>
              </w:rPr>
            </w:pPr>
          </w:p>
          <w:p w14:paraId="7120FD92">
            <w:pPr>
              <w:keepNext w:val="0"/>
              <w:keepLines w:val="0"/>
              <w:pageBreakBefore w:val="0"/>
              <w:widowControl w:val="0"/>
              <w:numPr>
                <w:ilvl w:val="0"/>
                <w:numId w:val="0"/>
              </w:numPr>
              <w:kinsoku/>
              <w:wordWrap w:val="0"/>
              <w:overflowPunct/>
              <w:topLinePunct w:val="0"/>
              <w:autoSpaceDE/>
              <w:autoSpaceDN/>
              <w:bidi w:val="0"/>
              <w:adjustRightInd w:val="0"/>
              <w:snapToGrid/>
              <w:spacing w:line="360" w:lineRule="auto"/>
              <w:ind w:left="105" w:leftChars="0"/>
              <w:textAlignment w:val="auto"/>
              <w:rPr>
                <w:rFonts w:hint="eastAsia" w:ascii="Times New Roman" w:hAnsi="Times New Roman" w:eastAsia="宋体" w:cs="Times New Roman"/>
                <w:szCs w:val="21"/>
                <w:highlight w:val="none"/>
                <w:lang w:val="en-US" w:bidi="zh-CN"/>
              </w:rPr>
            </w:pPr>
            <w:r>
              <w:rPr>
                <w:rFonts w:hint="eastAsia" w:ascii="Times New Roman" w:hAnsi="Times New Roman" w:eastAsia="宋体" w:cs="Times New Roman"/>
                <w:szCs w:val="21"/>
                <w:highlight w:val="none"/>
                <w:lang w:val="en-US" w:bidi="zh-CN"/>
              </w:rPr>
              <w:t>问题7：公司光学晶圆业务保持高增速，公司怎么评价AR应用的下游市场进展？</w:t>
            </w:r>
          </w:p>
          <w:p w14:paraId="2DEF25F0">
            <w:pPr>
              <w:keepNext w:val="0"/>
              <w:keepLines w:val="0"/>
              <w:pageBreakBefore w:val="0"/>
              <w:widowControl w:val="0"/>
              <w:numPr>
                <w:ilvl w:val="0"/>
                <w:numId w:val="0"/>
              </w:numPr>
              <w:kinsoku/>
              <w:wordWrap w:val="0"/>
              <w:overflowPunct/>
              <w:topLinePunct w:val="0"/>
              <w:autoSpaceDE/>
              <w:autoSpaceDN/>
              <w:bidi w:val="0"/>
              <w:adjustRightInd w:val="0"/>
              <w:snapToGrid/>
              <w:spacing w:line="360" w:lineRule="auto"/>
              <w:ind w:left="105" w:leftChars="0"/>
              <w:textAlignment w:val="auto"/>
              <w:rPr>
                <w:rFonts w:hint="eastAsia" w:ascii="Times New Roman" w:hAnsi="Times New Roman" w:eastAsia="宋体" w:cs="Times New Roman"/>
                <w:szCs w:val="21"/>
                <w:highlight w:val="none"/>
                <w:lang w:val="en-US" w:bidi="zh-CN"/>
              </w:rPr>
            </w:pPr>
            <w:r>
              <w:rPr>
                <w:rFonts w:hint="eastAsia" w:ascii="Times New Roman" w:hAnsi="Times New Roman" w:eastAsia="宋体" w:cs="Times New Roman"/>
                <w:szCs w:val="21"/>
                <w:highlight w:val="none"/>
                <w:lang w:val="en-US" w:bidi="zh-CN"/>
              </w:rPr>
              <w:t>答：从需求端来看，AR的发展已经加速。随着AI大模型的发展，在执行端有智能手机、电脑作为智能体的搭载对象，在感知端以眼镜为代表的可穿戴设备被认为具有较大的应用潜力。</w:t>
            </w:r>
          </w:p>
          <w:p w14:paraId="094AF5C0">
            <w:pPr>
              <w:keepNext w:val="0"/>
              <w:keepLines w:val="0"/>
              <w:pageBreakBefore w:val="0"/>
              <w:widowControl w:val="0"/>
              <w:numPr>
                <w:ilvl w:val="0"/>
                <w:numId w:val="0"/>
              </w:numPr>
              <w:kinsoku/>
              <w:wordWrap w:val="0"/>
              <w:overflowPunct/>
              <w:topLinePunct w:val="0"/>
              <w:autoSpaceDE/>
              <w:autoSpaceDN/>
              <w:bidi w:val="0"/>
              <w:adjustRightInd w:val="0"/>
              <w:snapToGrid/>
              <w:spacing w:line="360" w:lineRule="auto"/>
              <w:ind w:left="105" w:leftChars="0"/>
              <w:textAlignment w:val="auto"/>
              <w:rPr>
                <w:rFonts w:hint="default" w:ascii="Times New Roman" w:hAnsi="Times New Roman" w:eastAsia="宋体" w:cs="Times New Roman"/>
                <w:szCs w:val="21"/>
                <w:highlight w:val="none"/>
                <w:lang w:val="en-US" w:bidi="zh-CN"/>
              </w:rPr>
            </w:pPr>
            <w:r>
              <w:rPr>
                <w:rFonts w:hint="eastAsia" w:ascii="Times New Roman" w:hAnsi="Times New Roman" w:eastAsia="宋体" w:cs="Times New Roman"/>
                <w:szCs w:val="21"/>
                <w:highlight w:val="none"/>
                <w:lang w:val="en-US" w:bidi="zh-CN"/>
              </w:rPr>
              <w:t>尽管目前AR应用在技术上仍有一定待完善的空间，但是具体产品的推出速度很可能持续加快：一方面，新品发布可以吸引消费者群体、构筑品牌形象；另一方面，AR眼镜的应用场景与软件生态也有赖于真实消费者的使用所孵化。随着软件生态的完善与硬件技术的成熟，AR应用的放量增长趋势有望长期保持。从产业链来看，2028年度可能成为头部厂商密集发布消费级量产产品的关键年度。</w:t>
            </w:r>
          </w:p>
          <w:p w14:paraId="237D76EF">
            <w:pPr>
              <w:keepNext w:val="0"/>
              <w:keepLines w:val="0"/>
              <w:pageBreakBefore w:val="0"/>
              <w:widowControl w:val="0"/>
              <w:numPr>
                <w:ilvl w:val="0"/>
                <w:numId w:val="0"/>
              </w:numPr>
              <w:kinsoku/>
              <w:wordWrap w:val="0"/>
              <w:overflowPunct/>
              <w:topLinePunct w:val="0"/>
              <w:autoSpaceDE/>
              <w:autoSpaceDN/>
              <w:bidi w:val="0"/>
              <w:adjustRightInd w:val="0"/>
              <w:snapToGrid/>
              <w:spacing w:line="360" w:lineRule="auto"/>
              <w:ind w:left="105" w:leftChars="0"/>
              <w:textAlignment w:val="auto"/>
              <w:rPr>
                <w:rFonts w:hint="eastAsia" w:ascii="Times New Roman" w:hAnsi="Times New Roman" w:eastAsia="宋体" w:cs="Times New Roman"/>
                <w:szCs w:val="21"/>
                <w:highlight w:val="none"/>
                <w:lang w:val="en-US" w:bidi="zh-CN"/>
              </w:rPr>
            </w:pPr>
          </w:p>
          <w:p w14:paraId="293D806A">
            <w:pPr>
              <w:keepNext w:val="0"/>
              <w:keepLines w:val="0"/>
              <w:pageBreakBefore w:val="0"/>
              <w:widowControl w:val="0"/>
              <w:numPr>
                <w:ilvl w:val="0"/>
                <w:numId w:val="0"/>
              </w:numPr>
              <w:kinsoku/>
              <w:wordWrap w:val="0"/>
              <w:overflowPunct/>
              <w:topLinePunct w:val="0"/>
              <w:autoSpaceDE/>
              <w:autoSpaceDN/>
              <w:bidi w:val="0"/>
              <w:adjustRightInd w:val="0"/>
              <w:snapToGrid/>
              <w:spacing w:line="360" w:lineRule="auto"/>
              <w:ind w:left="105" w:leftChars="0"/>
              <w:textAlignment w:val="auto"/>
              <w:rPr>
                <w:rFonts w:hint="default" w:ascii="Times New Roman" w:hAnsi="Times New Roman" w:eastAsia="宋体" w:cs="Times New Roman"/>
                <w:szCs w:val="21"/>
                <w:highlight w:val="none"/>
                <w:lang w:val="en-US" w:bidi="zh-CN"/>
              </w:rPr>
            </w:pPr>
            <w:r>
              <w:rPr>
                <w:rFonts w:hint="eastAsia" w:ascii="Times New Roman" w:hAnsi="Times New Roman" w:eastAsia="宋体" w:cs="Times New Roman"/>
                <w:szCs w:val="21"/>
                <w:highlight w:val="none"/>
                <w:lang w:val="en-US" w:bidi="zh-CN"/>
              </w:rPr>
              <w:t>问题8：公司玻璃非球面透镜产能扩张进度如何？下游光通信、汽车电子、消费电子需求能否消化新增产能？</w:t>
            </w:r>
          </w:p>
          <w:p w14:paraId="0169FF15">
            <w:pPr>
              <w:keepNext w:val="0"/>
              <w:keepLines w:val="0"/>
              <w:pageBreakBefore w:val="0"/>
              <w:widowControl w:val="0"/>
              <w:numPr>
                <w:ilvl w:val="0"/>
                <w:numId w:val="0"/>
              </w:numPr>
              <w:kinsoku/>
              <w:wordWrap w:val="0"/>
              <w:overflowPunct/>
              <w:topLinePunct w:val="0"/>
              <w:autoSpaceDE/>
              <w:autoSpaceDN/>
              <w:bidi w:val="0"/>
              <w:adjustRightInd w:val="0"/>
              <w:snapToGrid/>
              <w:spacing w:line="360" w:lineRule="auto"/>
              <w:ind w:left="105" w:leftChars="0"/>
              <w:textAlignment w:val="auto"/>
              <w:rPr>
                <w:rFonts w:hint="default" w:ascii="Times New Roman" w:hAnsi="Times New Roman" w:eastAsia="宋体" w:cs="Times New Roman"/>
                <w:szCs w:val="21"/>
                <w:highlight w:val="none"/>
                <w:lang w:val="en-US" w:bidi="zh-CN"/>
              </w:rPr>
            </w:pPr>
            <w:r>
              <w:rPr>
                <w:rFonts w:hint="eastAsia" w:ascii="Times New Roman" w:hAnsi="Times New Roman" w:eastAsia="宋体" w:cs="Times New Roman"/>
                <w:szCs w:val="21"/>
                <w:highlight w:val="none"/>
                <w:lang w:val="en-US" w:bidi="zh-CN"/>
              </w:rPr>
              <w:t>答：通过合理的产能扩张节奏在光通信、汽车电子、消费电子等领域继续维持和提升市场份额与行业地位，是公司为玻璃非球面透镜业务所制定的战略目标。玻璃非球面透镜产品作为公司在光通信领域最为成熟的应用，在与客户继续保持深度协作的基础上，业务增量十分显著。下游市场的需求预期的强可见性，推动了公司加快实施扩产安排，目前已超前完成前期规划的产能建设；同时，针对交期较长、制约产能提升的瓶颈设备公司已提前进行冗余储备，前期订购部分仍在陆续交付，为后续扩产提供了更多的增长潜力。</w:t>
            </w:r>
          </w:p>
          <w:p w14:paraId="5B7329D9">
            <w:pPr>
              <w:keepNext w:val="0"/>
              <w:keepLines w:val="0"/>
              <w:pageBreakBefore w:val="0"/>
              <w:widowControl w:val="0"/>
              <w:numPr>
                <w:ilvl w:val="0"/>
                <w:numId w:val="0"/>
              </w:numPr>
              <w:kinsoku/>
              <w:wordWrap w:val="0"/>
              <w:overflowPunct/>
              <w:topLinePunct w:val="0"/>
              <w:autoSpaceDE/>
              <w:autoSpaceDN/>
              <w:bidi w:val="0"/>
              <w:adjustRightInd w:val="0"/>
              <w:snapToGrid/>
              <w:spacing w:line="360" w:lineRule="auto"/>
              <w:ind w:left="105" w:leftChars="0"/>
              <w:textAlignment w:val="auto"/>
              <w:rPr>
                <w:rFonts w:hint="eastAsia" w:ascii="Times New Roman" w:hAnsi="Times New Roman" w:eastAsia="宋体" w:cs="Times New Roman"/>
                <w:szCs w:val="21"/>
                <w:highlight w:val="none"/>
                <w:lang w:val="en-US" w:bidi="zh-CN"/>
              </w:rPr>
            </w:pPr>
          </w:p>
          <w:p w14:paraId="615B3C07">
            <w:pPr>
              <w:keepNext w:val="0"/>
              <w:keepLines w:val="0"/>
              <w:pageBreakBefore w:val="0"/>
              <w:widowControl w:val="0"/>
              <w:numPr>
                <w:ilvl w:val="0"/>
                <w:numId w:val="0"/>
              </w:numPr>
              <w:kinsoku/>
              <w:wordWrap w:val="0"/>
              <w:overflowPunct/>
              <w:topLinePunct w:val="0"/>
              <w:autoSpaceDE/>
              <w:autoSpaceDN/>
              <w:bidi w:val="0"/>
              <w:adjustRightInd w:val="0"/>
              <w:snapToGrid/>
              <w:spacing w:line="360" w:lineRule="auto"/>
              <w:ind w:left="105" w:leftChars="0"/>
              <w:textAlignment w:val="auto"/>
              <w:rPr>
                <w:rFonts w:hint="default" w:ascii="Times New Roman" w:hAnsi="Times New Roman" w:eastAsia="宋体" w:cs="Times New Roman"/>
                <w:szCs w:val="21"/>
                <w:highlight w:val="none"/>
                <w:lang w:val="en-US" w:bidi="zh-CN"/>
              </w:rPr>
            </w:pPr>
            <w:r>
              <w:rPr>
                <w:rFonts w:hint="eastAsia" w:ascii="Times New Roman" w:hAnsi="Times New Roman" w:eastAsia="宋体" w:cs="Times New Roman"/>
                <w:szCs w:val="21"/>
                <w:highlight w:val="none"/>
                <w:lang w:val="en-US" w:bidi="zh-CN"/>
              </w:rPr>
              <w:t>问题9：公司目前新加坡、马来西亚的海外投资有何进展，后续具体准备怎么安排？</w:t>
            </w:r>
          </w:p>
          <w:p w14:paraId="3FE580CC">
            <w:pPr>
              <w:keepNext w:val="0"/>
              <w:keepLines w:val="0"/>
              <w:pageBreakBefore w:val="0"/>
              <w:widowControl w:val="0"/>
              <w:numPr>
                <w:ilvl w:val="0"/>
                <w:numId w:val="0"/>
              </w:numPr>
              <w:kinsoku/>
              <w:wordWrap w:val="0"/>
              <w:overflowPunct/>
              <w:topLinePunct w:val="0"/>
              <w:autoSpaceDE/>
              <w:autoSpaceDN/>
              <w:bidi w:val="0"/>
              <w:adjustRightInd w:val="0"/>
              <w:snapToGrid/>
              <w:spacing w:line="360" w:lineRule="auto"/>
              <w:ind w:left="105" w:leftChars="0"/>
              <w:textAlignment w:val="auto"/>
              <w:rPr>
                <w:rFonts w:hint="default" w:ascii="Times New Roman" w:hAnsi="Times New Roman" w:eastAsia="宋体" w:cs="Times New Roman"/>
                <w:szCs w:val="21"/>
                <w:highlight w:val="none"/>
                <w:lang w:val="en-US" w:bidi="zh-CN"/>
              </w:rPr>
            </w:pPr>
            <w:r>
              <w:rPr>
                <w:rFonts w:hint="eastAsia" w:ascii="Times New Roman" w:hAnsi="Times New Roman" w:eastAsia="宋体" w:cs="Times New Roman"/>
                <w:szCs w:val="21"/>
                <w:highlight w:val="none"/>
                <w:lang w:val="en-US" w:bidi="zh-CN"/>
              </w:rPr>
              <w:t>答：海外投资布局是公司根据下游客户对于全球供应链规划，结合对产业未来需求的研判而进行的前瞻性布局。经前期ODI审核，目前相关事项已进入实质性推进阶段，后续有待海外的土地购置、厂房建设、设备投资等事项，整体周期较长。未来海外主体将在母公司的支持下，充分参与海外客户的国际产业链协同，平衡区域性经贸政策变化的风险；国内主体仍是接下来业务推进的核心，可以结合我国产业链全品类布局、强产能储备、高效率运行的综合优势，更好地参与国际市场竞争，形成“以内为主、以外为辅、内外并济”的整体布局。</w:t>
            </w:r>
          </w:p>
          <w:p w14:paraId="5125FABE">
            <w:pPr>
              <w:keepNext w:val="0"/>
              <w:keepLines w:val="0"/>
              <w:pageBreakBefore w:val="0"/>
              <w:widowControl w:val="0"/>
              <w:numPr>
                <w:ilvl w:val="0"/>
                <w:numId w:val="0"/>
              </w:numPr>
              <w:kinsoku/>
              <w:wordWrap w:val="0"/>
              <w:overflowPunct/>
              <w:topLinePunct w:val="0"/>
              <w:autoSpaceDE/>
              <w:autoSpaceDN/>
              <w:bidi w:val="0"/>
              <w:adjustRightInd w:val="0"/>
              <w:snapToGrid/>
              <w:spacing w:line="360" w:lineRule="auto"/>
              <w:ind w:left="105" w:leftChars="0"/>
              <w:textAlignment w:val="auto"/>
              <w:rPr>
                <w:rFonts w:hint="eastAsia" w:ascii="Times New Roman" w:hAnsi="Times New Roman" w:eastAsia="宋体" w:cs="Times New Roman"/>
                <w:szCs w:val="21"/>
                <w:highlight w:val="none"/>
                <w:lang w:val="en-US" w:bidi="zh-CN"/>
              </w:rPr>
            </w:pPr>
          </w:p>
          <w:p w14:paraId="762A20F6">
            <w:pPr>
              <w:keepNext w:val="0"/>
              <w:keepLines w:val="0"/>
              <w:pageBreakBefore w:val="0"/>
              <w:widowControl w:val="0"/>
              <w:numPr>
                <w:ilvl w:val="0"/>
                <w:numId w:val="0"/>
              </w:numPr>
              <w:kinsoku/>
              <w:wordWrap w:val="0"/>
              <w:overflowPunct/>
              <w:topLinePunct w:val="0"/>
              <w:autoSpaceDE/>
              <w:autoSpaceDN/>
              <w:bidi w:val="0"/>
              <w:adjustRightInd w:val="0"/>
              <w:snapToGrid/>
              <w:spacing w:line="360" w:lineRule="auto"/>
              <w:ind w:left="105" w:leftChars="0"/>
              <w:textAlignment w:val="auto"/>
              <w:rPr>
                <w:rFonts w:hint="default" w:ascii="Times New Roman" w:hAnsi="Times New Roman" w:eastAsia="宋体" w:cs="Times New Roman"/>
                <w:szCs w:val="21"/>
                <w:highlight w:val="none"/>
                <w:lang w:val="en-US" w:bidi="zh-CN"/>
              </w:rPr>
            </w:pPr>
            <w:r>
              <w:rPr>
                <w:rFonts w:hint="eastAsia" w:ascii="Times New Roman" w:hAnsi="Times New Roman" w:eastAsia="宋体" w:cs="Times New Roman"/>
                <w:szCs w:val="21"/>
                <w:highlight w:val="none"/>
                <w:lang w:val="en-US" w:bidi="zh-CN"/>
              </w:rPr>
              <w:t>问题10：公司对于募投项目的推进节奏是怎么安排的？公司近年来对外投资安排较多，能否及时、充分地利用新增产能，尽早形成效益？</w:t>
            </w:r>
          </w:p>
          <w:p w14:paraId="074C19A4">
            <w:pPr>
              <w:keepNext w:val="0"/>
              <w:keepLines w:val="0"/>
              <w:pageBreakBefore w:val="0"/>
              <w:widowControl w:val="0"/>
              <w:numPr>
                <w:ilvl w:val="0"/>
                <w:numId w:val="0"/>
              </w:numPr>
              <w:kinsoku/>
              <w:wordWrap w:val="0"/>
              <w:overflowPunct/>
              <w:topLinePunct w:val="0"/>
              <w:autoSpaceDE/>
              <w:autoSpaceDN/>
              <w:bidi w:val="0"/>
              <w:adjustRightInd w:val="0"/>
              <w:snapToGrid/>
              <w:spacing w:line="360" w:lineRule="auto"/>
              <w:ind w:left="105" w:leftChars="0"/>
              <w:textAlignment w:val="auto"/>
              <w:rPr>
                <w:rFonts w:hint="default" w:ascii="Times New Roman" w:hAnsi="Times New Roman" w:eastAsia="宋体" w:cs="Times New Roman"/>
                <w:szCs w:val="21"/>
                <w:highlight w:val="none"/>
                <w:lang w:val="en-US" w:bidi="zh-CN"/>
              </w:rPr>
            </w:pPr>
            <w:r>
              <w:rPr>
                <w:rFonts w:hint="eastAsia" w:ascii="Times New Roman" w:hAnsi="Times New Roman" w:eastAsia="宋体" w:cs="Times New Roman"/>
                <w:szCs w:val="21"/>
                <w:highlight w:val="none"/>
                <w:lang w:val="en-US" w:bidi="zh-CN"/>
              </w:rPr>
              <w:t>答：公司本轮募投项目均是针对产业需求已经凸显或即将放量的布局，相关推进节奏主要取决于下游市场的进展预期。例如“</w:t>
            </w:r>
            <w:r>
              <w:rPr>
                <w:rFonts w:hint="eastAsia"/>
                <w:color w:val="000000"/>
              </w:rPr>
              <w:t>玻璃非球面透镜生产能力提升项目</w:t>
            </w:r>
            <w:r>
              <w:rPr>
                <w:rFonts w:hint="eastAsia" w:ascii="Times New Roman" w:hAnsi="Times New Roman" w:eastAsia="宋体" w:cs="Times New Roman"/>
                <w:szCs w:val="21"/>
                <w:highlight w:val="none"/>
                <w:lang w:val="en-US" w:bidi="zh-CN"/>
              </w:rPr>
              <w:t>”，下游光通信、消费电子等领域的需求正快速增长，公司前期通过自有资金进行了较快地投入，截至半年报时间节点，新增在建工程达42,071,805.29元；而“AR光学产品产业化建设项目”、“微纳光学元器件研发及产业化项目”作为匹配相对更前沿应用的募投项目，更多地结合了下游客户的推进节奏，随着量产方案的逐步定型将在不同阶段进行分批投入，确保资产的利用效率。尽管随着业务的快速增长，公司的投资力度有所加大，但是公司保持了高度聚焦，始终将位处嘉兴的两块厂区作为</w:t>
            </w:r>
            <w:bookmarkStart w:id="0" w:name="_GoBack"/>
            <w:bookmarkEnd w:id="0"/>
            <w:r>
              <w:rPr>
                <w:rFonts w:hint="eastAsia" w:ascii="Times New Roman" w:hAnsi="Times New Roman" w:eastAsia="宋体" w:cs="Times New Roman"/>
                <w:szCs w:val="21"/>
                <w:highlight w:val="none"/>
                <w:lang w:val="en-US" w:bidi="zh-CN"/>
              </w:rPr>
              <w:t>重点，可以最大化发挥具备生产与管理成熟经验的团队的协同作用。</w:t>
            </w:r>
          </w:p>
          <w:p w14:paraId="73496E6A">
            <w:pPr>
              <w:keepNext w:val="0"/>
              <w:keepLines w:val="0"/>
              <w:pageBreakBefore w:val="0"/>
              <w:widowControl w:val="0"/>
              <w:numPr>
                <w:ilvl w:val="0"/>
                <w:numId w:val="0"/>
              </w:numPr>
              <w:kinsoku/>
              <w:wordWrap w:val="0"/>
              <w:overflowPunct/>
              <w:topLinePunct w:val="0"/>
              <w:autoSpaceDE/>
              <w:autoSpaceDN/>
              <w:bidi w:val="0"/>
              <w:adjustRightInd w:val="0"/>
              <w:snapToGrid/>
              <w:spacing w:line="360" w:lineRule="auto"/>
              <w:ind w:left="105" w:leftChars="0"/>
              <w:textAlignment w:val="auto"/>
              <w:rPr>
                <w:rFonts w:hint="default" w:ascii="Times New Roman" w:hAnsi="Times New Roman" w:eastAsia="宋体" w:cs="Times New Roman"/>
                <w:szCs w:val="21"/>
                <w:highlight w:val="none"/>
                <w:lang w:val="en-US" w:bidi="zh-CN"/>
              </w:rPr>
            </w:pPr>
          </w:p>
          <w:p w14:paraId="44BFF0C7">
            <w:pPr>
              <w:keepNext w:val="0"/>
              <w:keepLines w:val="0"/>
              <w:pageBreakBefore w:val="0"/>
              <w:widowControl w:val="0"/>
              <w:numPr>
                <w:ilvl w:val="0"/>
                <w:numId w:val="0"/>
              </w:numPr>
              <w:kinsoku/>
              <w:wordWrap w:val="0"/>
              <w:overflowPunct/>
              <w:topLinePunct w:val="0"/>
              <w:autoSpaceDE/>
              <w:autoSpaceDN/>
              <w:bidi w:val="0"/>
              <w:adjustRightInd w:val="0"/>
              <w:snapToGrid/>
              <w:spacing w:line="360" w:lineRule="auto"/>
              <w:ind w:left="105" w:leftChars="0"/>
              <w:textAlignment w:val="auto"/>
              <w:rPr>
                <w:rFonts w:hint="default" w:ascii="Times New Roman" w:hAnsi="Times New Roman" w:eastAsia="宋体" w:cs="Times New Roman"/>
                <w:szCs w:val="21"/>
                <w:highlight w:val="none"/>
                <w:lang w:val="en-US" w:eastAsia="zh-CN" w:bidi="zh-CN"/>
              </w:rPr>
            </w:pPr>
            <w:r>
              <w:rPr>
                <w:rFonts w:hint="default" w:ascii="Times New Roman" w:hAnsi="Times New Roman" w:eastAsia="宋体" w:cs="Times New Roman"/>
                <w:szCs w:val="21"/>
                <w:highlight w:val="none"/>
                <w:lang w:val="en-US" w:bidi="zh-CN"/>
              </w:rPr>
              <w:t>更多调研情况及重复性问题，也可查阅公司于上证E互动平台</w:t>
            </w:r>
            <w:r>
              <w:rPr>
                <w:rFonts w:hint="eastAsia" w:ascii="Times New Roman" w:hAnsi="Times New Roman" w:eastAsia="宋体" w:cs="Times New Roman"/>
                <w:szCs w:val="21"/>
                <w:highlight w:val="none"/>
                <w:lang w:val="en-US" w:bidi="zh-CN"/>
              </w:rPr>
              <w:t>“</w:t>
            </w:r>
            <w:r>
              <w:rPr>
                <w:rFonts w:hint="default" w:ascii="Times New Roman" w:hAnsi="Times New Roman" w:eastAsia="宋体" w:cs="Times New Roman"/>
                <w:szCs w:val="21"/>
                <w:highlight w:val="none"/>
                <w:lang w:val="en-US" w:bidi="zh-CN"/>
              </w:rPr>
              <w:t>上市公司发布</w:t>
            </w:r>
            <w:r>
              <w:rPr>
                <w:rFonts w:hint="eastAsia" w:ascii="Times New Roman" w:hAnsi="Times New Roman" w:eastAsia="宋体" w:cs="Times New Roman"/>
                <w:szCs w:val="21"/>
                <w:highlight w:val="none"/>
                <w:lang w:val="en-US" w:bidi="zh-CN"/>
              </w:rPr>
              <w:t>”</w:t>
            </w:r>
            <w:r>
              <w:rPr>
                <w:rFonts w:hint="default" w:ascii="Times New Roman" w:hAnsi="Times New Roman" w:eastAsia="宋体" w:cs="Times New Roman"/>
                <w:szCs w:val="21"/>
                <w:highlight w:val="none"/>
                <w:lang w:val="en-US" w:bidi="zh-CN"/>
              </w:rPr>
              <w:t>栏目刊载的各期《投资者关系活动记录表》</w:t>
            </w:r>
          </w:p>
        </w:tc>
      </w:tr>
      <w:tr w14:paraId="7BF54EC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643" w:type="dxa"/>
            <w:vAlign w:val="center"/>
          </w:tcPr>
          <w:p w14:paraId="11AE6CF8">
            <w:pPr>
              <w:keepNext w:val="0"/>
              <w:keepLines w:val="0"/>
              <w:pageBreakBefore w:val="0"/>
              <w:widowControl w:val="0"/>
              <w:kinsoku/>
              <w:wordWrap w:val="0"/>
              <w:overflowPunct/>
              <w:topLinePunct w:val="0"/>
              <w:autoSpaceDE/>
              <w:autoSpaceDN/>
              <w:bidi w:val="0"/>
              <w:adjustRightInd w:val="0"/>
              <w:snapToGrid/>
              <w:spacing w:line="360" w:lineRule="auto"/>
              <w:jc w:val="left"/>
              <w:textAlignment w:val="auto"/>
              <w:rPr>
                <w:rFonts w:ascii="Times New Roman" w:hAnsi="Times New Roman" w:eastAsia="宋体" w:cs="Times New Roman"/>
                <w:b/>
                <w:szCs w:val="21"/>
                <w:highlight w:val="none"/>
                <w:lang w:bidi="zh-CN"/>
              </w:rPr>
            </w:pPr>
            <w:r>
              <w:rPr>
                <w:rFonts w:ascii="Times New Roman" w:hAnsi="Times New Roman" w:eastAsia="宋体" w:cs="Times New Roman"/>
                <w:b/>
                <w:szCs w:val="21"/>
                <w:highlight w:val="none"/>
                <w:lang w:bidi="zh-CN"/>
              </w:rPr>
              <w:t>附件清单(如有)</w:t>
            </w:r>
          </w:p>
        </w:tc>
        <w:tc>
          <w:tcPr>
            <w:tcW w:w="6635" w:type="dxa"/>
            <w:vAlign w:val="center"/>
          </w:tcPr>
          <w:p w14:paraId="4E6CDE9A">
            <w:pPr>
              <w:keepNext w:val="0"/>
              <w:keepLines w:val="0"/>
              <w:pageBreakBefore w:val="0"/>
              <w:widowControl w:val="0"/>
              <w:kinsoku/>
              <w:wordWrap w:val="0"/>
              <w:overflowPunct/>
              <w:topLinePunct w:val="0"/>
              <w:autoSpaceDE/>
              <w:autoSpaceDN/>
              <w:bidi w:val="0"/>
              <w:adjustRightInd w:val="0"/>
              <w:snapToGrid/>
              <w:spacing w:line="360" w:lineRule="auto"/>
              <w:textAlignment w:val="auto"/>
              <w:rPr>
                <w:rFonts w:ascii="Times New Roman" w:hAnsi="Times New Roman" w:eastAsia="宋体" w:cs="Times New Roman"/>
                <w:szCs w:val="21"/>
                <w:highlight w:val="none"/>
                <w:lang w:bidi="zh-CN"/>
              </w:rPr>
            </w:pPr>
            <w:r>
              <w:rPr>
                <w:rFonts w:hint="eastAsia" w:ascii="Times New Roman" w:hAnsi="Times New Roman" w:eastAsia="宋体" w:cs="Times New Roman"/>
                <w:szCs w:val="21"/>
                <w:highlight w:val="none"/>
                <w:lang w:val="en-US" w:bidi="zh-CN"/>
              </w:rPr>
              <w:t>无</w:t>
            </w:r>
          </w:p>
        </w:tc>
      </w:tr>
      <w:tr w14:paraId="59E2FE9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888" w:hRule="atLeast"/>
          <w:jc w:val="center"/>
        </w:trPr>
        <w:tc>
          <w:tcPr>
            <w:tcW w:w="1643" w:type="dxa"/>
            <w:vAlign w:val="center"/>
          </w:tcPr>
          <w:p w14:paraId="7AA9175A">
            <w:pPr>
              <w:keepNext w:val="0"/>
              <w:keepLines w:val="0"/>
              <w:pageBreakBefore w:val="0"/>
              <w:widowControl w:val="0"/>
              <w:kinsoku/>
              <w:wordWrap w:val="0"/>
              <w:overflowPunct/>
              <w:topLinePunct w:val="0"/>
              <w:autoSpaceDE/>
              <w:autoSpaceDN/>
              <w:bidi w:val="0"/>
              <w:adjustRightInd w:val="0"/>
              <w:snapToGrid/>
              <w:spacing w:line="360" w:lineRule="auto"/>
              <w:jc w:val="left"/>
              <w:textAlignment w:val="auto"/>
              <w:rPr>
                <w:rFonts w:ascii="Times New Roman" w:hAnsi="Times New Roman" w:eastAsia="宋体" w:cs="Times New Roman"/>
                <w:b/>
                <w:szCs w:val="21"/>
                <w:highlight w:val="none"/>
                <w:lang w:bidi="zh-CN"/>
              </w:rPr>
            </w:pPr>
            <w:r>
              <w:rPr>
                <w:rFonts w:hint="eastAsia" w:ascii="Times New Roman" w:hAnsi="Times New Roman" w:eastAsia="宋体" w:cs="Times New Roman"/>
                <w:b/>
                <w:szCs w:val="21"/>
                <w:highlight w:val="none"/>
                <w:lang w:bidi="zh-CN"/>
              </w:rPr>
              <w:t>日期</w:t>
            </w:r>
          </w:p>
        </w:tc>
        <w:tc>
          <w:tcPr>
            <w:tcW w:w="6635" w:type="dxa"/>
            <w:vAlign w:val="center"/>
          </w:tcPr>
          <w:p w14:paraId="39BE6F89">
            <w:pPr>
              <w:keepNext w:val="0"/>
              <w:keepLines w:val="0"/>
              <w:pageBreakBefore w:val="0"/>
              <w:widowControl w:val="0"/>
              <w:kinsoku/>
              <w:wordWrap w:val="0"/>
              <w:overflowPunct/>
              <w:topLinePunct w:val="0"/>
              <w:autoSpaceDE/>
              <w:autoSpaceDN/>
              <w:bidi w:val="0"/>
              <w:adjustRightInd w:val="0"/>
              <w:snapToGrid/>
              <w:spacing w:line="360" w:lineRule="auto"/>
              <w:textAlignment w:val="auto"/>
              <w:rPr>
                <w:rFonts w:hint="default" w:ascii="Times New Roman" w:hAnsi="Times New Roman" w:eastAsia="宋体" w:cs="Times New Roman"/>
                <w:szCs w:val="21"/>
                <w:highlight w:val="none"/>
                <w:lang w:val="en-US" w:bidi="zh-CN"/>
              </w:rPr>
            </w:pPr>
            <w:r>
              <w:rPr>
                <w:rFonts w:hint="eastAsia" w:ascii="Times New Roman" w:hAnsi="Times New Roman" w:eastAsia="宋体" w:cs="Times New Roman"/>
                <w:szCs w:val="21"/>
                <w:highlight w:val="none"/>
                <w:lang w:val="en-US" w:bidi="zh-CN"/>
              </w:rPr>
              <w:t>2026年9月</w:t>
            </w:r>
            <w:r>
              <w:rPr>
                <w:rFonts w:hint="default" w:ascii="Times New Roman" w:hAnsi="Times New Roman" w:eastAsia="宋体" w:cs="Times New Roman"/>
                <w:szCs w:val="21"/>
                <w:highlight w:val="none"/>
                <w:lang w:val="en-US" w:bidi="zh-CN"/>
              </w:rPr>
              <w:t>3</w:t>
            </w:r>
            <w:r>
              <w:rPr>
                <w:rFonts w:hint="eastAsia" w:ascii="Times New Roman" w:hAnsi="Times New Roman" w:eastAsia="宋体" w:cs="Times New Roman"/>
                <w:szCs w:val="21"/>
                <w:highlight w:val="none"/>
                <w:lang w:val="en-US" w:bidi="zh-CN"/>
              </w:rPr>
              <w:t>日</w:t>
            </w:r>
          </w:p>
        </w:tc>
      </w:tr>
    </w:tbl>
    <w:p w14:paraId="168F4066"/>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Wingdings 2">
    <w:panose1 w:val="05020102010507070707"/>
    <w:charset w:val="00"/>
    <w:family w:val="auto"/>
    <w:pitch w:val="default"/>
    <w:sig w:usb0="00000000" w:usb1="00000000" w:usb2="00000000" w:usb3="00000000" w:csb0="80000000" w:csb1="0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3"/>
  <w:embedSystemFonts/>
  <w:bordersDoNotSurroundHeader w:val="0"/>
  <w:bordersDoNotSurroundFooter w:val="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UwNWViMDkyZjU4ZDFkM2YzNDJkZTAyYzIzYjE1ZjIifQ=="/>
  </w:docVars>
  <w:rsids>
    <w:rsidRoot w:val="00000000"/>
    <w:rsid w:val="00032666"/>
    <w:rsid w:val="000C47D9"/>
    <w:rsid w:val="00A023B1"/>
    <w:rsid w:val="00E32A81"/>
    <w:rsid w:val="01022C3A"/>
    <w:rsid w:val="01190476"/>
    <w:rsid w:val="016E6EB4"/>
    <w:rsid w:val="029274C2"/>
    <w:rsid w:val="02FF4DEB"/>
    <w:rsid w:val="0339243A"/>
    <w:rsid w:val="03443E9D"/>
    <w:rsid w:val="03456394"/>
    <w:rsid w:val="037713DD"/>
    <w:rsid w:val="037F34BF"/>
    <w:rsid w:val="038538EF"/>
    <w:rsid w:val="03A93A49"/>
    <w:rsid w:val="03B27CF0"/>
    <w:rsid w:val="03BC1181"/>
    <w:rsid w:val="03F91F70"/>
    <w:rsid w:val="04393E22"/>
    <w:rsid w:val="047B3904"/>
    <w:rsid w:val="04827B7E"/>
    <w:rsid w:val="049002D1"/>
    <w:rsid w:val="04A967B2"/>
    <w:rsid w:val="04E1279A"/>
    <w:rsid w:val="05123C3C"/>
    <w:rsid w:val="055D6682"/>
    <w:rsid w:val="057B6655"/>
    <w:rsid w:val="05ED3EA3"/>
    <w:rsid w:val="05F51462"/>
    <w:rsid w:val="05F75321"/>
    <w:rsid w:val="06106A36"/>
    <w:rsid w:val="06147E13"/>
    <w:rsid w:val="06581AF4"/>
    <w:rsid w:val="072144F2"/>
    <w:rsid w:val="07310215"/>
    <w:rsid w:val="07593D19"/>
    <w:rsid w:val="07B537D1"/>
    <w:rsid w:val="083C4F30"/>
    <w:rsid w:val="08736D63"/>
    <w:rsid w:val="087C725B"/>
    <w:rsid w:val="0900764A"/>
    <w:rsid w:val="095A4392"/>
    <w:rsid w:val="09823E4E"/>
    <w:rsid w:val="0A1D25F6"/>
    <w:rsid w:val="0A790515"/>
    <w:rsid w:val="0ABF3A19"/>
    <w:rsid w:val="0AD22E6F"/>
    <w:rsid w:val="0B9B5C03"/>
    <w:rsid w:val="0C1B4BF7"/>
    <w:rsid w:val="0C734E44"/>
    <w:rsid w:val="0CAF61E6"/>
    <w:rsid w:val="0CC72065"/>
    <w:rsid w:val="0CC80AA3"/>
    <w:rsid w:val="0D6D29A5"/>
    <w:rsid w:val="0D7D6E58"/>
    <w:rsid w:val="0DCF646F"/>
    <w:rsid w:val="0E010CC3"/>
    <w:rsid w:val="0E1F3688"/>
    <w:rsid w:val="0E2766C1"/>
    <w:rsid w:val="0E45273C"/>
    <w:rsid w:val="0E4F7C80"/>
    <w:rsid w:val="0E552C0F"/>
    <w:rsid w:val="0ECF73B5"/>
    <w:rsid w:val="0F077D11"/>
    <w:rsid w:val="0F172656"/>
    <w:rsid w:val="0F2D39FE"/>
    <w:rsid w:val="0F3D2C9F"/>
    <w:rsid w:val="0F5A79CA"/>
    <w:rsid w:val="0FA05976"/>
    <w:rsid w:val="0FA461C7"/>
    <w:rsid w:val="0FDB7858"/>
    <w:rsid w:val="105A7988"/>
    <w:rsid w:val="10F71F5F"/>
    <w:rsid w:val="110F4334"/>
    <w:rsid w:val="111C6E89"/>
    <w:rsid w:val="117B688A"/>
    <w:rsid w:val="11B155CC"/>
    <w:rsid w:val="11D566EF"/>
    <w:rsid w:val="11E855BC"/>
    <w:rsid w:val="127B0BEC"/>
    <w:rsid w:val="1361789C"/>
    <w:rsid w:val="13903FF3"/>
    <w:rsid w:val="13A82BAA"/>
    <w:rsid w:val="13B41669"/>
    <w:rsid w:val="13C77210"/>
    <w:rsid w:val="147F555A"/>
    <w:rsid w:val="14EC2ED6"/>
    <w:rsid w:val="157D2241"/>
    <w:rsid w:val="15A51A0E"/>
    <w:rsid w:val="15D6245C"/>
    <w:rsid w:val="15F45700"/>
    <w:rsid w:val="15FE6B57"/>
    <w:rsid w:val="162D7777"/>
    <w:rsid w:val="16604898"/>
    <w:rsid w:val="16B419E2"/>
    <w:rsid w:val="16D44183"/>
    <w:rsid w:val="16E62D3C"/>
    <w:rsid w:val="172D2B8F"/>
    <w:rsid w:val="17EF7DDE"/>
    <w:rsid w:val="180513B0"/>
    <w:rsid w:val="18103989"/>
    <w:rsid w:val="18BA65C2"/>
    <w:rsid w:val="18BE5DDE"/>
    <w:rsid w:val="18E12026"/>
    <w:rsid w:val="18E91FF9"/>
    <w:rsid w:val="19E0082F"/>
    <w:rsid w:val="1A0C684E"/>
    <w:rsid w:val="1A9061AE"/>
    <w:rsid w:val="1ACB4CD6"/>
    <w:rsid w:val="1B4042AB"/>
    <w:rsid w:val="1BA55384"/>
    <w:rsid w:val="1BCB0929"/>
    <w:rsid w:val="1C0C31C6"/>
    <w:rsid w:val="1C1F3E6E"/>
    <w:rsid w:val="1C221EAF"/>
    <w:rsid w:val="1C4557FE"/>
    <w:rsid w:val="1C8645EB"/>
    <w:rsid w:val="1C8B33D3"/>
    <w:rsid w:val="1C9F38F1"/>
    <w:rsid w:val="1CC9148D"/>
    <w:rsid w:val="1D0826AB"/>
    <w:rsid w:val="1D176477"/>
    <w:rsid w:val="1DED4048"/>
    <w:rsid w:val="1E53229E"/>
    <w:rsid w:val="1E66087C"/>
    <w:rsid w:val="1F01611E"/>
    <w:rsid w:val="1F291DAB"/>
    <w:rsid w:val="1F2D74B1"/>
    <w:rsid w:val="1F882FF2"/>
    <w:rsid w:val="1FF033E6"/>
    <w:rsid w:val="200E1A61"/>
    <w:rsid w:val="20157CA1"/>
    <w:rsid w:val="206C3AF7"/>
    <w:rsid w:val="207A355B"/>
    <w:rsid w:val="21567C59"/>
    <w:rsid w:val="21640B5F"/>
    <w:rsid w:val="21677454"/>
    <w:rsid w:val="21B15EE9"/>
    <w:rsid w:val="21B55BF5"/>
    <w:rsid w:val="21BA1CAB"/>
    <w:rsid w:val="21DD3756"/>
    <w:rsid w:val="22072F5A"/>
    <w:rsid w:val="22202439"/>
    <w:rsid w:val="22C36784"/>
    <w:rsid w:val="235166BB"/>
    <w:rsid w:val="23963A8F"/>
    <w:rsid w:val="24005E05"/>
    <w:rsid w:val="24251E0B"/>
    <w:rsid w:val="2555771B"/>
    <w:rsid w:val="263712CE"/>
    <w:rsid w:val="26AB7503"/>
    <w:rsid w:val="27130601"/>
    <w:rsid w:val="273B7D5C"/>
    <w:rsid w:val="276F4B1E"/>
    <w:rsid w:val="27C87DF9"/>
    <w:rsid w:val="27D112AE"/>
    <w:rsid w:val="281A3C80"/>
    <w:rsid w:val="282C5FC7"/>
    <w:rsid w:val="28823561"/>
    <w:rsid w:val="29503259"/>
    <w:rsid w:val="296C7B58"/>
    <w:rsid w:val="29886314"/>
    <w:rsid w:val="29D8316A"/>
    <w:rsid w:val="2A685122"/>
    <w:rsid w:val="2A6E2639"/>
    <w:rsid w:val="2A9C1C06"/>
    <w:rsid w:val="2AA57BAA"/>
    <w:rsid w:val="2B223422"/>
    <w:rsid w:val="2B283981"/>
    <w:rsid w:val="2B3B07B0"/>
    <w:rsid w:val="2B914BC1"/>
    <w:rsid w:val="2B9B03EC"/>
    <w:rsid w:val="2BB07B29"/>
    <w:rsid w:val="2BF67536"/>
    <w:rsid w:val="2C093CF8"/>
    <w:rsid w:val="2C4E72E7"/>
    <w:rsid w:val="2CB7474A"/>
    <w:rsid w:val="2CC24F50"/>
    <w:rsid w:val="2CC7392A"/>
    <w:rsid w:val="2CD240F3"/>
    <w:rsid w:val="2CDB60BB"/>
    <w:rsid w:val="2CF939A9"/>
    <w:rsid w:val="2CFB6501"/>
    <w:rsid w:val="2D0F4B02"/>
    <w:rsid w:val="2D2105E2"/>
    <w:rsid w:val="2D677E27"/>
    <w:rsid w:val="2D7058FD"/>
    <w:rsid w:val="2D8B23A1"/>
    <w:rsid w:val="2D9E06C1"/>
    <w:rsid w:val="2DD762FB"/>
    <w:rsid w:val="2DF9591E"/>
    <w:rsid w:val="2DFE303D"/>
    <w:rsid w:val="2E2502A5"/>
    <w:rsid w:val="2E265AC6"/>
    <w:rsid w:val="2E322740"/>
    <w:rsid w:val="2E444588"/>
    <w:rsid w:val="2E6C7E32"/>
    <w:rsid w:val="2E7216E3"/>
    <w:rsid w:val="2F1A353B"/>
    <w:rsid w:val="2FE222AB"/>
    <w:rsid w:val="30657EDF"/>
    <w:rsid w:val="309D0830"/>
    <w:rsid w:val="30C63BCA"/>
    <w:rsid w:val="30E241D3"/>
    <w:rsid w:val="31104664"/>
    <w:rsid w:val="317734B0"/>
    <w:rsid w:val="31A52C05"/>
    <w:rsid w:val="31C91255"/>
    <w:rsid w:val="32C70ABF"/>
    <w:rsid w:val="32ED7A7A"/>
    <w:rsid w:val="330F5C4C"/>
    <w:rsid w:val="331A7FAD"/>
    <w:rsid w:val="332C1000"/>
    <w:rsid w:val="332F3899"/>
    <w:rsid w:val="335830F9"/>
    <w:rsid w:val="33656EAC"/>
    <w:rsid w:val="33B57138"/>
    <w:rsid w:val="33B801F8"/>
    <w:rsid w:val="33DB2950"/>
    <w:rsid w:val="341474A9"/>
    <w:rsid w:val="345B598B"/>
    <w:rsid w:val="3460041A"/>
    <w:rsid w:val="346409A3"/>
    <w:rsid w:val="3464424C"/>
    <w:rsid w:val="347E2D63"/>
    <w:rsid w:val="35666E49"/>
    <w:rsid w:val="358D2D91"/>
    <w:rsid w:val="359511C1"/>
    <w:rsid w:val="35EA2348"/>
    <w:rsid w:val="36520C6B"/>
    <w:rsid w:val="3714631B"/>
    <w:rsid w:val="37164A80"/>
    <w:rsid w:val="373B1052"/>
    <w:rsid w:val="375907FA"/>
    <w:rsid w:val="37C570F6"/>
    <w:rsid w:val="37C91FBC"/>
    <w:rsid w:val="37F92887"/>
    <w:rsid w:val="382947EF"/>
    <w:rsid w:val="38714C39"/>
    <w:rsid w:val="38C827DF"/>
    <w:rsid w:val="38F06283"/>
    <w:rsid w:val="38FF121C"/>
    <w:rsid w:val="39017BED"/>
    <w:rsid w:val="397C551E"/>
    <w:rsid w:val="3A08796B"/>
    <w:rsid w:val="3A0D7BBB"/>
    <w:rsid w:val="3A3D5D1F"/>
    <w:rsid w:val="3A3E6516"/>
    <w:rsid w:val="3A5F274A"/>
    <w:rsid w:val="3A881CA1"/>
    <w:rsid w:val="3AB54534"/>
    <w:rsid w:val="3AB9725F"/>
    <w:rsid w:val="3B333ED3"/>
    <w:rsid w:val="3B704955"/>
    <w:rsid w:val="3BA340DD"/>
    <w:rsid w:val="3BBF5238"/>
    <w:rsid w:val="3C2679C3"/>
    <w:rsid w:val="3C2D2745"/>
    <w:rsid w:val="3C314964"/>
    <w:rsid w:val="3CCA291F"/>
    <w:rsid w:val="3DB3365A"/>
    <w:rsid w:val="3DE95260"/>
    <w:rsid w:val="3E3B1FF2"/>
    <w:rsid w:val="3E505124"/>
    <w:rsid w:val="3ED60988"/>
    <w:rsid w:val="3F0C184D"/>
    <w:rsid w:val="3F313ACA"/>
    <w:rsid w:val="3F7F4592"/>
    <w:rsid w:val="3FBB2014"/>
    <w:rsid w:val="3FED4B13"/>
    <w:rsid w:val="40BC029F"/>
    <w:rsid w:val="40CB47DE"/>
    <w:rsid w:val="410B1750"/>
    <w:rsid w:val="41405561"/>
    <w:rsid w:val="4158794D"/>
    <w:rsid w:val="41B22447"/>
    <w:rsid w:val="420664B4"/>
    <w:rsid w:val="423613AB"/>
    <w:rsid w:val="42D77C69"/>
    <w:rsid w:val="42D9753D"/>
    <w:rsid w:val="42ED09A0"/>
    <w:rsid w:val="43684827"/>
    <w:rsid w:val="436D1AAF"/>
    <w:rsid w:val="438E5484"/>
    <w:rsid w:val="438F592E"/>
    <w:rsid w:val="43AD3553"/>
    <w:rsid w:val="43C02D13"/>
    <w:rsid w:val="43DB49DA"/>
    <w:rsid w:val="43FF0A45"/>
    <w:rsid w:val="44160A0B"/>
    <w:rsid w:val="446E182A"/>
    <w:rsid w:val="44AE6036"/>
    <w:rsid w:val="450420BF"/>
    <w:rsid w:val="45406558"/>
    <w:rsid w:val="458C54FA"/>
    <w:rsid w:val="459A20F0"/>
    <w:rsid w:val="45C029D1"/>
    <w:rsid w:val="4642364B"/>
    <w:rsid w:val="4654337F"/>
    <w:rsid w:val="46BF7270"/>
    <w:rsid w:val="46E21313"/>
    <w:rsid w:val="471A4AAA"/>
    <w:rsid w:val="4751365B"/>
    <w:rsid w:val="478A1605"/>
    <w:rsid w:val="47E66D2D"/>
    <w:rsid w:val="483E09B6"/>
    <w:rsid w:val="48AD65E2"/>
    <w:rsid w:val="48D702AC"/>
    <w:rsid w:val="48DA7E13"/>
    <w:rsid w:val="490953BD"/>
    <w:rsid w:val="49357497"/>
    <w:rsid w:val="494A3537"/>
    <w:rsid w:val="4952188C"/>
    <w:rsid w:val="49D0488A"/>
    <w:rsid w:val="4A113A61"/>
    <w:rsid w:val="4A743FEF"/>
    <w:rsid w:val="4AE7656F"/>
    <w:rsid w:val="4AF15D0A"/>
    <w:rsid w:val="4AF8193E"/>
    <w:rsid w:val="4AF96686"/>
    <w:rsid w:val="4B2B2900"/>
    <w:rsid w:val="4B7A5635"/>
    <w:rsid w:val="4BB76BA1"/>
    <w:rsid w:val="4C012066"/>
    <w:rsid w:val="4C743014"/>
    <w:rsid w:val="4CE41AC8"/>
    <w:rsid w:val="4CF97D81"/>
    <w:rsid w:val="4D2B467A"/>
    <w:rsid w:val="4D4F6AB4"/>
    <w:rsid w:val="4D63288B"/>
    <w:rsid w:val="4DBB64EA"/>
    <w:rsid w:val="4DBF0429"/>
    <w:rsid w:val="4E1404D0"/>
    <w:rsid w:val="4E2A05FC"/>
    <w:rsid w:val="4E5C086E"/>
    <w:rsid w:val="4E9021FB"/>
    <w:rsid w:val="4EB76307"/>
    <w:rsid w:val="4EE76801"/>
    <w:rsid w:val="4F2C0896"/>
    <w:rsid w:val="4F4C3A20"/>
    <w:rsid w:val="4F505B0A"/>
    <w:rsid w:val="4FAA7F3F"/>
    <w:rsid w:val="4FC236A8"/>
    <w:rsid w:val="4FE201EE"/>
    <w:rsid w:val="4FEE7C39"/>
    <w:rsid w:val="5021648E"/>
    <w:rsid w:val="50563B26"/>
    <w:rsid w:val="50650BCF"/>
    <w:rsid w:val="5065592D"/>
    <w:rsid w:val="506F33F9"/>
    <w:rsid w:val="507D7A17"/>
    <w:rsid w:val="507E48E4"/>
    <w:rsid w:val="50A87609"/>
    <w:rsid w:val="50C23D20"/>
    <w:rsid w:val="50D13F4A"/>
    <w:rsid w:val="510A7266"/>
    <w:rsid w:val="511567CA"/>
    <w:rsid w:val="51B8106A"/>
    <w:rsid w:val="51C124AC"/>
    <w:rsid w:val="51EB20A3"/>
    <w:rsid w:val="51EE7F3B"/>
    <w:rsid w:val="522D65F5"/>
    <w:rsid w:val="52446D28"/>
    <w:rsid w:val="52581C53"/>
    <w:rsid w:val="53075A21"/>
    <w:rsid w:val="53341FF6"/>
    <w:rsid w:val="535E6EB0"/>
    <w:rsid w:val="53B90AC4"/>
    <w:rsid w:val="54E168B6"/>
    <w:rsid w:val="554A7454"/>
    <w:rsid w:val="559870E4"/>
    <w:rsid w:val="55CA6487"/>
    <w:rsid w:val="56DD38C3"/>
    <w:rsid w:val="56F43FCF"/>
    <w:rsid w:val="5768750F"/>
    <w:rsid w:val="5800647A"/>
    <w:rsid w:val="585A4984"/>
    <w:rsid w:val="585B1DB0"/>
    <w:rsid w:val="59444546"/>
    <w:rsid w:val="59675B3B"/>
    <w:rsid w:val="59AC4681"/>
    <w:rsid w:val="59AE226E"/>
    <w:rsid w:val="59E76AB1"/>
    <w:rsid w:val="5AB83A84"/>
    <w:rsid w:val="5AC61167"/>
    <w:rsid w:val="5B3F448A"/>
    <w:rsid w:val="5B436B49"/>
    <w:rsid w:val="5B7B3A65"/>
    <w:rsid w:val="5B920963"/>
    <w:rsid w:val="5B9F0F32"/>
    <w:rsid w:val="5BB8246C"/>
    <w:rsid w:val="5BDA02E7"/>
    <w:rsid w:val="5C0F3C4F"/>
    <w:rsid w:val="5C2E290C"/>
    <w:rsid w:val="5C527684"/>
    <w:rsid w:val="5C6172C6"/>
    <w:rsid w:val="5C652EC9"/>
    <w:rsid w:val="5C7B52A9"/>
    <w:rsid w:val="5CBB785C"/>
    <w:rsid w:val="5D547894"/>
    <w:rsid w:val="5D68099B"/>
    <w:rsid w:val="5DB4669E"/>
    <w:rsid w:val="5DD940FE"/>
    <w:rsid w:val="5DF713FC"/>
    <w:rsid w:val="5E266FE4"/>
    <w:rsid w:val="5E4B7FEE"/>
    <w:rsid w:val="5E912F6A"/>
    <w:rsid w:val="5F2D4824"/>
    <w:rsid w:val="5F616824"/>
    <w:rsid w:val="5FA10A92"/>
    <w:rsid w:val="5FA218B2"/>
    <w:rsid w:val="5FFB3C2E"/>
    <w:rsid w:val="603D4424"/>
    <w:rsid w:val="606764AF"/>
    <w:rsid w:val="60A35A95"/>
    <w:rsid w:val="60D978C2"/>
    <w:rsid w:val="60DB2058"/>
    <w:rsid w:val="61221470"/>
    <w:rsid w:val="61646974"/>
    <w:rsid w:val="61DF3082"/>
    <w:rsid w:val="62224132"/>
    <w:rsid w:val="623C042E"/>
    <w:rsid w:val="627D5DB9"/>
    <w:rsid w:val="62833FDE"/>
    <w:rsid w:val="62D86DED"/>
    <w:rsid w:val="62F421E6"/>
    <w:rsid w:val="63584057"/>
    <w:rsid w:val="63703357"/>
    <w:rsid w:val="639D712F"/>
    <w:rsid w:val="64DE3B36"/>
    <w:rsid w:val="65562BD7"/>
    <w:rsid w:val="65636DAD"/>
    <w:rsid w:val="65F82C72"/>
    <w:rsid w:val="66704550"/>
    <w:rsid w:val="66FB2C4C"/>
    <w:rsid w:val="67095D94"/>
    <w:rsid w:val="679C6EB0"/>
    <w:rsid w:val="679D6DA0"/>
    <w:rsid w:val="67FB08EB"/>
    <w:rsid w:val="682B0CB5"/>
    <w:rsid w:val="685E761E"/>
    <w:rsid w:val="68B217F3"/>
    <w:rsid w:val="68F032F1"/>
    <w:rsid w:val="690C42F8"/>
    <w:rsid w:val="69B31FE7"/>
    <w:rsid w:val="69C302B2"/>
    <w:rsid w:val="6B155131"/>
    <w:rsid w:val="6B491B3A"/>
    <w:rsid w:val="6BBF2611"/>
    <w:rsid w:val="6BFA34BD"/>
    <w:rsid w:val="6C027A91"/>
    <w:rsid w:val="6C104A65"/>
    <w:rsid w:val="6C2041F8"/>
    <w:rsid w:val="6C45174F"/>
    <w:rsid w:val="6CB20FEE"/>
    <w:rsid w:val="6CCE57B8"/>
    <w:rsid w:val="6CD81816"/>
    <w:rsid w:val="6D6325E4"/>
    <w:rsid w:val="6D7149B5"/>
    <w:rsid w:val="6D9812E2"/>
    <w:rsid w:val="6DE420A8"/>
    <w:rsid w:val="6DFB5D0A"/>
    <w:rsid w:val="6E4755D4"/>
    <w:rsid w:val="6E4E2704"/>
    <w:rsid w:val="6ED83876"/>
    <w:rsid w:val="6F1B2437"/>
    <w:rsid w:val="6F212F2D"/>
    <w:rsid w:val="6F7E6BF3"/>
    <w:rsid w:val="6F953B80"/>
    <w:rsid w:val="6FC575EA"/>
    <w:rsid w:val="7016644C"/>
    <w:rsid w:val="703161C0"/>
    <w:rsid w:val="705A52B7"/>
    <w:rsid w:val="709F1A66"/>
    <w:rsid w:val="709F49FD"/>
    <w:rsid w:val="71264A75"/>
    <w:rsid w:val="715957A6"/>
    <w:rsid w:val="716D00B4"/>
    <w:rsid w:val="717E142F"/>
    <w:rsid w:val="717F61A5"/>
    <w:rsid w:val="71AB57A6"/>
    <w:rsid w:val="71AE1EE4"/>
    <w:rsid w:val="71EE22BB"/>
    <w:rsid w:val="722A4E10"/>
    <w:rsid w:val="72592D56"/>
    <w:rsid w:val="72961219"/>
    <w:rsid w:val="73433607"/>
    <w:rsid w:val="73765FA2"/>
    <w:rsid w:val="74093891"/>
    <w:rsid w:val="741465AA"/>
    <w:rsid w:val="74167CB8"/>
    <w:rsid w:val="74D6005D"/>
    <w:rsid w:val="752714C3"/>
    <w:rsid w:val="75B970BD"/>
    <w:rsid w:val="75F06A49"/>
    <w:rsid w:val="761052BE"/>
    <w:rsid w:val="76BB697E"/>
    <w:rsid w:val="76CC0E3F"/>
    <w:rsid w:val="7745091F"/>
    <w:rsid w:val="77562C3E"/>
    <w:rsid w:val="77687E6F"/>
    <w:rsid w:val="778B502A"/>
    <w:rsid w:val="78281CA6"/>
    <w:rsid w:val="7851324F"/>
    <w:rsid w:val="787455BB"/>
    <w:rsid w:val="78D07E15"/>
    <w:rsid w:val="78E366BB"/>
    <w:rsid w:val="792A2B36"/>
    <w:rsid w:val="79713C17"/>
    <w:rsid w:val="79962EAD"/>
    <w:rsid w:val="79B52A05"/>
    <w:rsid w:val="7A110A1F"/>
    <w:rsid w:val="7A1C798E"/>
    <w:rsid w:val="7A266FFD"/>
    <w:rsid w:val="7A2B7977"/>
    <w:rsid w:val="7A5727EB"/>
    <w:rsid w:val="7A7647C2"/>
    <w:rsid w:val="7AB44DDA"/>
    <w:rsid w:val="7AB922DC"/>
    <w:rsid w:val="7ABE7B5F"/>
    <w:rsid w:val="7AE45625"/>
    <w:rsid w:val="7AEB3004"/>
    <w:rsid w:val="7AEF0406"/>
    <w:rsid w:val="7BEA3A9F"/>
    <w:rsid w:val="7C8B0BA1"/>
    <w:rsid w:val="7C9100F2"/>
    <w:rsid w:val="7C9229DE"/>
    <w:rsid w:val="7CF56BE0"/>
    <w:rsid w:val="7D20456F"/>
    <w:rsid w:val="7D720A34"/>
    <w:rsid w:val="7D785C2B"/>
    <w:rsid w:val="7DE5053D"/>
    <w:rsid w:val="7E575F0D"/>
    <w:rsid w:val="7E832BA9"/>
    <w:rsid w:val="7EB62C8A"/>
    <w:rsid w:val="7ED12A1C"/>
    <w:rsid w:val="7F1A5F1B"/>
    <w:rsid w:val="7F4953D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autoRedefine/>
    <w:semiHidden/>
    <w:qFormat/>
    <w:uiPriority w:val="0"/>
  </w:style>
  <w:style w:type="table" w:default="1" w:styleId="3">
    <w:name w:val="Normal Table"/>
    <w:autoRedefine/>
    <w:semiHidden/>
    <w:qFormat/>
    <w:uiPriority w:val="0"/>
    <w:tblPr>
      <w:tblCellMar>
        <w:top w:w="0" w:type="dxa"/>
        <w:left w:w="108" w:type="dxa"/>
        <w:bottom w:w="0" w:type="dxa"/>
        <w:right w:w="108" w:type="dxa"/>
      </w:tblCellMar>
    </w:tblPr>
  </w:style>
  <w:style w:type="paragraph" w:styleId="2">
    <w:name w:val="annotation text"/>
    <w:basedOn w:val="1"/>
    <w:autoRedefine/>
    <w:qFormat/>
    <w:uiPriority w:val="0"/>
    <w:pPr>
      <w:jc w:val="left"/>
    </w:pPr>
  </w:style>
  <w:style w:type="table" w:styleId="4">
    <w:name w:val="Table Grid"/>
    <w:basedOn w:val="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4561</Words>
  <Characters>4697</Characters>
  <Lines>0</Lines>
  <Paragraphs>0</Paragraphs>
  <TotalTime>26</TotalTime>
  <ScaleCrop>false</ScaleCrop>
  <LinksUpToDate>false</LinksUpToDate>
  <CharactersWithSpaces>4772</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2020-10-06T00:25:00Z</dcterms:created>
  <dc:creator>郑斌杰</dc:creator>
  <cp:lastModifiedBy>SharlsonC</cp:lastModifiedBy>
  <dcterms:modified xsi:type="dcterms:W3CDTF">2026-09-03T03:31:33Z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28A426678ACB4A69B1DC102A2E5A9982_13</vt:lpwstr>
  </property>
  <property fmtid="{D5CDD505-2E9C-101B-9397-08002B2CF9AE}" pid="4" name="KSOTemplateDocerSaveRecord">
    <vt:lpwstr>eyJoZGlkIjoiMDUwNWViMDkyZjU4ZDFkM2YzNDJkZTAyYzIzYjE1ZjIiLCJ1c2VySWQiOiIzNzU2NTQ0NTAifQ==</vt:lpwstr>
  </property>
</Properties>
</file>